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A65B8">
      <w:pPr>
        <w:spacing w:before="156" w:beforeLines="50" w:after="156" w:afterLines="50"/>
        <w:jc w:val="center"/>
        <w:rPr>
          <w:rFonts w:hint="eastAsia" w:ascii="Times New Roman" w:hAnsi="Times New Roman" w:eastAsia="黑体"/>
          <w:bCs/>
          <w:sz w:val="32"/>
          <w:lang w:val="en-US" w:eastAsia="zh-CN"/>
        </w:rPr>
      </w:pPr>
      <w:r>
        <w:rPr>
          <w:rFonts w:hint="eastAsia" w:ascii="Times New Roman" w:hAnsi="Times New Roman" w:eastAsia="黑体"/>
          <w:bCs/>
          <w:sz w:val="32"/>
        </w:rPr>
        <w:t>智水先知：基于数据与物理双驱动</w:t>
      </w:r>
      <w:r>
        <w:rPr>
          <w:rFonts w:hint="eastAsia" w:ascii="Times New Roman" w:hAnsi="Times New Roman" w:eastAsia="黑体"/>
          <w:bCs/>
          <w:sz w:val="32"/>
          <w:lang w:val="en-US" w:eastAsia="zh-CN"/>
        </w:rPr>
        <w:t>的</w:t>
      </w:r>
    </w:p>
    <w:p w14:paraId="037B2ED0">
      <w:pPr>
        <w:spacing w:before="156" w:beforeLines="50" w:after="156" w:afterLines="50"/>
        <w:jc w:val="center"/>
        <w:rPr>
          <w:rFonts w:ascii="Times New Roman" w:hAnsi="Times New Roman" w:eastAsia="黑体"/>
          <w:bCs/>
          <w:sz w:val="32"/>
          <w:szCs w:val="32"/>
        </w:rPr>
      </w:pPr>
      <w:r>
        <w:rPr>
          <w:rFonts w:hint="eastAsia" w:ascii="Times New Roman" w:hAnsi="Times New Roman" w:eastAsia="黑体"/>
          <w:bCs/>
          <w:sz w:val="32"/>
        </w:rPr>
        <w:t>泵站全生命周期智控平台</w:t>
      </w:r>
    </w:p>
    <w:p w14:paraId="27BF9BA2">
      <w:pPr>
        <w:spacing w:line="480" w:lineRule="exact"/>
        <w:jc w:val="center"/>
        <w:rPr>
          <w:rFonts w:hint="default" w:ascii="Times New Roman" w:hAnsi="Times New Roman" w:eastAsia="宋体"/>
          <w:sz w:val="24"/>
          <w:szCs w:val="24"/>
          <w:lang w:val="en-US" w:eastAsia="zh-CN"/>
        </w:rPr>
      </w:pPr>
      <w:r>
        <w:rPr>
          <w:rFonts w:ascii="Times New Roman" w:hAnsi="Times New Roman"/>
          <w:sz w:val="24"/>
          <w:szCs w:val="24"/>
        </w:rPr>
        <w:t>设计者：</w:t>
      </w:r>
      <w:r>
        <w:rPr>
          <w:rFonts w:hint="eastAsia" w:ascii="Times New Roman" w:hAnsi="Times New Roman"/>
          <w:sz w:val="24"/>
          <w:szCs w:val="24"/>
          <w:lang w:val="en-US" w:eastAsia="zh-CN"/>
        </w:rPr>
        <w:t>张玮国</w:t>
      </w:r>
      <w:r>
        <w:rPr>
          <w:rFonts w:hint="eastAsia" w:ascii="Times New Roman" w:hAnsi="Times New Roman"/>
          <w:sz w:val="24"/>
          <w:szCs w:val="24"/>
        </w:rPr>
        <w:t>，</w:t>
      </w:r>
      <w:r>
        <w:rPr>
          <w:rFonts w:hint="eastAsia" w:ascii="Times New Roman" w:hAnsi="Times New Roman"/>
          <w:sz w:val="24"/>
          <w:szCs w:val="24"/>
          <w:lang w:val="en-US" w:eastAsia="zh-CN"/>
        </w:rPr>
        <w:t>张杨</w:t>
      </w:r>
      <w:r>
        <w:rPr>
          <w:rFonts w:hint="eastAsia" w:ascii="Times New Roman" w:hAnsi="Times New Roman"/>
          <w:sz w:val="24"/>
          <w:szCs w:val="24"/>
        </w:rPr>
        <w:t>，</w:t>
      </w:r>
      <w:r>
        <w:rPr>
          <w:rFonts w:hint="eastAsia" w:ascii="Times New Roman" w:hAnsi="Times New Roman"/>
          <w:sz w:val="24"/>
          <w:szCs w:val="24"/>
          <w:lang w:val="en-US" w:eastAsia="zh-CN"/>
        </w:rPr>
        <w:t>王莹莹</w:t>
      </w:r>
      <w:r>
        <w:rPr>
          <w:rFonts w:hint="eastAsia" w:ascii="Times New Roman" w:hAnsi="Times New Roman"/>
          <w:sz w:val="24"/>
          <w:szCs w:val="24"/>
        </w:rPr>
        <w:t>，</w:t>
      </w:r>
      <w:r>
        <w:rPr>
          <w:rFonts w:hint="eastAsia" w:ascii="Times New Roman" w:hAnsi="Times New Roman"/>
          <w:sz w:val="24"/>
          <w:szCs w:val="24"/>
          <w:lang w:val="en-US" w:eastAsia="zh-CN"/>
        </w:rPr>
        <w:t>邢清壮</w:t>
      </w:r>
    </w:p>
    <w:p w14:paraId="7CC266EC">
      <w:pPr>
        <w:spacing w:line="480" w:lineRule="exact"/>
        <w:jc w:val="center"/>
        <w:rPr>
          <w:rFonts w:hint="default" w:ascii="Times New Roman" w:hAnsi="Times New Roman" w:eastAsia="宋体"/>
          <w:sz w:val="24"/>
          <w:szCs w:val="24"/>
          <w:lang w:val="en-US" w:eastAsia="zh-CN"/>
        </w:rPr>
      </w:pPr>
      <w:r>
        <w:rPr>
          <w:rFonts w:ascii="Times New Roman" w:hAnsi="Times New Roman"/>
          <w:sz w:val="24"/>
          <w:szCs w:val="24"/>
        </w:rPr>
        <w:t>指导教师：</w:t>
      </w:r>
      <w:r>
        <w:rPr>
          <w:rFonts w:hint="eastAsia" w:ascii="Times New Roman" w:hAnsi="Times New Roman"/>
          <w:sz w:val="24"/>
          <w:szCs w:val="24"/>
          <w:lang w:val="en-US" w:eastAsia="zh-CN"/>
        </w:rPr>
        <w:t>张玺君</w:t>
      </w:r>
    </w:p>
    <w:p w14:paraId="48F35A1B">
      <w:pPr>
        <w:spacing w:line="480" w:lineRule="exact"/>
        <w:jc w:val="center"/>
        <w:rPr>
          <w:rFonts w:ascii="Times New Roman" w:hAnsi="Times New Roman"/>
          <w:sz w:val="24"/>
          <w:szCs w:val="24"/>
        </w:rPr>
      </w:pPr>
      <w:r>
        <w:rPr>
          <w:rFonts w:ascii="Times New Roman" w:hAnsi="Times New Roman"/>
          <w:sz w:val="24"/>
          <w:szCs w:val="24"/>
        </w:rPr>
        <w:t>（</w:t>
      </w:r>
      <w:r>
        <w:rPr>
          <w:rFonts w:hint="eastAsia" w:ascii="Times New Roman" w:hAnsi="Times New Roman"/>
          <w:sz w:val="24"/>
          <w:szCs w:val="24"/>
          <w:lang w:val="en-US" w:eastAsia="zh-CN"/>
        </w:rPr>
        <w:t>兰州理工大学</w:t>
      </w:r>
      <w:r>
        <w:rPr>
          <w:rFonts w:ascii="Times New Roman" w:hAnsi="Times New Roman"/>
          <w:sz w:val="24"/>
          <w:szCs w:val="24"/>
        </w:rPr>
        <w:t>，</w:t>
      </w:r>
      <w:r>
        <w:rPr>
          <w:rFonts w:hint="eastAsia" w:ascii="Times New Roman" w:hAnsi="Times New Roman"/>
          <w:sz w:val="24"/>
          <w:szCs w:val="24"/>
          <w:lang w:val="en-US" w:eastAsia="zh-CN"/>
        </w:rPr>
        <w:t>计算机与人工智能学院</w:t>
      </w:r>
      <w:r>
        <w:rPr>
          <w:rFonts w:hint="eastAsia" w:ascii="Times New Roman" w:hAnsi="Times New Roman"/>
          <w:sz w:val="24"/>
          <w:szCs w:val="24"/>
        </w:rPr>
        <w:t>，</w:t>
      </w:r>
      <w:r>
        <w:rPr>
          <w:rFonts w:hint="eastAsia" w:ascii="Times New Roman" w:hAnsi="Times New Roman"/>
          <w:sz w:val="24"/>
          <w:szCs w:val="24"/>
          <w:lang w:val="en-US" w:eastAsia="zh-CN"/>
        </w:rPr>
        <w:t>兰州</w:t>
      </w:r>
      <w:r>
        <w:rPr>
          <w:rFonts w:hint="eastAsia" w:ascii="Times New Roman" w:hAnsi="Times New Roman"/>
          <w:sz w:val="24"/>
          <w:szCs w:val="24"/>
        </w:rPr>
        <w:t>，</w:t>
      </w:r>
      <w:r>
        <w:rPr>
          <w:rFonts w:hint="eastAsia" w:ascii="Times New Roman" w:hAnsi="Times New Roman"/>
          <w:sz w:val="24"/>
          <w:szCs w:val="24"/>
          <w:lang w:val="en-US" w:eastAsia="zh-CN"/>
        </w:rPr>
        <w:t>730000</w:t>
      </w:r>
      <w:r>
        <w:rPr>
          <w:rFonts w:ascii="Times New Roman" w:hAnsi="Times New Roman"/>
          <w:sz w:val="24"/>
          <w:szCs w:val="24"/>
        </w:rPr>
        <w:t>）</w:t>
      </w:r>
    </w:p>
    <w:p w14:paraId="3AD486B7">
      <w:pPr>
        <w:rPr>
          <w:rFonts w:ascii="Times New Roman" w:hAnsi="Times New Roman"/>
          <w:sz w:val="24"/>
          <w:szCs w:val="24"/>
        </w:rPr>
      </w:pPr>
    </w:p>
    <w:p w14:paraId="0640EA35">
      <w:pPr>
        <w:spacing w:line="440" w:lineRule="exact"/>
        <w:rPr>
          <w:rFonts w:ascii="Times New Roman" w:hAnsi="Times New Roman" w:eastAsia="黑体"/>
          <w:bCs/>
          <w:sz w:val="24"/>
          <w:szCs w:val="24"/>
        </w:rPr>
      </w:pPr>
      <w:r>
        <w:rPr>
          <w:rFonts w:ascii="Times New Roman" w:hAnsi="Times New Roman" w:eastAsia="黑体"/>
          <w:bCs/>
          <w:sz w:val="24"/>
        </w:rPr>
        <w:t>作品内容简介</w:t>
      </w:r>
    </w:p>
    <w:p w14:paraId="0365B0ED">
      <w:pPr>
        <w:keepNext w:val="0"/>
        <w:keepLines w:val="0"/>
        <w:pageBreakBefore w:val="0"/>
        <w:widowControl w:val="0"/>
        <w:kinsoku/>
        <w:wordWrap w:val="0"/>
        <w:overflowPunct/>
        <w:topLinePunct w:val="0"/>
        <w:autoSpaceDE/>
        <w:autoSpaceDN/>
        <w:bidi w:val="0"/>
        <w:adjustRightInd/>
        <w:snapToGrid/>
        <w:spacing w:line="480" w:lineRule="exact"/>
        <w:ind w:firstLine="480" w:firstLineChars="200"/>
        <w:textAlignment w:val="auto"/>
        <w:rPr>
          <w:rFonts w:ascii="Times New Roman" w:hAnsi="Times New Roman"/>
          <w:sz w:val="24"/>
          <w:szCs w:val="24"/>
        </w:rPr>
      </w:pPr>
      <w:r>
        <w:rPr>
          <w:rFonts w:hint="eastAsia" w:ascii="Times New Roman" w:hAnsi="Times New Roman"/>
          <w:sz w:val="24"/>
          <w:szCs w:val="24"/>
        </w:rPr>
        <w:t>为解决</w:t>
      </w:r>
      <w:r>
        <w:rPr>
          <w:rFonts w:hint="eastAsia" w:ascii="Times New Roman" w:hAnsi="Times New Roman"/>
          <w:sz w:val="24"/>
          <w:szCs w:val="24"/>
          <w:lang w:val="en-US" w:eastAsia="zh-CN"/>
        </w:rPr>
        <w:t>传统</w:t>
      </w:r>
      <w:r>
        <w:rPr>
          <w:rFonts w:hint="eastAsia" w:ascii="Times New Roman" w:hAnsi="Times New Roman"/>
          <w:sz w:val="24"/>
          <w:szCs w:val="24"/>
        </w:rPr>
        <w:t>大型泵站能耗高、数据差及运维滞后等痛点，深入贯彻国务院《推动大规模设备更新行动方案》及水利部数字孪生战略，本项目研发“智水先知：基于数据与物理双驱动的泵站全生命周期智控平台”</w:t>
      </w:r>
      <w:r>
        <w:rPr>
          <w:rFonts w:hint="eastAsia" w:ascii="Times New Roman" w:hAnsi="Times New Roman"/>
          <w:sz w:val="24"/>
          <w:szCs w:val="24"/>
          <w:lang w:eastAsia="zh-CN"/>
        </w:rPr>
        <w:t>。</w:t>
      </w:r>
      <w:r>
        <w:rPr>
          <w:rFonts w:hint="eastAsia" w:ascii="Times New Roman" w:hAnsi="Times New Roman"/>
          <w:sz w:val="24"/>
          <w:szCs w:val="24"/>
        </w:rPr>
        <w:t>系统构建了“数据+物理”双引擎架构：数据层利用时空大语言模型（ST-LLM）与图注意力网络解决工业现场干扰难题，数据完整性提升至99.8%；决策层融合Bi-LSTM故障预测与流体力学机理能效寻优算法，实现最佳工况动态追踪与隐蔽故障预警；应用层内嵌RAG技术构建交互式运维专家。本项目实现了从感知到控制的全闭环管理，实测节能15%至28%，为落实国家“数据要素×”及“双碳”战略提供了具有高度推广价值的行业解决方案。</w:t>
      </w:r>
      <w:r>
        <w:rPr>
          <w:rFonts w:hint="eastAsia" w:ascii="Times New Roman" w:hAnsi="Times New Roman"/>
          <w:sz w:val="24"/>
          <w:szCs w:val="24"/>
          <w:lang w:val="en-US" w:eastAsia="zh-CN"/>
        </w:rPr>
        <w:t>张玮国</w:t>
      </w:r>
      <w:r>
        <w:rPr>
          <w:rFonts w:ascii="Times New Roman" w:hAnsi="Times New Roman"/>
          <w:sz w:val="24"/>
          <w:szCs w:val="24"/>
        </w:rPr>
        <w:t>、</w:t>
      </w:r>
      <w:r>
        <w:rPr>
          <w:rFonts w:hint="eastAsia" w:ascii="Times New Roman" w:hAnsi="Times New Roman"/>
          <w:sz w:val="24"/>
          <w:szCs w:val="24"/>
          <w:lang w:val="en-US" w:eastAsia="zh-CN"/>
        </w:rPr>
        <w:t>15835897864</w:t>
      </w:r>
      <w:r>
        <w:rPr>
          <w:rFonts w:ascii="Times New Roman" w:hAnsi="Times New Roman"/>
          <w:sz w:val="24"/>
          <w:szCs w:val="24"/>
        </w:rPr>
        <w:t>、</w:t>
      </w:r>
      <w:r>
        <w:rPr>
          <w:rFonts w:hint="eastAsia" w:ascii="Times New Roman" w:hAnsi="Times New Roman"/>
          <w:sz w:val="24"/>
          <w:szCs w:val="24"/>
        </w:rPr>
        <w:t>242081203023@lut.edu.cn</w:t>
      </w:r>
    </w:p>
    <w:p w14:paraId="6F411404">
      <w:pPr>
        <w:spacing w:line="440" w:lineRule="exact"/>
        <w:rPr>
          <w:rFonts w:ascii="Times New Roman" w:hAnsi="Times New Roman"/>
          <w:sz w:val="24"/>
          <w:szCs w:val="24"/>
        </w:rPr>
      </w:pPr>
    </w:p>
    <w:p w14:paraId="2EA9C5D4">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1 研制背景及意义</w:t>
      </w:r>
    </w:p>
    <w:p w14:paraId="03AC5BDE">
      <w:pPr>
        <w:widowControl/>
        <w:spacing w:line="480" w:lineRule="exact"/>
        <w:ind w:firstLine="480" w:firstLineChars="200"/>
        <w:jc w:val="both"/>
        <w:rPr>
          <w:rFonts w:hint="eastAsia" w:ascii="Times New Roman" w:hAnsi="Times New Roman"/>
          <w:sz w:val="24"/>
          <w:lang w:eastAsia="zh-CN"/>
        </w:rPr>
      </w:pPr>
      <w:r>
        <w:rPr>
          <w:rFonts w:hint="eastAsia" w:ascii="Times New Roman" w:hAnsi="Times New Roman"/>
          <w:sz w:val="24"/>
        </w:rPr>
        <w:t>针对大型泵站普遍存在的“高耗低效”、数据质量差及运维滞后等行业痛点</w:t>
      </w:r>
      <w:r>
        <w:rPr>
          <w:rFonts w:hint="eastAsia" w:ascii="Times New Roman" w:hAnsi="Times New Roman"/>
          <w:sz w:val="24"/>
          <w:lang w:eastAsia="zh-CN"/>
        </w:rPr>
        <w:t>，</w:t>
      </w:r>
      <w:r>
        <w:rPr>
          <w:rFonts w:hint="eastAsia" w:ascii="Times New Roman" w:hAnsi="Times New Roman"/>
          <w:sz w:val="24"/>
        </w:rPr>
        <w:t>本</w:t>
      </w:r>
      <w:r>
        <w:rPr>
          <w:rFonts w:hint="eastAsia" w:ascii="Times New Roman" w:hAnsi="Times New Roman"/>
          <w:sz w:val="24"/>
          <w:lang w:val="en-US" w:eastAsia="zh-CN"/>
        </w:rPr>
        <w:t>作品</w:t>
      </w:r>
      <w:r>
        <w:rPr>
          <w:rFonts w:hint="eastAsia" w:ascii="Times New Roman" w:hAnsi="Times New Roman"/>
          <w:sz w:val="24"/>
        </w:rPr>
        <w:t>深入贯彻国务院《推动大规模设备更新行动方案》及水利部数字孪生战略，旨在通过智能化手段激活沉睡的工业数据要素。作品摒弃传统单一机理模型，构建“数据+物理”双引擎架构，解决了存量资产在复杂工况下的精准调控难题。本</w:t>
      </w:r>
      <w:r>
        <w:rPr>
          <w:rFonts w:hint="eastAsia" w:ascii="Times New Roman" w:hAnsi="Times New Roman"/>
          <w:sz w:val="24"/>
          <w:lang w:val="en-US" w:eastAsia="zh-CN"/>
        </w:rPr>
        <w:t>作品</w:t>
      </w:r>
      <w:r>
        <w:rPr>
          <w:rFonts w:hint="eastAsia" w:ascii="Times New Roman" w:hAnsi="Times New Roman"/>
          <w:sz w:val="24"/>
        </w:rPr>
        <w:t>不仅实现了设备全生命周期的闭环管理（实测节能15%-28%），更为水务行业的低碳化与数字化转型提供了可复制的创新范式，具有显著的经济效益与推广价值</w:t>
      </w:r>
      <w:r>
        <w:rPr>
          <w:rFonts w:hint="eastAsia" w:ascii="Times New Roman" w:hAnsi="Times New Roman"/>
          <w:sz w:val="24"/>
          <w:lang w:eastAsia="zh-CN"/>
        </w:rPr>
        <w:t>。</w:t>
      </w:r>
    </w:p>
    <w:p w14:paraId="0EBBF46C">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2 设计方案</w:t>
      </w:r>
    </w:p>
    <w:p w14:paraId="5B9C994A">
      <w:pPr>
        <w:widowControl/>
        <w:spacing w:after="156" w:afterLines="50" w:line="440" w:lineRule="exact"/>
        <w:jc w:val="left"/>
        <w:rPr>
          <w:rFonts w:ascii="Times New Roman" w:hAnsi="Times New Roman" w:eastAsia="黑体"/>
          <w:kern w:val="0"/>
          <w:sz w:val="24"/>
          <w:szCs w:val="24"/>
        </w:rPr>
      </w:pPr>
      <w:r>
        <w:rPr>
          <w:rFonts w:ascii="Times New Roman" w:hAnsi="Times New Roman" w:eastAsia="黑体"/>
          <w:sz w:val="24"/>
          <w:szCs w:val="24"/>
        </w:rPr>
        <w:t xml:space="preserve">2.1 </w:t>
      </w:r>
      <w:r>
        <w:rPr>
          <w:rFonts w:hint="eastAsia" w:ascii="Times New Roman" w:hAnsi="Times New Roman" w:eastAsia="黑体"/>
          <w:sz w:val="24"/>
          <w:szCs w:val="24"/>
        </w:rPr>
        <w:t>系统设计</w:t>
      </w:r>
    </w:p>
    <w:p w14:paraId="17AD820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Times New Roman" w:hAnsi="Times New Roman"/>
          <w:sz w:val="24"/>
        </w:rPr>
      </w:pPr>
      <w:r>
        <w:rPr>
          <w:rFonts w:hint="eastAsia" w:ascii="Times New Roman" w:hAnsi="Times New Roman"/>
          <w:sz w:val="24"/>
        </w:rPr>
        <w:t>本作品确立了以“云-边-端”深度协同为核心的总体架构，基于软件定义硬件理念，旨在解决传统泵站信息孤岛与算力分配失衡难题。系统自下而上构建了边缘感知、云端治理、核心算法与应用交互四大逻辑层级，通过微服务架构实现对物理设备的毫秒级智能管控。</w:t>
      </w:r>
    </w:p>
    <w:p w14:paraId="711B3EC0">
      <w:pPr>
        <w:keepNext w:val="0"/>
        <w:keepLines w:val="0"/>
        <w:pageBreakBefore w:val="0"/>
        <w:widowControl w:val="0"/>
        <w:kinsoku/>
        <w:wordWrap/>
        <w:overflowPunct/>
        <w:topLinePunct w:val="0"/>
        <w:autoSpaceDE/>
        <w:autoSpaceDN/>
        <w:bidi w:val="0"/>
        <w:adjustRightInd w:val="0"/>
        <w:snapToGrid w:val="0"/>
        <w:spacing w:line="480" w:lineRule="exact"/>
        <w:ind w:firstLine="480" w:firstLineChars="200"/>
        <w:textAlignment w:val="auto"/>
        <w:rPr>
          <w:rFonts w:hint="eastAsia" w:ascii="Times New Roman" w:hAnsi="Times New Roman"/>
          <w:sz w:val="24"/>
        </w:rPr>
      </w:pPr>
      <w:r>
        <w:rPr>
          <w:rFonts w:hint="eastAsia" w:ascii="Times New Roman" w:hAnsi="Times New Roman"/>
          <w:sz w:val="24"/>
        </w:rPr>
        <w:t>边缘感知层通过高性能网关非侵入式接入 PLC，利用多协议引擎实现 100Hz 高频采集；云端治理层依托 Kubernetes 集群引入 ST-LLM 模型清洗报文，重构高保真数字孪生体；核心算法层融合物理感知与数据驱动双引擎，协同输出能效寻优与故障预测策略；应用交互层基于 WebGL 构建三维可视化界面，提供直观决策支持。系统总体架构如图 1 所示。</w:t>
      </w:r>
    </w:p>
    <w:tbl>
      <w:tblPr>
        <w:tblStyle w:val="9"/>
        <w:tblW w:w="0" w:type="auto"/>
        <w:jc w:val="center"/>
        <w:tblLayout w:type="autofit"/>
        <w:tblCellMar>
          <w:top w:w="0" w:type="dxa"/>
          <w:left w:w="108" w:type="dxa"/>
          <w:bottom w:w="0" w:type="dxa"/>
          <w:right w:w="108" w:type="dxa"/>
        </w:tblCellMar>
      </w:tblPr>
      <w:tblGrid>
        <w:gridCol w:w="8522"/>
      </w:tblGrid>
      <w:tr w14:paraId="25A3FA01">
        <w:tblPrEx>
          <w:tblCellMar>
            <w:top w:w="0" w:type="dxa"/>
            <w:left w:w="108" w:type="dxa"/>
            <w:bottom w:w="0" w:type="dxa"/>
            <w:right w:w="108" w:type="dxa"/>
          </w:tblCellMar>
        </w:tblPrEx>
        <w:trPr>
          <w:jc w:val="center"/>
        </w:trPr>
        <w:tc>
          <w:tcPr>
            <w:tcW w:w="8522" w:type="dxa"/>
            <w:shd w:val="clear" w:color="auto" w:fill="auto"/>
          </w:tcPr>
          <w:p w14:paraId="307663FF">
            <w:pPr>
              <w:widowControl/>
              <w:jc w:val="center"/>
              <w:rPr>
                <w:rFonts w:ascii="Times New Roman" w:hAnsi="Times New Roman"/>
                <w:color w:val="FF0000"/>
                <w:sz w:val="24"/>
                <w:szCs w:val="24"/>
                <w:highlight w:val="yellow"/>
              </w:rPr>
            </w:pPr>
            <w:r>
              <w:rPr>
                <w:rFonts w:ascii="Times New Roman Regular" w:hAnsi="Times New Roman Regular" w:cs="Times New Roman Regular"/>
              </w:rPr>
              <w:drawing>
                <wp:inline distT="0" distB="0" distL="114300" distR="114300">
                  <wp:extent cx="3725545" cy="2146935"/>
                  <wp:effectExtent l="0" t="0" r="8255" b="1905"/>
                  <wp:docPr id="5" name="图片 5" descr="E:/13.兰理工读研/02.比赛文件/02.研二/15.节能减排/节能占位图1.png节能占位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3.兰理工读研/02.比赛文件/02.研二/15.节能减排/节能占位图1.png节能占位图1"/>
                          <pic:cNvPicPr>
                            <a:picLocks noChangeAspect="1"/>
                          </pic:cNvPicPr>
                        </pic:nvPicPr>
                        <pic:blipFill>
                          <a:blip r:embed="rId5"/>
                          <a:srcRect l="3735" r="3735"/>
                          <a:stretch>
                            <a:fillRect/>
                          </a:stretch>
                        </pic:blipFill>
                        <pic:spPr>
                          <a:xfrm>
                            <a:off x="0" y="0"/>
                            <a:ext cx="3725545" cy="2146935"/>
                          </a:xfrm>
                          <a:prstGeom prst="rect">
                            <a:avLst/>
                          </a:prstGeom>
                          <a:noFill/>
                          <a:ln>
                            <a:noFill/>
                          </a:ln>
                        </pic:spPr>
                      </pic:pic>
                    </a:graphicData>
                  </a:graphic>
                </wp:inline>
              </w:drawing>
            </w:r>
          </w:p>
          <w:p w14:paraId="157C1E3A">
            <w:pPr>
              <w:widowControl/>
              <w:jc w:val="center"/>
              <w:rPr>
                <w:rFonts w:ascii="Times New Roman" w:hAnsi="Times New Roman"/>
                <w:color w:val="FF0000"/>
                <w:sz w:val="18"/>
                <w:szCs w:val="18"/>
                <w:highlight w:val="yellow"/>
              </w:rPr>
            </w:pPr>
            <w:r>
              <w:rPr>
                <w:rFonts w:ascii="Times New Roman" w:hAnsi="Times New Roman"/>
                <w:sz w:val="18"/>
                <w:szCs w:val="18"/>
              </w:rPr>
              <w:t xml:space="preserve">图1 </w:t>
            </w:r>
            <w:r>
              <w:rPr>
                <w:rFonts w:hint="eastAsia" w:ascii="Times New Roman" w:hAnsi="Times New Roman"/>
                <w:sz w:val="18"/>
                <w:szCs w:val="18"/>
              </w:rPr>
              <w:t>智水先知平台“云-边-端”软硬件协同架构图</w:t>
            </w:r>
          </w:p>
        </w:tc>
      </w:tr>
    </w:tbl>
    <w:p w14:paraId="0F0CD7A5">
      <w:pPr>
        <w:spacing w:after="156" w:afterLines="50" w:line="440" w:lineRule="exact"/>
        <w:rPr>
          <w:rFonts w:hint="eastAsia" w:ascii="Times New Roman" w:hAnsi="Times New Roman" w:eastAsia="黑体"/>
          <w:sz w:val="24"/>
        </w:rPr>
      </w:pPr>
      <w:r>
        <w:rPr>
          <w:rFonts w:ascii="Times New Roman" w:hAnsi="Times New Roman" w:eastAsia="黑体"/>
          <w:sz w:val="24"/>
          <w:szCs w:val="24"/>
        </w:rPr>
        <w:t xml:space="preserve">2.2 </w:t>
      </w:r>
      <w:r>
        <w:rPr>
          <w:rFonts w:hint="eastAsia" w:ascii="Times New Roman" w:hAnsi="Times New Roman" w:eastAsia="黑体"/>
          <w:sz w:val="24"/>
        </w:rPr>
        <w:t>功能模块设计与数字孪生实现</w:t>
      </w:r>
    </w:p>
    <w:p w14:paraId="640C5532">
      <w:pPr>
        <w:keepNext w:val="0"/>
        <w:keepLines w:val="0"/>
        <w:pageBreakBefore w:val="0"/>
        <w:widowControl w:val="0"/>
        <w:kinsoku/>
        <w:wordWrap/>
        <w:overflowPunct/>
        <w:topLinePunct w:val="0"/>
        <w:autoSpaceDE/>
        <w:autoSpaceDN/>
        <w:bidi w:val="0"/>
        <w:adjustRightInd/>
        <w:snapToGrid/>
        <w:spacing w:after="156" w:afterLines="50" w:line="440" w:lineRule="exact"/>
        <w:ind w:firstLine="480" w:firstLineChars="200"/>
        <w:textAlignment w:val="auto"/>
        <w:rPr>
          <w:rFonts w:hint="eastAsia" w:ascii="Times New Roman" w:hAnsi="Times New Roman"/>
          <w:sz w:val="24"/>
        </w:rPr>
      </w:pPr>
      <w:r>
        <w:rPr>
          <w:rFonts w:hint="eastAsia" w:ascii="Times New Roman" w:hAnsi="Times New Roman"/>
          <w:sz w:val="24"/>
        </w:rPr>
        <w:t xml:space="preserve">为实现对泵站全生命周期的智能化管理，系统设计了全景驾驶舱、数据治理中心与智能决策中枢三大核心功能模块，各模块间通过高内聚低耦合的RESTful </w:t>
      </w:r>
      <w:r>
        <w:rPr>
          <w:rFonts w:hint="eastAsia" w:ascii="Times New Roman" w:hAnsi="Times New Roman"/>
          <w:sz w:val="24"/>
          <w:lang w:val="en-US" w:eastAsia="zh-CN"/>
        </w:rPr>
        <w:t xml:space="preserve"> </w:t>
      </w:r>
      <w:r>
        <w:rPr>
          <w:rFonts w:hint="eastAsia" w:ascii="Times New Roman" w:hAnsi="Times New Roman"/>
          <w:sz w:val="24"/>
        </w:rPr>
        <w:t>API接口进行数据交换。</w:t>
      </w:r>
    </w:p>
    <w:p w14:paraId="0B29A5B8">
      <w:pPr>
        <w:keepNext w:val="0"/>
        <w:keepLines w:val="0"/>
        <w:pageBreakBefore w:val="0"/>
        <w:widowControl w:val="0"/>
        <w:kinsoku/>
        <w:wordWrap/>
        <w:overflowPunct/>
        <w:topLinePunct w:val="0"/>
        <w:autoSpaceDE/>
        <w:autoSpaceDN/>
        <w:bidi w:val="0"/>
        <w:adjustRightInd/>
        <w:snapToGrid/>
        <w:spacing w:after="156" w:afterLines="50" w:line="440" w:lineRule="exact"/>
        <w:textAlignment w:val="auto"/>
        <w:rPr>
          <w:rFonts w:hint="eastAsia" w:ascii="Times New Roman" w:hAnsi="Times New Roman" w:eastAsia="黑体"/>
          <w:sz w:val="24"/>
        </w:rPr>
      </w:pPr>
      <w:r>
        <w:rPr>
          <w:rFonts w:ascii="Times New Roman" w:hAnsi="Times New Roman" w:eastAsia="黑体"/>
          <w:sz w:val="24"/>
          <w:szCs w:val="24"/>
        </w:rPr>
        <w:t>2</w:t>
      </w:r>
      <w:r>
        <w:rPr>
          <w:rFonts w:hint="eastAsia" w:ascii="Times New Roman" w:hAnsi="Times New Roman" w:eastAsia="黑体"/>
          <w:sz w:val="24"/>
          <w:szCs w:val="24"/>
          <w:lang w:val="en-US" w:eastAsia="zh-CN"/>
        </w:rPr>
        <w:t>.1.1</w:t>
      </w:r>
      <w:r>
        <w:rPr>
          <w:rFonts w:ascii="Times New Roman" w:hAnsi="Times New Roman" w:eastAsia="黑体"/>
          <w:sz w:val="24"/>
          <w:szCs w:val="24"/>
        </w:rPr>
        <w:t xml:space="preserve"> </w:t>
      </w:r>
      <w:r>
        <w:rPr>
          <w:rFonts w:hint="eastAsia" w:ascii="Times New Roman" w:hAnsi="Times New Roman" w:eastAsia="黑体"/>
          <w:sz w:val="24"/>
        </w:rPr>
        <w:t>数字孪生与全景监控逻辑设计</w:t>
      </w:r>
    </w:p>
    <w:p w14:paraId="08F7244C">
      <w:pPr>
        <w:keepNext w:val="0"/>
        <w:keepLines w:val="0"/>
        <w:pageBreakBefore w:val="0"/>
        <w:widowControl w:val="0"/>
        <w:kinsoku/>
        <w:wordWrap/>
        <w:overflowPunct/>
        <w:topLinePunct w:val="0"/>
        <w:autoSpaceDE/>
        <w:autoSpaceDN/>
        <w:bidi w:val="0"/>
        <w:adjustRightInd/>
        <w:snapToGrid/>
        <w:spacing w:after="156" w:afterLines="50" w:line="440" w:lineRule="exact"/>
        <w:ind w:firstLine="480" w:firstLineChars="200"/>
        <w:textAlignment w:val="auto"/>
        <w:rPr>
          <w:rFonts w:ascii="Times New Roman" w:hAnsi="Times New Roman"/>
          <w:color w:val="FF0000"/>
          <w:sz w:val="24"/>
          <w:szCs w:val="24"/>
          <w:highlight w:val="yellow"/>
        </w:rPr>
      </w:pPr>
      <w:r>
        <w:rPr>
          <w:rFonts w:hint="eastAsia" w:ascii="Times New Roman" w:hAnsi="Times New Roman"/>
          <w:sz w:val="24"/>
        </w:rPr>
        <w:t>全景驾驶舱基于“感知-映射-交互”范式，利用 WebSocket 实现数据的实时推送与渲染。系统通过 Q-H 曲线与工况点的动态映射，精准计算拓扑关系并实时输出健康度评分，具体监控逻辑如图 2 所示。</w:t>
      </w:r>
    </w:p>
    <w:tbl>
      <w:tblPr>
        <w:tblStyle w:val="9"/>
        <w:tblW w:w="0" w:type="auto"/>
        <w:jc w:val="center"/>
        <w:tblLayout w:type="autofit"/>
        <w:tblCellMar>
          <w:top w:w="0" w:type="dxa"/>
          <w:left w:w="108" w:type="dxa"/>
          <w:bottom w:w="0" w:type="dxa"/>
          <w:right w:w="108" w:type="dxa"/>
        </w:tblCellMar>
      </w:tblPr>
      <w:tblGrid>
        <w:gridCol w:w="8522"/>
      </w:tblGrid>
      <w:tr w14:paraId="1669AAC0">
        <w:tblPrEx>
          <w:tblCellMar>
            <w:top w:w="0" w:type="dxa"/>
            <w:left w:w="108" w:type="dxa"/>
            <w:bottom w:w="0" w:type="dxa"/>
            <w:right w:w="108" w:type="dxa"/>
          </w:tblCellMar>
        </w:tblPrEx>
        <w:trPr>
          <w:jc w:val="center"/>
        </w:trPr>
        <w:tc>
          <w:tcPr>
            <w:tcW w:w="8522" w:type="dxa"/>
            <w:shd w:val="clear" w:color="auto" w:fill="auto"/>
          </w:tcPr>
          <w:p w14:paraId="0C383654">
            <w:pPr>
              <w:widowControl/>
              <w:jc w:val="center"/>
              <w:rPr>
                <w:rFonts w:ascii="Times New Roman" w:hAnsi="Times New Roman"/>
                <w:color w:val="FF0000"/>
                <w:sz w:val="24"/>
                <w:szCs w:val="24"/>
                <w:highlight w:val="yellow"/>
              </w:rPr>
            </w:pPr>
            <w:r>
              <w:rPr>
                <w:rFonts w:ascii="Times New Roman Regular" w:hAnsi="Times New Roman Regular" w:cs="Times New Roman Regular"/>
              </w:rPr>
              <w:drawing>
                <wp:inline distT="0" distB="0" distL="114300" distR="114300">
                  <wp:extent cx="3642995" cy="1877695"/>
                  <wp:effectExtent l="0" t="0" r="14605" b="12065"/>
                  <wp:docPr id="1" name="图片 1" descr="E:/13.兰理工读研/02.比赛文件/02.研二/15.节能减排/第十九届全国大学生节能减排社会实践与科技竞赛“安德里茨杯”兰州理工大学校赛通知_v3(1)/节能占位图6.jpg节能占位图6"/>
                  <wp:cNvGraphicFramePr/>
                  <a:graphic xmlns:a="http://schemas.openxmlformats.org/drawingml/2006/main">
                    <a:graphicData uri="http://schemas.openxmlformats.org/drawingml/2006/picture">
                      <pic:pic xmlns:pic="http://schemas.openxmlformats.org/drawingml/2006/picture">
                        <pic:nvPicPr>
                          <pic:cNvPr id="1" name="图片 1" descr="E:/13.兰理工读研/02.比赛文件/02.研二/15.节能减排/第十九届全国大学生节能减排社会实践与科技竞赛“安德里茨杯”兰州理工大学校赛通知_v3(1)/节能占位图6.jpg节能占位图6"/>
                          <pic:cNvPicPr/>
                        </pic:nvPicPr>
                        <pic:blipFill>
                          <a:blip r:embed="rId6"/>
                          <a:srcRect l="2045" t="4517" r="1810" b="2137"/>
                          <a:stretch>
                            <a:fillRect/>
                          </a:stretch>
                        </pic:blipFill>
                        <pic:spPr>
                          <a:xfrm>
                            <a:off x="0" y="0"/>
                            <a:ext cx="3642995" cy="1877695"/>
                          </a:xfrm>
                          <a:prstGeom prst="rect">
                            <a:avLst/>
                          </a:prstGeom>
                          <a:noFill/>
                          <a:ln>
                            <a:noFill/>
                          </a:ln>
                        </pic:spPr>
                      </pic:pic>
                    </a:graphicData>
                  </a:graphic>
                </wp:inline>
              </w:drawing>
            </w:r>
          </w:p>
          <w:p w14:paraId="6388E943">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2</w:t>
            </w:r>
            <w:r>
              <w:rPr>
                <w:rFonts w:ascii="Times New Roman" w:hAnsi="Times New Roman"/>
                <w:sz w:val="18"/>
                <w:szCs w:val="18"/>
              </w:rPr>
              <w:t xml:space="preserve"> </w:t>
            </w:r>
            <w:r>
              <w:rPr>
                <w:rFonts w:hint="eastAsia" w:ascii="Times New Roman" w:hAnsi="Times New Roman"/>
                <w:sz w:val="18"/>
                <w:szCs w:val="18"/>
              </w:rPr>
              <w:t>数字孪生全景驾驶舱与 Q-H 特性分析界面</w:t>
            </w:r>
          </w:p>
        </w:tc>
      </w:tr>
    </w:tbl>
    <w:p w14:paraId="51961040">
      <w:pPr>
        <w:spacing w:before="156" w:beforeLines="50" w:after="156" w:afterLines="50" w:line="440" w:lineRule="exact"/>
        <w:rPr>
          <w:rFonts w:hint="eastAsia" w:ascii="Times New Roman" w:hAnsi="Times New Roman" w:eastAsia="黑体"/>
          <w:sz w:val="24"/>
        </w:rPr>
      </w:pPr>
      <w:r>
        <w:rPr>
          <w:rFonts w:ascii="Times New Roman" w:hAnsi="Times New Roman" w:eastAsia="黑体"/>
          <w:sz w:val="24"/>
          <w:szCs w:val="24"/>
        </w:rPr>
        <w:t>2</w:t>
      </w:r>
      <w:r>
        <w:rPr>
          <w:rFonts w:hint="eastAsia" w:ascii="Times New Roman" w:hAnsi="Times New Roman" w:eastAsia="黑体"/>
          <w:sz w:val="24"/>
          <w:szCs w:val="24"/>
          <w:lang w:val="en-US" w:eastAsia="zh-CN"/>
        </w:rPr>
        <w:t>.1.2</w:t>
      </w:r>
      <w:r>
        <w:rPr>
          <w:rFonts w:ascii="Times New Roman" w:hAnsi="Times New Roman" w:eastAsia="黑体"/>
          <w:sz w:val="24"/>
          <w:szCs w:val="24"/>
        </w:rPr>
        <w:t xml:space="preserve"> </w:t>
      </w:r>
      <w:r>
        <w:rPr>
          <w:rFonts w:hint="eastAsia" w:ascii="Times New Roman" w:hAnsi="Times New Roman" w:eastAsia="黑体"/>
          <w:sz w:val="24"/>
        </w:rPr>
        <w:t>全量数据治理与溯源模块设计</w:t>
      </w:r>
    </w:p>
    <w:p w14:paraId="69184670">
      <w:pPr>
        <w:widowControl/>
        <w:spacing w:line="480" w:lineRule="exact"/>
        <w:ind w:firstLine="480" w:firstLineChars="200"/>
        <w:jc w:val="both"/>
        <w:rPr>
          <w:rFonts w:hint="eastAsia" w:ascii="Times New Roman" w:hAnsi="Times New Roman"/>
          <w:sz w:val="24"/>
        </w:rPr>
      </w:pPr>
      <w:r>
        <w:rPr>
          <w:rFonts w:hint="eastAsia" w:ascii="Times New Roman" w:hAnsi="Times New Roman"/>
          <w:sz w:val="24"/>
        </w:rPr>
        <w:t>针对工业数据多源异构与时序对齐难题，系统构建了基于时间戳索引的全量溯源架构，采用“原始+衍生”双层存储策略。其中原始库直录PLC物理量以保障数据真实性，衍生库则存储经物理引擎反向推演的“虚拟传感器”数据（如定子温度），图3直观展示了该全量数据治理与流转机制。</w:t>
      </w:r>
    </w:p>
    <w:tbl>
      <w:tblPr>
        <w:tblStyle w:val="9"/>
        <w:tblW w:w="0" w:type="auto"/>
        <w:jc w:val="center"/>
        <w:tblLayout w:type="autofit"/>
        <w:tblCellMar>
          <w:top w:w="0" w:type="dxa"/>
          <w:left w:w="108" w:type="dxa"/>
          <w:bottom w:w="0" w:type="dxa"/>
          <w:right w:w="108" w:type="dxa"/>
        </w:tblCellMar>
      </w:tblPr>
      <w:tblGrid>
        <w:gridCol w:w="8522"/>
      </w:tblGrid>
      <w:tr w14:paraId="7E27D3A5">
        <w:tblPrEx>
          <w:tblCellMar>
            <w:top w:w="0" w:type="dxa"/>
            <w:left w:w="108" w:type="dxa"/>
            <w:bottom w:w="0" w:type="dxa"/>
            <w:right w:w="108" w:type="dxa"/>
          </w:tblCellMar>
        </w:tblPrEx>
        <w:trPr>
          <w:jc w:val="center"/>
        </w:trPr>
        <w:tc>
          <w:tcPr>
            <w:tcW w:w="8522" w:type="dxa"/>
            <w:shd w:val="clear" w:color="auto" w:fill="auto"/>
          </w:tcPr>
          <w:p w14:paraId="1467DBB0">
            <w:pPr>
              <w:widowControl/>
              <w:jc w:val="center"/>
              <w:rPr>
                <w:rFonts w:ascii="Times New Roman" w:hAnsi="Times New Roman"/>
                <w:color w:val="FF0000"/>
                <w:sz w:val="24"/>
                <w:szCs w:val="24"/>
                <w:highlight w:val="yellow"/>
              </w:rPr>
            </w:pPr>
            <w:r>
              <w:rPr>
                <w:rFonts w:hint="eastAsia" w:ascii="Times New Roman" w:hAnsi="Times New Roman" w:eastAsia="黑体"/>
                <w:sz w:val="24"/>
                <w:szCs w:val="24"/>
                <w:lang w:eastAsia="zh-CN"/>
              </w:rPr>
              <w:drawing>
                <wp:inline distT="0" distB="0" distL="114300" distR="114300">
                  <wp:extent cx="3354705" cy="1537970"/>
                  <wp:effectExtent l="0" t="0" r="13335" b="1270"/>
                  <wp:docPr id="20" name="图片 20" descr="节能占位图8"/>
                  <wp:cNvGraphicFramePr/>
                  <a:graphic xmlns:a="http://schemas.openxmlformats.org/drawingml/2006/main">
                    <a:graphicData uri="http://schemas.openxmlformats.org/drawingml/2006/picture">
                      <pic:pic xmlns:pic="http://schemas.openxmlformats.org/drawingml/2006/picture">
                        <pic:nvPicPr>
                          <pic:cNvPr id="20" name="图片 20" descr="节能占位图8"/>
                          <pic:cNvPicPr/>
                        </pic:nvPicPr>
                        <pic:blipFill>
                          <a:blip r:embed="rId7"/>
                          <a:srcRect l="1156" r="937"/>
                          <a:stretch>
                            <a:fillRect/>
                          </a:stretch>
                        </pic:blipFill>
                        <pic:spPr>
                          <a:xfrm>
                            <a:off x="0" y="0"/>
                            <a:ext cx="3354705" cy="1537970"/>
                          </a:xfrm>
                          <a:prstGeom prst="rect">
                            <a:avLst/>
                          </a:prstGeom>
                        </pic:spPr>
                      </pic:pic>
                    </a:graphicData>
                  </a:graphic>
                </wp:inline>
              </w:drawing>
            </w:r>
          </w:p>
          <w:p w14:paraId="7B6A9B8D">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3</w:t>
            </w:r>
            <w:r>
              <w:rPr>
                <w:rFonts w:ascii="Times New Roman" w:hAnsi="Times New Roman"/>
                <w:sz w:val="18"/>
                <w:szCs w:val="18"/>
              </w:rPr>
              <w:t xml:space="preserve"> </w:t>
            </w:r>
            <w:r>
              <w:rPr>
                <w:rFonts w:hint="eastAsia" w:ascii="Times New Roman" w:hAnsi="Times New Roman"/>
                <w:sz w:val="18"/>
                <w:szCs w:val="18"/>
              </w:rPr>
              <w:t>全量数据治理与溯源架构图</w:t>
            </w:r>
          </w:p>
        </w:tc>
      </w:tr>
    </w:tbl>
    <w:p w14:paraId="523D4560">
      <w:pPr>
        <w:spacing w:after="156" w:afterLines="50" w:line="440" w:lineRule="exact"/>
        <w:rPr>
          <w:rFonts w:hint="eastAsia" w:ascii="Times New Roman" w:hAnsi="Times New Roman" w:eastAsia="黑体"/>
          <w:sz w:val="24"/>
        </w:rPr>
      </w:pPr>
      <w:r>
        <w:rPr>
          <w:rFonts w:ascii="Times New Roman" w:hAnsi="Times New Roman" w:eastAsia="黑体"/>
          <w:sz w:val="24"/>
          <w:szCs w:val="24"/>
        </w:rPr>
        <w:t>2.</w:t>
      </w:r>
      <w:r>
        <w:rPr>
          <w:rFonts w:hint="eastAsia" w:ascii="Times New Roman" w:hAnsi="Times New Roman" w:eastAsia="黑体"/>
          <w:sz w:val="24"/>
          <w:szCs w:val="24"/>
          <w:lang w:val="en-US" w:eastAsia="zh-CN"/>
        </w:rPr>
        <w:t>3</w:t>
      </w:r>
      <w:r>
        <w:rPr>
          <w:rFonts w:ascii="Times New Roman" w:hAnsi="Times New Roman" w:eastAsia="黑体"/>
          <w:sz w:val="24"/>
          <w:szCs w:val="24"/>
        </w:rPr>
        <w:t xml:space="preserve"> </w:t>
      </w:r>
      <w:r>
        <w:rPr>
          <w:rFonts w:hint="eastAsia" w:ascii="Times New Roman" w:hAnsi="Times New Roman" w:eastAsia="黑体"/>
          <w:sz w:val="24"/>
        </w:rPr>
        <w:t>软硬件交互逻辑与接口定义</w:t>
      </w:r>
    </w:p>
    <w:p w14:paraId="1974B697">
      <w:pPr>
        <w:keepNext w:val="0"/>
        <w:keepLines w:val="0"/>
        <w:pageBreakBefore w:val="0"/>
        <w:widowControl w:val="0"/>
        <w:kinsoku/>
        <w:wordWrap/>
        <w:overflowPunct/>
        <w:topLinePunct w:val="0"/>
        <w:autoSpaceDE/>
        <w:autoSpaceDN/>
        <w:bidi w:val="0"/>
        <w:adjustRightInd/>
        <w:snapToGrid/>
        <w:spacing w:after="156" w:afterLines="50" w:line="480" w:lineRule="exact"/>
        <w:ind w:firstLine="480" w:firstLineChars="200"/>
        <w:textAlignment w:val="auto"/>
        <w:rPr>
          <w:rFonts w:hint="eastAsia" w:ascii="Times New Roman" w:hAnsi="Times New Roman"/>
          <w:sz w:val="24"/>
        </w:rPr>
      </w:pPr>
      <w:r>
        <w:rPr>
          <w:rFonts w:hint="eastAsia" w:ascii="Times New Roman" w:hAnsi="Times New Roman"/>
          <w:sz w:val="24"/>
        </w:rPr>
        <w:t>系统基于Modbus Master模式构建闭环，采用“读写分离”机制周期性轮询 PLC 数据，并将云端解算的最优频率指令写入寄存器以驱动变频器调速。具体接口定义如表1所示。</w:t>
      </w:r>
    </w:p>
    <w:p w14:paraId="644EAECC">
      <w:pPr>
        <w:widowControl/>
        <w:jc w:val="center"/>
        <w:rPr>
          <w:rFonts w:hint="eastAsia" w:ascii="Times New Roman" w:hAnsi="Times New Roman" w:eastAsia="宋体"/>
          <w:sz w:val="18"/>
          <w:szCs w:val="18"/>
          <w:lang w:val="en-US" w:eastAsia="zh-CN"/>
        </w:rPr>
      </w:pPr>
      <w:r>
        <w:rPr>
          <w:rFonts w:ascii="Times New Roman" w:hAnsi="Times New Roman"/>
          <w:sz w:val="18"/>
          <w:szCs w:val="18"/>
        </w:rPr>
        <w:t xml:space="preserve">表 </w:t>
      </w:r>
      <w:r>
        <w:rPr>
          <w:rFonts w:ascii="Times New Roman" w:hAnsi="Times New Roman"/>
          <w:sz w:val="18"/>
          <w:szCs w:val="18"/>
        </w:rPr>
        <w:fldChar w:fldCharType="begin"/>
      </w:r>
      <w:r>
        <w:rPr>
          <w:rFonts w:ascii="Times New Roman" w:hAnsi="Times New Roman"/>
          <w:sz w:val="18"/>
          <w:szCs w:val="18"/>
        </w:rPr>
        <w:instrText xml:space="preserve"> SEQ 表 \* ARABIC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r>
        <w:rPr>
          <w:rFonts w:hint="eastAsia" w:ascii="Times New Roman" w:hAnsi="Times New Roman"/>
          <w:sz w:val="18"/>
          <w:szCs w:val="18"/>
          <w:lang w:val="en-US" w:eastAsia="zh-CN"/>
        </w:rPr>
        <w:t xml:space="preserve"> 软硬件交互接口地址映射与数据定义表</w:t>
      </w:r>
    </w:p>
    <w:tbl>
      <w:tblPr>
        <w:tblStyle w:val="9"/>
        <w:tblW w:w="0" w:type="auto"/>
        <w:jc w:val="center"/>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8"/>
        <w:gridCol w:w="1359"/>
        <w:gridCol w:w="1264"/>
        <w:gridCol w:w="1008"/>
        <w:gridCol w:w="1008"/>
        <w:gridCol w:w="4212"/>
      </w:tblGrid>
      <w:tr w14:paraId="3DE19F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tblHeader/>
          <w:jc w:val="center"/>
        </w:trPr>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3109BF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信号名称</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3BCB5C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信号标签</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241DB0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交互方向</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14F2F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协议地址</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7E560F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数据类型</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7B20CE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功能描述与物理意义</w:t>
            </w:r>
          </w:p>
        </w:tc>
      </w:tr>
      <w:tr w14:paraId="314167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6B001A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实时流量</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07843D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3"/>
                <w:rFonts w:hint="default" w:ascii="Times New Roman" w:hAnsi="Times New Roman" w:eastAsia="宋体" w:cs="Times New Roman"/>
                <w:b w:val="0"/>
                <w:color w:val="000000"/>
                <w:kern w:val="0"/>
                <w:sz w:val="18"/>
                <w:szCs w:val="18"/>
                <w:lang w:val="en-US" w:eastAsia="zh-CN" w:bidi="ar"/>
              </w:rPr>
              <w:t>FLOW_RT</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49D66D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PLC </w:t>
            </w:r>
            <m:oMath>
              <m:r>
                <m:rPr/>
                <w:rPr>
                  <w:rFonts w:hint="default" w:ascii="Cambria Math" w:hAnsi="Cambria Math" w:eastAsia="宋体"/>
                  <w:color w:val="000000"/>
                  <w:sz w:val="18"/>
                  <w:szCs w:val="18"/>
                </w:rPr>
                <m:t>→</m:t>
              </m:r>
            </m:oMath>
            <w:r>
              <w:rPr>
                <w:rFonts w:hint="default" w:ascii="Times New Roman" w:hAnsi="Times New Roman" w:eastAsia="宋体" w:cs="Times New Roman"/>
                <w:b w:val="0"/>
                <w:color w:val="000000"/>
                <w:kern w:val="0"/>
                <w:sz w:val="18"/>
                <w:szCs w:val="18"/>
                <w:lang w:val="en-US" w:eastAsia="zh-CN" w:bidi="ar"/>
              </w:rPr>
              <w:t xml:space="preserve"> 软件</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630B98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40001</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276A6C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Float32</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4EEBD6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采集管网瞬时流量 </w:t>
            </w:r>
            <m:oMath>
              <m:r>
                <m:rPr/>
                <w:rPr>
                  <w:rFonts w:hint="default" w:ascii="Cambria Math" w:hAnsi="Cambria Math" w:eastAsia="宋体"/>
                  <w:color w:val="000000"/>
                  <w:sz w:val="18"/>
                  <w:szCs w:val="18"/>
                </w:rPr>
                <m:t>Q</m:t>
              </m:r>
            </m:oMath>
            <w:r>
              <w:rPr>
                <w:rFonts w:hint="default" w:ascii="Times New Roman" w:hAnsi="Times New Roman" w:eastAsia="宋体" w:cs="Times New Roman"/>
                <w:b w:val="0"/>
                <w:color w:val="000000"/>
                <w:kern w:val="0"/>
                <w:sz w:val="18"/>
                <w:szCs w:val="18"/>
                <w:lang w:val="en-US" w:eastAsia="zh-CN" w:bidi="ar"/>
              </w:rPr>
              <w:t xml:space="preserve"> (</w:t>
            </w:r>
            <m:oMath>
              <m:sSup>
                <m:sSupPr>
                  <m:ctrlPr>
                    <w:rPr>
                      <w:rFonts w:hint="default" w:ascii="Cambria Math" w:hAnsi="Cambria Math" w:eastAsia="宋体"/>
                      <w:b w:val="0"/>
                      <w:color w:val="000000"/>
                      <w:sz w:val="18"/>
                      <w:szCs w:val="18"/>
                    </w:rPr>
                  </m:ctrlPr>
                </m:sSupPr>
                <m:e>
                  <m:r>
                    <m:rPr/>
                    <w:rPr>
                      <w:rFonts w:hint="default" w:ascii="Cambria Math" w:hAnsi="Cambria Math" w:eastAsia="宋体"/>
                      <w:color w:val="000000"/>
                      <w:sz w:val="18"/>
                      <w:szCs w:val="18"/>
                    </w:rPr>
                    <m:t>m</m:t>
                  </m:r>
                  <m:ctrlPr>
                    <w:rPr>
                      <w:rFonts w:ascii="Cambria Math" w:hAnsi="Cambria Math" w:eastAsia="宋体"/>
                      <w:b w:val="0"/>
                      <w:color w:val="000000"/>
                      <w:sz w:val="18"/>
                      <w:szCs w:val="18"/>
                    </w:rPr>
                  </m:ctrlPr>
                </m:e>
                <m:sup>
                  <m:r>
                    <m:rPr/>
                    <w:rPr>
                      <w:rFonts w:hint="default" w:ascii="Cambria Math" w:hAnsi="Cambria Math" w:eastAsia="宋体"/>
                      <w:color w:val="000000"/>
                      <w:sz w:val="18"/>
                      <w:szCs w:val="18"/>
                    </w:rPr>
                    <m:t>3</m:t>
                  </m:r>
                  <m:ctrlPr>
                    <w:rPr>
                      <w:rFonts w:ascii="Cambria Math" w:hAnsi="Cambria Math" w:eastAsia="宋体"/>
                      <w:b w:val="0"/>
                      <w:color w:val="000000"/>
                      <w:sz w:val="18"/>
                      <w:szCs w:val="18"/>
                    </w:rPr>
                  </m:ctrlPr>
                </m:sup>
              </m:sSup>
              <m:r>
                <m:rPr/>
                <w:rPr>
                  <w:rFonts w:hint="default" w:ascii="Cambria Math" w:hAnsi="Cambria Math" w:eastAsia="宋体"/>
                  <w:color w:val="000000"/>
                  <w:sz w:val="18"/>
                  <w:szCs w:val="18"/>
                </w:rPr>
                <m:t>/h</m:t>
              </m:r>
            </m:oMath>
            <w:r>
              <w:rPr>
                <w:rFonts w:hint="default" w:ascii="Times New Roman" w:hAnsi="Times New Roman" w:eastAsia="宋体" w:cs="Times New Roman"/>
                <w:b w:val="0"/>
                <w:color w:val="000000"/>
                <w:kern w:val="0"/>
                <w:sz w:val="18"/>
                <w:szCs w:val="18"/>
                <w:lang w:val="en-US" w:eastAsia="zh-CN" w:bidi="ar"/>
              </w:rPr>
              <w:t>)，用于能效计算</w:t>
            </w:r>
          </w:p>
        </w:tc>
      </w:tr>
      <w:tr w14:paraId="1BA8D3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48AFA5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出水压力</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24A88F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3"/>
                <w:rFonts w:hint="default" w:ascii="Times New Roman" w:hAnsi="Times New Roman" w:eastAsia="宋体" w:cs="Times New Roman"/>
                <w:b w:val="0"/>
                <w:color w:val="000000"/>
                <w:kern w:val="0"/>
                <w:sz w:val="18"/>
                <w:szCs w:val="18"/>
                <w:lang w:val="en-US" w:eastAsia="zh-CN" w:bidi="ar"/>
              </w:rPr>
              <w:t>PRESS_OUT</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07E1C1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PLC </w:t>
            </w:r>
            <m:oMath>
              <m:r>
                <m:rPr/>
                <w:rPr>
                  <w:rFonts w:hint="default" w:ascii="Cambria Math" w:hAnsi="Cambria Math" w:eastAsia="宋体"/>
                  <w:color w:val="000000"/>
                  <w:sz w:val="18"/>
                  <w:szCs w:val="18"/>
                </w:rPr>
                <m:t>→</m:t>
              </m:r>
            </m:oMath>
            <w:r>
              <w:rPr>
                <w:rFonts w:hint="default" w:ascii="Times New Roman" w:hAnsi="Times New Roman" w:eastAsia="宋体" w:cs="Times New Roman"/>
                <w:b w:val="0"/>
                <w:color w:val="000000"/>
                <w:kern w:val="0"/>
                <w:sz w:val="18"/>
                <w:szCs w:val="18"/>
                <w:lang w:val="en-US" w:eastAsia="zh-CN" w:bidi="ar"/>
              </w:rPr>
              <w:t xml:space="preserve"> 软件</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3AC2BC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40002</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0F8187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Float32</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6333FF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采集泵后压力 </w:t>
            </w:r>
            <m:oMath>
              <m:sSub>
                <m:sSubPr>
                  <m:ctrlPr>
                    <w:rPr>
                      <w:rFonts w:hint="default" w:ascii="Cambria Math" w:hAnsi="Cambria Math" w:eastAsia="宋体"/>
                      <w:b w:val="0"/>
                      <w:color w:val="000000"/>
                      <w:sz w:val="18"/>
                      <w:szCs w:val="18"/>
                    </w:rPr>
                  </m:ctrlPr>
                </m:sSubPr>
                <m:e>
                  <m:r>
                    <m:rPr/>
                    <w:rPr>
                      <w:rFonts w:hint="default" w:ascii="Cambria Math" w:hAnsi="Cambria Math" w:eastAsia="宋体"/>
                      <w:color w:val="000000"/>
                      <w:sz w:val="18"/>
                      <w:szCs w:val="18"/>
                    </w:rPr>
                    <m:t>P</m:t>
                  </m:r>
                  <m:ctrlPr>
                    <w:rPr>
                      <w:rFonts w:ascii="Cambria Math" w:hAnsi="Cambria Math" w:eastAsia="宋体"/>
                      <w:b w:val="0"/>
                      <w:color w:val="000000"/>
                      <w:sz w:val="18"/>
                      <w:szCs w:val="18"/>
                    </w:rPr>
                  </m:ctrlPr>
                </m:e>
                <m:sub>
                  <m:r>
                    <m:rPr/>
                    <w:rPr>
                      <w:rFonts w:hint="default" w:ascii="Cambria Math" w:hAnsi="Cambria Math" w:eastAsia="宋体"/>
                      <w:color w:val="000000"/>
                      <w:sz w:val="18"/>
                      <w:szCs w:val="18"/>
                    </w:rPr>
                    <m:t>out</m:t>
                  </m:r>
                  <m:ctrlPr>
                    <w:rPr>
                      <w:rFonts w:ascii="Cambria Math" w:hAnsi="Cambria Math" w:eastAsia="宋体"/>
                      <w:b w:val="0"/>
                      <w:color w:val="000000"/>
                      <w:sz w:val="18"/>
                      <w:szCs w:val="18"/>
                    </w:rPr>
                  </m:ctrlPr>
                </m:sub>
              </m:sSub>
            </m:oMath>
            <w:r>
              <w:rPr>
                <w:rFonts w:hint="default" w:ascii="Times New Roman" w:hAnsi="Times New Roman" w:eastAsia="宋体" w:cs="Times New Roman"/>
                <w:b w:val="0"/>
                <w:color w:val="000000"/>
                <w:kern w:val="0"/>
                <w:sz w:val="18"/>
                <w:szCs w:val="18"/>
                <w:lang w:val="en-US" w:eastAsia="zh-CN" w:bidi="ar"/>
              </w:rPr>
              <w:t xml:space="preserve"> (</w:t>
            </w:r>
            <m:oMath>
              <m:r>
                <m:rPr/>
                <w:rPr>
                  <w:rFonts w:hint="default" w:ascii="Cambria Math" w:hAnsi="Cambria Math" w:eastAsia="宋体"/>
                  <w:color w:val="000000"/>
                  <w:sz w:val="18"/>
                  <w:szCs w:val="18"/>
                </w:rPr>
                <m:t>MPa</m:t>
              </m:r>
            </m:oMath>
            <w:r>
              <w:rPr>
                <w:rFonts w:hint="default" w:ascii="Times New Roman" w:hAnsi="Times New Roman" w:eastAsia="宋体" w:cs="Times New Roman"/>
                <w:b w:val="0"/>
                <w:color w:val="000000"/>
                <w:kern w:val="0"/>
                <w:sz w:val="18"/>
                <w:szCs w:val="18"/>
                <w:lang w:val="en-US" w:eastAsia="zh-CN" w:bidi="ar"/>
              </w:rPr>
              <w:t>)，用于扬程推算</w:t>
            </w:r>
          </w:p>
        </w:tc>
      </w:tr>
      <w:tr w14:paraId="64A294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CD484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轴系振动</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78B9B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3"/>
                <w:rFonts w:hint="default" w:ascii="Times New Roman" w:hAnsi="Times New Roman" w:eastAsia="宋体" w:cs="Times New Roman"/>
                <w:b w:val="0"/>
                <w:color w:val="000000"/>
                <w:kern w:val="0"/>
                <w:sz w:val="18"/>
                <w:szCs w:val="18"/>
                <w:lang w:val="en-US" w:eastAsia="zh-CN" w:bidi="ar"/>
              </w:rPr>
              <w:t>VIB_RMS</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441538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PLC </w:t>
            </w:r>
            <m:oMath>
              <m:r>
                <m:rPr/>
                <w:rPr>
                  <w:rFonts w:hint="default" w:ascii="Cambria Math" w:hAnsi="Cambria Math" w:eastAsia="宋体"/>
                  <w:color w:val="000000"/>
                  <w:sz w:val="18"/>
                  <w:szCs w:val="18"/>
                </w:rPr>
                <m:t>→</m:t>
              </m:r>
            </m:oMath>
            <w:r>
              <w:rPr>
                <w:rFonts w:hint="default" w:ascii="Times New Roman" w:hAnsi="Times New Roman" w:eastAsia="宋体" w:cs="Times New Roman"/>
                <w:b w:val="0"/>
                <w:color w:val="000000"/>
                <w:kern w:val="0"/>
                <w:sz w:val="18"/>
                <w:szCs w:val="18"/>
                <w:lang w:val="en-US" w:eastAsia="zh-CN" w:bidi="ar"/>
              </w:rPr>
              <w:t xml:space="preserve"> 软件</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B4FC9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40004</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3CFBA6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Float32</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136A80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采集轴承振动速度有效值 (</w:t>
            </w:r>
            <m:oMath>
              <m:r>
                <m:rPr/>
                <w:rPr>
                  <w:rFonts w:hint="default" w:ascii="Cambria Math" w:hAnsi="Cambria Math" w:eastAsia="宋体"/>
                  <w:color w:val="000000"/>
                  <w:sz w:val="18"/>
                  <w:szCs w:val="18"/>
                </w:rPr>
                <m:t>mm/s</m:t>
              </m:r>
            </m:oMath>
            <w:r>
              <w:rPr>
                <w:rFonts w:hint="default" w:ascii="Times New Roman" w:hAnsi="Times New Roman" w:eastAsia="宋体" w:cs="Times New Roman"/>
                <w:b w:val="0"/>
                <w:color w:val="000000"/>
                <w:kern w:val="0"/>
                <w:sz w:val="18"/>
                <w:szCs w:val="18"/>
                <w:lang w:val="en-US" w:eastAsia="zh-CN" w:bidi="ar"/>
              </w:rPr>
              <w:t>)，用于故障预测</w:t>
            </w:r>
          </w:p>
        </w:tc>
      </w:tr>
      <w:tr w14:paraId="3A2089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229710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频率设定</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378A29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3"/>
                <w:rFonts w:hint="default" w:ascii="Times New Roman" w:hAnsi="Times New Roman" w:eastAsia="宋体" w:cs="Times New Roman"/>
                <w:b w:val="0"/>
                <w:color w:val="000000"/>
                <w:kern w:val="0"/>
                <w:sz w:val="18"/>
                <w:szCs w:val="18"/>
                <w:lang w:val="en-US" w:eastAsia="zh-CN" w:bidi="ar"/>
              </w:rPr>
              <w:t>FREQ_SET</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02468D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软件 </w:t>
            </w:r>
            <m:oMath>
              <m:r>
                <m:rPr/>
                <w:rPr>
                  <w:rFonts w:hint="default" w:ascii="Cambria Math" w:hAnsi="Cambria Math" w:eastAsia="宋体"/>
                  <w:color w:val="000000"/>
                  <w:sz w:val="18"/>
                  <w:szCs w:val="18"/>
                </w:rPr>
                <m:t>→</m:t>
              </m:r>
            </m:oMath>
            <w:r>
              <w:rPr>
                <w:rFonts w:hint="default" w:ascii="Times New Roman" w:hAnsi="Times New Roman" w:eastAsia="宋体" w:cs="Times New Roman"/>
                <w:b w:val="0"/>
                <w:color w:val="000000"/>
                <w:kern w:val="0"/>
                <w:sz w:val="18"/>
                <w:szCs w:val="18"/>
                <w:lang w:val="en-US" w:eastAsia="zh-CN" w:bidi="ar"/>
              </w:rPr>
              <w:t xml:space="preserve"> PLC</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6A9767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40100</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69FF49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Float32</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09AA50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 xml:space="preserve">AI 优化后的目标频率 </w:t>
            </w:r>
            <m:oMath>
              <m:sSub>
                <m:sSubPr>
                  <m:ctrlPr>
                    <w:rPr>
                      <w:rFonts w:hint="default" w:ascii="Cambria Math" w:hAnsi="Cambria Math" w:eastAsia="宋体"/>
                      <w:b w:val="0"/>
                      <w:color w:val="000000"/>
                      <w:sz w:val="18"/>
                      <w:szCs w:val="18"/>
                    </w:rPr>
                  </m:ctrlPr>
                </m:sSubPr>
                <m:e>
                  <m:r>
                    <m:rPr/>
                    <w:rPr>
                      <w:rFonts w:hint="default" w:ascii="Cambria Math" w:hAnsi="Cambria Math" w:eastAsia="宋体"/>
                      <w:color w:val="000000"/>
                      <w:sz w:val="18"/>
                      <w:szCs w:val="18"/>
                    </w:rPr>
                    <m:t>f</m:t>
                  </m:r>
                  <m:ctrlPr>
                    <w:rPr>
                      <w:rFonts w:ascii="Cambria Math" w:hAnsi="Cambria Math" w:eastAsia="宋体"/>
                      <w:b w:val="0"/>
                      <w:color w:val="000000"/>
                      <w:sz w:val="18"/>
                      <w:szCs w:val="18"/>
                    </w:rPr>
                  </m:ctrlPr>
                </m:e>
                <m:sub>
                  <m:r>
                    <m:rPr/>
                    <w:rPr>
                      <w:rFonts w:hint="default" w:ascii="Cambria Math" w:hAnsi="Cambria Math" w:eastAsia="宋体"/>
                      <w:color w:val="000000"/>
                      <w:sz w:val="18"/>
                      <w:szCs w:val="18"/>
                    </w:rPr>
                    <m:t>opt</m:t>
                  </m:r>
                  <m:ctrlPr>
                    <w:rPr>
                      <w:rFonts w:ascii="Cambria Math" w:hAnsi="Cambria Math" w:eastAsia="宋体"/>
                      <w:b w:val="0"/>
                      <w:color w:val="000000"/>
                      <w:sz w:val="18"/>
                      <w:szCs w:val="18"/>
                    </w:rPr>
                  </m:ctrlPr>
                </m:sub>
              </m:sSub>
            </m:oMath>
            <w:r>
              <w:rPr>
                <w:rFonts w:hint="default" w:ascii="Times New Roman" w:hAnsi="Times New Roman" w:eastAsia="宋体" w:cs="Times New Roman"/>
                <w:b w:val="0"/>
                <w:bCs/>
                <w:color w:val="000000"/>
                <w:kern w:val="0"/>
                <w:sz w:val="18"/>
                <w:szCs w:val="18"/>
                <w:lang w:val="en-US" w:eastAsia="zh-CN" w:bidi="ar"/>
              </w:rPr>
              <w:t xml:space="preserve"> (</w:t>
            </w:r>
            <m:oMath>
              <m:r>
                <m:rPr/>
                <w:rPr>
                  <w:rFonts w:hint="default" w:ascii="Cambria Math" w:hAnsi="Cambria Math" w:eastAsia="宋体"/>
                  <w:color w:val="000000"/>
                  <w:sz w:val="18"/>
                  <w:szCs w:val="18"/>
                </w:rPr>
                <m:t>Hz</m:t>
              </m:r>
            </m:oMath>
            <w:r>
              <w:rPr>
                <w:rFonts w:hint="default" w:ascii="Times New Roman" w:hAnsi="Times New Roman" w:eastAsia="宋体" w:cs="Times New Roman"/>
                <w:b w:val="0"/>
                <w:bCs/>
                <w:color w:val="000000"/>
                <w:kern w:val="0"/>
                <w:sz w:val="18"/>
                <w:szCs w:val="18"/>
                <w:lang w:val="en-US" w:eastAsia="zh-CN" w:bidi="ar"/>
              </w:rPr>
              <w:t>)</w:t>
            </w:r>
          </w:p>
        </w:tc>
      </w:tr>
      <w:tr w14:paraId="65A817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399344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启停控制</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1229F8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3"/>
                <w:rFonts w:hint="default" w:ascii="Times New Roman" w:hAnsi="Times New Roman" w:eastAsia="宋体" w:cs="Times New Roman"/>
                <w:b w:val="0"/>
                <w:color w:val="000000"/>
                <w:kern w:val="0"/>
                <w:sz w:val="18"/>
                <w:szCs w:val="18"/>
                <w:lang w:val="en-US" w:eastAsia="zh-CN" w:bidi="ar"/>
              </w:rPr>
              <w:t>CMD_START</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28C2CC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 xml:space="preserve">软件 </w:t>
            </w:r>
            <m:oMath>
              <m:r>
                <m:rPr/>
                <w:rPr>
                  <w:rFonts w:hint="default" w:ascii="Cambria Math" w:hAnsi="Cambria Math" w:eastAsia="宋体"/>
                  <w:color w:val="000000"/>
                  <w:sz w:val="18"/>
                  <w:szCs w:val="18"/>
                </w:rPr>
                <m:t>→</m:t>
              </m:r>
            </m:oMath>
            <w:r>
              <w:rPr>
                <w:rFonts w:hint="default" w:ascii="Times New Roman" w:hAnsi="Times New Roman" w:eastAsia="宋体" w:cs="Times New Roman"/>
                <w:b w:val="0"/>
                <w:color w:val="000000"/>
                <w:kern w:val="0"/>
                <w:sz w:val="18"/>
                <w:szCs w:val="18"/>
                <w:lang w:val="en-US" w:eastAsia="zh-CN" w:bidi="ar"/>
              </w:rPr>
              <w:t xml:space="preserve"> PLC</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3E42C9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00001</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4AD854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Bool</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78D4E7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color w:val="000000"/>
                <w:kern w:val="0"/>
                <w:sz w:val="18"/>
                <w:szCs w:val="18"/>
                <w:lang w:val="en-US" w:eastAsia="zh-CN" w:bidi="ar"/>
              </w:rPr>
              <w:t>紧急情况下的停机保护指令 (0:Stop, 1:Start)</w:t>
            </w:r>
          </w:p>
        </w:tc>
      </w:tr>
    </w:tbl>
    <w:p w14:paraId="08EA9470">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3 理论设计计算</w:t>
      </w:r>
    </w:p>
    <w:p w14:paraId="60EC2BCA">
      <w:pPr>
        <w:keepNext w:val="0"/>
        <w:keepLines w:val="0"/>
        <w:pageBreakBefore w:val="0"/>
        <w:widowControl/>
        <w:kinsoku/>
        <w:wordWrap/>
        <w:overflowPunct/>
        <w:topLinePunct w:val="0"/>
        <w:autoSpaceDE/>
        <w:autoSpaceDN/>
        <w:bidi w:val="0"/>
        <w:adjustRightInd/>
        <w:snapToGrid/>
        <w:spacing w:line="480" w:lineRule="exact"/>
        <w:ind w:firstLine="420" w:firstLineChars="0"/>
        <w:jc w:val="both"/>
        <w:textAlignment w:val="auto"/>
        <w:rPr>
          <w:rFonts w:hint="eastAsia" w:ascii="Times New Roman" w:hAnsi="Times New Roman"/>
          <w:sz w:val="24"/>
          <w:lang w:eastAsia="zh-CN"/>
        </w:rPr>
      </w:pPr>
      <w:r>
        <w:rPr>
          <w:rFonts w:hint="eastAsia" w:ascii="Times New Roman" w:hAnsi="Times New Roman"/>
          <w:sz w:val="24"/>
        </w:rPr>
        <w:t>本章基于流体力学与深度学习的融合架构，重点阐述物理感知、数据修复及故障预测的核心数学模型与计算过程，并给出性能评价指标</w:t>
      </w:r>
      <w:r>
        <w:rPr>
          <w:rFonts w:hint="eastAsia" w:ascii="Times New Roman" w:hAnsi="Times New Roman"/>
          <w:sz w:val="24"/>
          <w:lang w:eastAsia="zh-CN"/>
        </w:rPr>
        <w:t>。</w:t>
      </w:r>
    </w:p>
    <w:p w14:paraId="29B84867">
      <w:pPr>
        <w:spacing w:after="156" w:afterLines="50" w:line="440" w:lineRule="exact"/>
        <w:rPr>
          <w:rFonts w:hint="eastAsia" w:ascii="Times New Roman" w:hAnsi="Times New Roman" w:eastAsia="黑体"/>
          <w:sz w:val="24"/>
        </w:rPr>
      </w:pPr>
      <w:r>
        <w:rPr>
          <w:rFonts w:hint="eastAsia" w:ascii="Times New Roman" w:hAnsi="Times New Roman" w:eastAsia="黑体"/>
          <w:sz w:val="24"/>
          <w:szCs w:val="24"/>
          <w:lang w:val="en-US" w:eastAsia="zh-CN"/>
        </w:rPr>
        <w:t>3</w:t>
      </w:r>
      <w:r>
        <w:rPr>
          <w:rFonts w:ascii="Times New Roman" w:hAnsi="Times New Roman" w:eastAsia="黑体"/>
          <w:sz w:val="24"/>
          <w:szCs w:val="24"/>
        </w:rPr>
        <w:t>.</w:t>
      </w:r>
      <w:r>
        <w:rPr>
          <w:rFonts w:hint="eastAsia" w:ascii="Times New Roman" w:hAnsi="Times New Roman" w:eastAsia="黑体"/>
          <w:sz w:val="24"/>
          <w:szCs w:val="24"/>
          <w:lang w:val="en-US" w:eastAsia="zh-CN"/>
        </w:rPr>
        <w:t>1</w:t>
      </w:r>
      <w:r>
        <w:rPr>
          <w:rFonts w:ascii="Times New Roman" w:hAnsi="Times New Roman" w:eastAsia="黑体"/>
          <w:sz w:val="24"/>
          <w:szCs w:val="24"/>
        </w:rPr>
        <w:t xml:space="preserve"> </w:t>
      </w:r>
      <w:r>
        <w:rPr>
          <w:rFonts w:hint="eastAsia" w:ascii="Times New Roman" w:hAnsi="Times New Roman" w:eastAsia="黑体"/>
          <w:sz w:val="24"/>
        </w:rPr>
        <w:t>基于流体力学机理的能效寻优模型</w:t>
      </w:r>
    </w:p>
    <w:p w14:paraId="4CA2E051">
      <w:pPr>
        <w:spacing w:after="156" w:afterLines="50" w:line="44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物理感知引擎是智水先知平台实现节能调控的理论基石，其核心任务是根据实时工况计算离心泵的最最佳运行频率。系统依据离心泵相似定律构建变频调节的数学模型，当泵机转速从</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ascii="Times New Roman" w:hAnsi="Times New Roman"/>
          <w:sz w:val="24"/>
          <w:lang w:val="en-US" w:eastAsia="zh-CN"/>
        </w:rPr>
        <w:t>调控至</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ascii="Times New Roman" w:hAnsi="Times New Roman"/>
          <w:sz w:val="24"/>
          <w:lang w:val="en-US" w:eastAsia="zh-CN"/>
        </w:rPr>
        <w:t>时，其流量</w:t>
      </w:r>
      <m:oMath>
        <m:r>
          <m:rPr/>
          <w:rPr>
            <w:rFonts w:hint="default" w:ascii="Cambria Math" w:hAnsi="Cambria Math"/>
            <w:sz w:val="24"/>
          </w:rPr>
          <m:t>Q</m:t>
        </m:r>
      </m:oMath>
      <w:r>
        <w:rPr>
          <w:rFonts w:hint="eastAsia" w:ascii="Times New Roman" w:hAnsi="Times New Roman"/>
          <w:sz w:val="24"/>
          <w:lang w:val="en-US" w:eastAsia="zh-CN"/>
        </w:rPr>
        <w:t>、扬程</w:t>
      </w:r>
      <m:oMath>
        <m:r>
          <m:rPr/>
          <w:rPr>
            <w:rFonts w:hint="default" w:ascii="Cambria Math" w:hAnsi="Cambria Math"/>
            <w:sz w:val="24"/>
          </w:rPr>
          <m:t>H</m:t>
        </m:r>
      </m:oMath>
      <w:r>
        <w:rPr>
          <w:rFonts w:hint="eastAsia" w:ascii="Times New Roman" w:hAnsi="Times New Roman"/>
          <w:sz w:val="24"/>
          <w:lang w:val="en-US" w:eastAsia="zh-CN"/>
        </w:rPr>
        <w:t>与轴功率</w:t>
      </w:r>
      <m:oMath>
        <m:r>
          <m:rPr/>
          <w:rPr>
            <w:rFonts w:hint="default" w:ascii="Cambria Math" w:hAnsi="Cambria Math"/>
            <w:sz w:val="24"/>
          </w:rPr>
          <m:t>P</m:t>
        </m:r>
      </m:oMath>
      <w:r>
        <w:rPr>
          <w:rFonts w:hint="eastAsia" w:ascii="Times New Roman" w:hAnsi="Times New Roman"/>
          <w:sz w:val="24"/>
          <w:lang w:val="en-US" w:eastAsia="zh-CN"/>
        </w:rPr>
        <w:t>的理论变换关系如下式所示。</w:t>
      </w:r>
    </w:p>
    <w:p w14:paraId="7DF69A68">
      <w:pPr>
        <w:keepNext w:val="0"/>
        <w:keepLines w:val="0"/>
        <w:pageBreakBefore w:val="0"/>
        <w:widowControl/>
        <w:kinsoku/>
        <w:wordWrap/>
        <w:overflowPunct/>
        <w:topLinePunct w:val="0"/>
        <w:autoSpaceDE/>
        <w:autoSpaceDN/>
        <w:bidi w:val="0"/>
        <w:adjustRightInd/>
        <w:snapToGrid/>
        <w:spacing w:line="480" w:lineRule="exact"/>
        <w:ind w:firstLine="0" w:firstLineChars="0"/>
        <w:jc w:val="both"/>
        <w:textAlignment w:val="auto"/>
        <w:rPr>
          <w:rFonts w:hint="eastAsia" w:hAnsi="Cambria Math"/>
          <w:i w:val="0"/>
          <w:sz w:val="24"/>
          <w:lang w:val="en-US" w:eastAsia="zh-CN"/>
        </w:rPr>
      </w:pPr>
      <m:oMathPara>
        <m:oMath>
          <m:eqArr>
            <m:eqArrPr>
              <m:maxDist m:val="1"/>
              <m:ctrlPr>
                <w:rPr>
                  <w:rFonts w:hint="eastAsia" w:hAnsi="Cambria Math"/>
                  <w:i w:val="0"/>
                  <w:sz w:val="24"/>
                  <w:lang w:val="en-US" w:eastAsia="zh-CN"/>
                </w:rPr>
              </m:ctrlPr>
            </m:eqArr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, </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sSup>
                <m:sSupPr>
                  <m:ctrlPr>
                    <w:rPr>
                      <w:rFonts w:hint="default" w:ascii="Cambria Math" w:hAnsi="Cambria Math"/>
                      <w:sz w:val="24"/>
                    </w:rPr>
                  </m:ctrlPr>
                </m:sSupPr>
                <m:e>
                  <m:d>
                    <m:dPr>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r>
                <m:rPr/>
                <w:rPr>
                  <w:rFonts w:hint="default" w:ascii="Cambria Math" w:hAnsi="Cambria Math"/>
                  <w:sz w:val="24"/>
                </w:rPr>
                <m:t>, </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i/>
                          <w:sz w:val="24"/>
                        </w:rPr>
                      </m:ctrlPr>
                    </m:e>
                    <m:sub>
                      <m:r>
                        <m:rPr/>
                        <w:rPr>
                          <w:rFonts w:hint="default" w:ascii="Cambria Math" w:hAnsi="Cambria Math"/>
                          <w:sz w:val="24"/>
                        </w:rPr>
                        <m:t>1</m:t>
                      </m:r>
                      <m:ctrlPr>
                        <w:rPr>
                          <w:rFonts w:hint="default" w:ascii="Cambria Math" w:hAnsi="Cambria Math"/>
                          <w:i/>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i/>
                          <w:sz w:val="24"/>
                        </w:rPr>
                      </m:ctrlPr>
                    </m:e>
                    <m:sub>
                      <m:r>
                        <m:rPr/>
                        <w:rPr>
                          <w:rFonts w:hint="default" w:ascii="Cambria Math" w:hAnsi="Cambria Math"/>
                          <w:sz w:val="24"/>
                        </w:rPr>
                        <m:t>0</m:t>
                      </m:r>
                      <m:ctrlPr>
                        <w:rPr>
                          <w:rFonts w:hint="default" w:ascii="Cambria Math" w:hAnsi="Cambria Math"/>
                          <w:i/>
                          <w:sz w:val="24"/>
                        </w:rPr>
                      </m:ctrlPr>
                    </m:sub>
                  </m:sSub>
                  <m:ctrlPr>
                    <w:rPr>
                      <w:rFonts w:hint="default" w:ascii="Cambria Math" w:hAnsi="Cambria Math"/>
                      <w:sz w:val="24"/>
                    </w:rPr>
                  </m:ctrlPr>
                </m:den>
              </m:f>
              <m:r>
                <m:rPr/>
                <w:rPr>
                  <w:rFonts w:hint="default" w:ascii="Cambria Math" w:hAnsi="Cambria Math"/>
                  <w:sz w:val="24"/>
                </w:rPr>
                <m:t>=</m:t>
              </m:r>
              <m:sSup>
                <m:sSupPr>
                  <m:ctrlPr>
                    <w:rPr>
                      <w:rFonts w:hint="default" w:ascii="Cambria Math" w:hAnsi="Cambria Math"/>
                      <w:sz w:val="24"/>
                    </w:rPr>
                  </m:ctrlPr>
                </m:sSupPr>
                <m:e>
                  <m:d>
                    <m:dPr>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p>
                  <m:r>
                    <m:rPr/>
                    <w:rPr>
                      <w:rFonts w:hint="default" w:ascii="Cambria Math" w:hAnsi="Cambria Math"/>
                      <w:sz w:val="24"/>
                    </w:rPr>
                    <m:t>3</m:t>
                  </m:r>
                  <m:ctrlPr>
                    <w:rPr>
                      <w:rFonts w:hint="default" w:ascii="Cambria Math" w:hAnsi="Cambria Math"/>
                      <w:i/>
                      <w:sz w:val="24"/>
                    </w:rPr>
                  </m:ctrlPr>
                </m:sup>
              </m:sSup>
              <m:r>
                <m:rPr>
                  <m:sty m:val="p"/>
                </m:rPr>
                <w:rPr>
                  <w:rFonts w:hint="default" w:ascii="Cambria Math" w:hAnsi="Cambria Math"/>
                  <w:sz w:val="24"/>
                  <w:lang w:val="en-US" w:eastAsia="zh-CN"/>
                </w:rPr>
                <m:t>#</m:t>
              </m:r>
              <m:r>
                <m:rPr>
                  <m:sty m:val="p"/>
                </m:rPr>
                <w:rPr>
                  <w:rFonts w:hint="eastAsia" w:ascii="Cambria Math" w:hAnsi="Cambria Math"/>
                  <w:sz w:val="24"/>
                  <w:lang w:val="en-US" w:eastAsia="zh-CN"/>
                </w:rPr>
                <m:t>（</m:t>
              </m:r>
              <m:r>
                <m:rPr>
                  <m:sty m:val="p"/>
                </m:rPr>
                <w:rPr>
                  <w:rFonts w:hint="default" w:ascii="Cambria Math" w:hAnsi="Cambria Math"/>
                  <w:sz w:val="24"/>
                  <w:lang w:val="en-US" w:eastAsia="zh-CN"/>
                </w:rPr>
                <m:t>1</m:t>
              </m:r>
              <m:r>
                <m:rPr>
                  <m:sty m:val="p"/>
                </m:rPr>
                <w:rPr>
                  <w:rFonts w:hint="eastAsia" w:ascii="Cambria Math" w:hAnsi="Cambria Math"/>
                  <w:sz w:val="24"/>
                  <w:lang w:val="en-US" w:eastAsia="zh-CN"/>
                </w:rPr>
                <m:t>）</m:t>
              </m:r>
              <m:ctrlPr>
                <w:rPr>
                  <w:rFonts w:hint="eastAsia" w:hAnsi="Cambria Math"/>
                  <w:i w:val="0"/>
                  <w:sz w:val="24"/>
                  <w:lang w:val="en-US" w:eastAsia="zh-CN"/>
                </w:rPr>
              </m:ctrlPr>
            </m:e>
          </m:eqArr>
        </m:oMath>
      </m:oMathPara>
    </w:p>
    <w:p w14:paraId="028BD4FB">
      <w:pPr>
        <w:keepNext w:val="0"/>
        <w:keepLines w:val="0"/>
        <w:pageBreakBefore w:val="0"/>
        <w:widowControl/>
        <w:kinsoku/>
        <w:wordWrap/>
        <w:overflowPunct/>
        <w:topLinePunct w:val="0"/>
        <w:autoSpaceDE/>
        <w:autoSpaceDN/>
        <w:bidi w:val="0"/>
        <w:adjustRightInd/>
        <w:snapToGrid/>
        <w:spacing w:line="48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由式(1)可知功率与转速呈立方关系，降速节能显著。系统联立管网阻力模型</w:t>
      </w:r>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ST</m:t>
            </m:r>
            <m:ctrlPr>
              <w:rPr>
                <w:rFonts w:ascii="Cambria Math" w:hAnsi="Cambria Math"/>
                <w:sz w:val="24"/>
              </w:rPr>
            </m:ctrlPr>
          </m:sub>
        </m:sSub>
        <m:r>
          <m:rPr/>
          <w:rPr>
            <w:rFonts w:hint="default" w:ascii="Cambria Math" w:hAnsi="Cambria Math"/>
            <w:sz w:val="24"/>
          </w:rPr>
          <m:t>+S</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eastAsia" w:ascii="Times New Roman" w:hAnsi="Times New Roman"/>
          <w:sz w:val="24"/>
          <w:lang w:val="en-US" w:eastAsia="zh-CN"/>
        </w:rPr>
        <w:t>与泵特性方程，利用牛顿迭代法求解最佳工况点</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opt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opt</m:t>
            </m:r>
            <m:ctrlPr>
              <w:rPr>
                <w:rFonts w:ascii="Cambria Math" w:hAnsi="Cambria Math"/>
                <w:sz w:val="24"/>
              </w:rPr>
            </m:ctrlPr>
          </m:sub>
        </m:sSub>
        <m:r>
          <m:rPr/>
          <w:rPr>
            <w:rFonts w:hint="default" w:ascii="Cambria Math" w:hAnsi="Cambria Math"/>
            <w:sz w:val="24"/>
          </w:rPr>
          <m:t>)</m:t>
        </m:r>
      </m:oMath>
      <w:r>
        <w:rPr>
          <w:rFonts w:hint="eastAsia" w:ascii="Times New Roman" w:hAnsi="Times New Roman"/>
          <w:sz w:val="24"/>
          <w:lang w:val="en-US" w:eastAsia="zh-CN"/>
        </w:rPr>
        <w:t>及指令</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opt</m:t>
            </m:r>
            <m:ctrlPr>
              <w:rPr>
                <w:rFonts w:ascii="Cambria Math" w:hAnsi="Cambria Math"/>
                <w:sz w:val="24"/>
              </w:rPr>
            </m:ctrlPr>
          </m:sub>
        </m:sSub>
      </m:oMath>
      <w:r>
        <w:rPr>
          <w:rFonts w:hint="eastAsia" w:ascii="Times New Roman" w:hAnsi="Times New Roman"/>
          <w:sz w:val="24"/>
          <w:lang w:val="en-US" w:eastAsia="zh-CN"/>
        </w:rPr>
        <w:t>。图4展示了该原理。</w:t>
      </w:r>
    </w:p>
    <w:tbl>
      <w:tblPr>
        <w:tblStyle w:val="9"/>
        <w:tblW w:w="0" w:type="auto"/>
        <w:jc w:val="center"/>
        <w:tblLayout w:type="autofit"/>
        <w:tblCellMar>
          <w:top w:w="0" w:type="dxa"/>
          <w:left w:w="108" w:type="dxa"/>
          <w:bottom w:w="0" w:type="dxa"/>
          <w:right w:w="108" w:type="dxa"/>
        </w:tblCellMar>
      </w:tblPr>
      <w:tblGrid>
        <w:gridCol w:w="8522"/>
      </w:tblGrid>
      <w:tr w14:paraId="7E7C85C8">
        <w:tblPrEx>
          <w:tblCellMar>
            <w:top w:w="0" w:type="dxa"/>
            <w:left w:w="108" w:type="dxa"/>
            <w:bottom w:w="0" w:type="dxa"/>
            <w:right w:w="108" w:type="dxa"/>
          </w:tblCellMar>
        </w:tblPrEx>
        <w:trPr>
          <w:jc w:val="center"/>
        </w:trPr>
        <w:tc>
          <w:tcPr>
            <w:tcW w:w="8522" w:type="dxa"/>
            <w:shd w:val="clear" w:color="auto" w:fill="auto"/>
          </w:tcPr>
          <w:p w14:paraId="3770D130">
            <w:pPr>
              <w:widowControl/>
              <w:jc w:val="center"/>
              <w:rPr>
                <w:rFonts w:ascii="Times New Roman" w:hAnsi="Times New Roman"/>
                <w:color w:val="FF0000"/>
                <w:sz w:val="24"/>
                <w:szCs w:val="24"/>
                <w:highlight w:val="yellow"/>
              </w:rPr>
            </w:pPr>
            <w:r>
              <w:rPr>
                <w:rFonts w:ascii="Times New Roman Regular" w:hAnsi="Times New Roman Regular" w:cs="Times New Roman Regular"/>
              </w:rPr>
              <w:drawing>
                <wp:inline distT="0" distB="0" distL="114300" distR="114300">
                  <wp:extent cx="2890520" cy="1527810"/>
                  <wp:effectExtent l="0" t="0" r="5080" b="11430"/>
                  <wp:docPr id="8" name="图片 8" descr="E:/13.兰理工读研/02.比赛文件/02.研二/15.节能减排/节能占位图4.png节能占位图4"/>
                  <wp:cNvGraphicFramePr/>
                  <a:graphic xmlns:a="http://schemas.openxmlformats.org/drawingml/2006/main">
                    <a:graphicData uri="http://schemas.openxmlformats.org/drawingml/2006/picture">
                      <pic:pic xmlns:pic="http://schemas.openxmlformats.org/drawingml/2006/picture">
                        <pic:nvPicPr>
                          <pic:cNvPr id="8" name="图片 8" descr="E:/13.兰理工读研/02.比赛文件/02.研二/15.节能减排/节能占位图4.png节能占位图4"/>
                          <pic:cNvPicPr/>
                        </pic:nvPicPr>
                        <pic:blipFill>
                          <a:blip r:embed="rId8"/>
                          <a:srcRect t="5011"/>
                          <a:stretch>
                            <a:fillRect/>
                          </a:stretch>
                        </pic:blipFill>
                        <pic:spPr>
                          <a:xfrm>
                            <a:off x="0" y="0"/>
                            <a:ext cx="2890520" cy="1527810"/>
                          </a:xfrm>
                          <a:prstGeom prst="rect">
                            <a:avLst/>
                          </a:prstGeom>
                          <a:noFill/>
                          <a:ln>
                            <a:noFill/>
                          </a:ln>
                        </pic:spPr>
                      </pic:pic>
                    </a:graphicData>
                  </a:graphic>
                </wp:inline>
              </w:drawing>
            </w:r>
          </w:p>
          <w:p w14:paraId="3A8F4FDB">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4</w:t>
            </w:r>
            <w:r>
              <w:rPr>
                <w:rFonts w:ascii="Times New Roman" w:hAnsi="Times New Roman"/>
                <w:sz w:val="18"/>
                <w:szCs w:val="18"/>
              </w:rPr>
              <w:t xml:space="preserve"> </w:t>
            </w:r>
            <w:r>
              <w:rPr>
                <w:rFonts w:hint="eastAsia" w:ascii="Times New Roman" w:hAnsi="Times New Roman"/>
                <w:sz w:val="18"/>
                <w:szCs w:val="18"/>
              </w:rPr>
              <w:t>离心泵变频调速节能原理与最佳工况点漂移示意图</w:t>
            </w:r>
          </w:p>
        </w:tc>
      </w:tr>
    </w:tbl>
    <w:p w14:paraId="0F0D60D6">
      <w:pPr>
        <w:spacing w:after="156" w:afterLines="50" w:line="440" w:lineRule="exact"/>
        <w:rPr>
          <w:rFonts w:hint="eastAsia" w:ascii="Times New Roman" w:hAnsi="Times New Roman" w:eastAsia="黑体"/>
          <w:sz w:val="24"/>
        </w:rPr>
      </w:pPr>
      <w:r>
        <w:rPr>
          <w:rFonts w:hint="eastAsia" w:ascii="Times New Roman" w:hAnsi="Times New Roman" w:eastAsia="黑体"/>
          <w:sz w:val="24"/>
          <w:szCs w:val="24"/>
          <w:lang w:val="en-US" w:eastAsia="zh-CN"/>
        </w:rPr>
        <w:t>3</w:t>
      </w:r>
      <w:r>
        <w:rPr>
          <w:rFonts w:ascii="Times New Roman" w:hAnsi="Times New Roman" w:eastAsia="黑体"/>
          <w:sz w:val="24"/>
          <w:szCs w:val="24"/>
        </w:rPr>
        <w:t>.</w:t>
      </w:r>
      <w:r>
        <w:rPr>
          <w:rFonts w:hint="eastAsia" w:ascii="Times New Roman" w:hAnsi="Times New Roman" w:eastAsia="黑体"/>
          <w:sz w:val="24"/>
          <w:szCs w:val="24"/>
          <w:lang w:val="en-US" w:eastAsia="zh-CN"/>
        </w:rPr>
        <w:t>2</w:t>
      </w:r>
      <w:r>
        <w:rPr>
          <w:rFonts w:ascii="Times New Roman" w:hAnsi="Times New Roman" w:eastAsia="黑体"/>
          <w:sz w:val="24"/>
          <w:szCs w:val="24"/>
        </w:rPr>
        <w:t xml:space="preserve"> </w:t>
      </w:r>
      <w:r>
        <w:rPr>
          <w:rFonts w:hint="eastAsia" w:ascii="Times New Roman" w:hAnsi="Times New Roman" w:eastAsia="黑体"/>
          <w:sz w:val="24"/>
        </w:rPr>
        <w:t>基于时空图神经网络的数据修复算法</w:t>
      </w:r>
    </w:p>
    <w:p w14:paraId="1B08CAF0">
      <w:pPr>
        <w:keepNext w:val="0"/>
        <w:keepLines w:val="0"/>
        <w:pageBreakBefore w:val="0"/>
        <w:widowControl/>
        <w:kinsoku/>
        <w:wordWrap/>
        <w:overflowPunct/>
        <w:topLinePunct w:val="0"/>
        <w:autoSpaceDE/>
        <w:autoSpaceDN/>
        <w:bidi w:val="0"/>
        <w:adjustRightInd/>
        <w:snapToGrid/>
        <w:spacing w:line="480" w:lineRule="exact"/>
        <w:ind w:firstLine="480" w:firstLineChars="200"/>
        <w:jc w:val="both"/>
        <w:textAlignment w:val="auto"/>
        <w:rPr>
          <w:rFonts w:hint="eastAsia" w:hAnsi="Cambria Math"/>
          <w:i w:val="0"/>
          <w:sz w:val="24"/>
          <w:lang w:val="en-US" w:eastAsia="zh-CN"/>
        </w:rPr>
      </w:pPr>
      <w:r>
        <w:rPr>
          <w:rFonts w:hint="eastAsia" w:ascii="Times New Roman" w:hAnsi="Times New Roman"/>
          <w:sz w:val="24"/>
          <w:lang w:val="en-US" w:eastAsia="zh-CN"/>
        </w:rPr>
        <w:t>针对传感器数据缺失难题，ST-LLM模型创新引入GNN捕捉空间拓扑。系统将传感器网络定义为图</w:t>
      </w:r>
      <m:oMath>
        <m:r>
          <m:rPr/>
          <w:rPr>
            <w:rFonts w:hint="default" w:ascii="Cambria Math" w:hAnsi="Cambria Math"/>
            <w:sz w:val="24"/>
          </w:rPr>
          <m:t>G=(V,E)</m:t>
        </m:r>
      </m:oMath>
      <w:r>
        <w:rPr>
          <w:rFonts w:hint="eastAsia" w:ascii="Times New Roman" w:hAnsi="Times New Roman"/>
          <w:sz w:val="24"/>
          <w:lang w:val="en-US" w:eastAsia="zh-CN"/>
        </w:rPr>
        <w:t>，利用图注意力机制聚合邻居信息以提取空间特征，并结合Transformer 多头自注意力层捕捉长距离时序依赖。模型通过最小化MSE损失函数进行端到端训练，有效保障了数据的一致性与完整性。</w:t>
      </w:r>
    </w:p>
    <w:p w14:paraId="28D35F83">
      <w:pPr>
        <w:spacing w:after="156" w:afterLines="50" w:line="440" w:lineRule="exact"/>
        <w:rPr>
          <w:rFonts w:hint="eastAsia" w:ascii="Times New Roman" w:hAnsi="Times New Roman" w:eastAsia="黑体"/>
          <w:sz w:val="24"/>
        </w:rPr>
      </w:pPr>
      <w:r>
        <w:rPr>
          <w:rFonts w:hint="eastAsia" w:ascii="Times New Roman" w:hAnsi="Times New Roman" w:eastAsia="黑体"/>
          <w:sz w:val="24"/>
          <w:szCs w:val="24"/>
          <w:lang w:val="en-US" w:eastAsia="zh-CN"/>
        </w:rPr>
        <w:t>3</w:t>
      </w:r>
      <w:r>
        <w:rPr>
          <w:rFonts w:ascii="Times New Roman" w:hAnsi="Times New Roman" w:eastAsia="黑体"/>
          <w:sz w:val="24"/>
          <w:szCs w:val="24"/>
        </w:rPr>
        <w:t>.</w:t>
      </w:r>
      <w:r>
        <w:rPr>
          <w:rFonts w:hint="eastAsia" w:ascii="Times New Roman" w:hAnsi="Times New Roman" w:eastAsia="黑体"/>
          <w:sz w:val="24"/>
          <w:szCs w:val="24"/>
          <w:lang w:val="en-US" w:eastAsia="zh-CN"/>
        </w:rPr>
        <w:t>3</w:t>
      </w:r>
      <w:r>
        <w:rPr>
          <w:rFonts w:ascii="Times New Roman" w:hAnsi="Times New Roman" w:eastAsia="黑体"/>
          <w:sz w:val="24"/>
          <w:szCs w:val="24"/>
        </w:rPr>
        <w:t xml:space="preserve"> </w:t>
      </w:r>
      <w:r>
        <w:rPr>
          <w:rFonts w:hint="eastAsia" w:ascii="Times New Roman" w:hAnsi="Times New Roman" w:eastAsia="黑体"/>
          <w:sz w:val="24"/>
        </w:rPr>
        <w:t>双向长短期记忆网络故障预测模型</w:t>
      </w:r>
    </w:p>
    <w:p w14:paraId="73CE718E">
      <w:pPr>
        <w:keepNext w:val="0"/>
        <w:keepLines w:val="0"/>
        <w:pageBreakBefore w:val="0"/>
        <w:widowControl/>
        <w:kinsoku/>
        <w:wordWrap/>
        <w:overflowPunct/>
        <w:topLinePunct w:val="0"/>
        <w:autoSpaceDE/>
        <w:autoSpaceDN/>
        <w:bidi w:val="0"/>
        <w:adjustRightInd/>
        <w:snapToGrid/>
        <w:spacing w:line="48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故障预测模块利用Bi-LSTM双向提取振动时序特征，通过遗忘门、输入门与输出门动态调节信息流，有效克服了传统RNN的梯度消失问题。模型将前向隐状态</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ascii="Times New Roman" w:hAnsi="Times New Roman"/>
          <w:sz w:val="24"/>
          <w:lang w:val="en-US" w:eastAsia="zh-CN"/>
        </w:rPr>
        <w:t>与后向隐状态</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ascii="Times New Roman" w:hAnsi="Times New Roman"/>
          <w:sz w:val="24"/>
          <w:lang w:val="en-US" w:eastAsia="zh-CN"/>
        </w:rPr>
        <w:t>拼接为最终特征向量</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oMath>
      <w:r>
        <w:rPr>
          <w:rFonts w:hint="eastAsia" w:ascii="Times New Roman" w:hAnsi="Times New Roman"/>
          <w:sz w:val="24"/>
          <w:lang w:val="en-US" w:eastAsia="zh-CN"/>
        </w:rPr>
        <w:t>，并输入</w:t>
      </w:r>
      <m:oMath>
        <m:r>
          <m:rPr/>
          <w:rPr>
            <w:rFonts w:hint="default" w:ascii="Cambria Math" w:hAnsi="Cambria Math"/>
            <w:sz w:val="24"/>
          </w:rPr>
          <m:t>Softmax</m:t>
        </m:r>
      </m:oMath>
      <w:r>
        <w:rPr>
          <w:rFonts w:hint="eastAsia" w:ascii="Times New Roman" w:hAnsi="Times New Roman"/>
          <w:sz w:val="24"/>
          <w:lang w:val="en-US" w:eastAsia="zh-CN"/>
        </w:rPr>
        <w:t>分类器计算设备未来24小时的故障概率分布</w:t>
      </w:r>
      <m:oMath>
        <m:r>
          <m:rPr/>
          <w:rPr>
            <w:rFonts w:hint="default" w:ascii="Cambria Math" w:hAnsi="Cambria Math"/>
            <w:sz w:val="24"/>
          </w:rPr>
          <m:t>P(y|x)=Softmax(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r>
          <m:rPr/>
          <w:rPr>
            <w:rFonts w:hint="default" w:ascii="Cambria Math" w:hAnsi="Cambria Math"/>
            <w:sz w:val="24"/>
          </w:rPr>
          <m:t>)</m:t>
        </m:r>
      </m:oMath>
      <w:r>
        <w:rPr>
          <w:rFonts w:hint="eastAsia" w:ascii="Times New Roman" w:hAnsi="Times New Roman"/>
          <w:sz w:val="24"/>
          <w:lang w:val="en-US" w:eastAsia="zh-CN"/>
        </w:rPr>
        <w:t>。如图5所示，该机制能够在长达数千个采样点的振动信号中精准捕捉轴承磨损早期的微弱征兆。</w:t>
      </w:r>
    </w:p>
    <w:tbl>
      <w:tblPr>
        <w:tblStyle w:val="9"/>
        <w:tblW w:w="0" w:type="auto"/>
        <w:jc w:val="center"/>
        <w:tblLayout w:type="autofit"/>
        <w:tblCellMar>
          <w:top w:w="0" w:type="dxa"/>
          <w:left w:w="108" w:type="dxa"/>
          <w:bottom w:w="0" w:type="dxa"/>
          <w:right w:w="108" w:type="dxa"/>
        </w:tblCellMar>
      </w:tblPr>
      <w:tblGrid>
        <w:gridCol w:w="8522"/>
      </w:tblGrid>
      <w:tr w14:paraId="04462E1C">
        <w:tblPrEx>
          <w:tblCellMar>
            <w:top w:w="0" w:type="dxa"/>
            <w:left w:w="108" w:type="dxa"/>
            <w:bottom w:w="0" w:type="dxa"/>
            <w:right w:w="108" w:type="dxa"/>
          </w:tblCellMar>
        </w:tblPrEx>
        <w:trPr>
          <w:jc w:val="center"/>
        </w:trPr>
        <w:tc>
          <w:tcPr>
            <w:tcW w:w="8522" w:type="dxa"/>
            <w:shd w:val="clear" w:color="auto" w:fill="auto"/>
          </w:tcPr>
          <w:p w14:paraId="7A9B2F43">
            <w:pPr>
              <w:widowControl/>
              <w:jc w:val="center"/>
              <w:rPr>
                <w:rFonts w:ascii="Times New Roman" w:hAnsi="Times New Roman"/>
                <w:color w:val="FF0000"/>
                <w:sz w:val="24"/>
                <w:szCs w:val="24"/>
                <w:highlight w:val="yellow"/>
              </w:rPr>
            </w:pPr>
            <w:r>
              <w:drawing>
                <wp:inline distT="0" distB="0" distL="114300" distR="114300">
                  <wp:extent cx="3187700" cy="1744345"/>
                  <wp:effectExtent l="0" t="0" r="12700" b="8255"/>
                  <wp:docPr id="13" name="图片 4"/>
                  <wp:cNvGraphicFramePr/>
                  <a:graphic xmlns:a="http://schemas.openxmlformats.org/drawingml/2006/main">
                    <a:graphicData uri="http://schemas.openxmlformats.org/drawingml/2006/picture">
                      <pic:pic xmlns:pic="http://schemas.openxmlformats.org/drawingml/2006/picture">
                        <pic:nvPicPr>
                          <pic:cNvPr id="13" name="图片 4"/>
                          <pic:cNvPicPr/>
                        </pic:nvPicPr>
                        <pic:blipFill>
                          <a:blip r:embed="rId9"/>
                          <a:stretch>
                            <a:fillRect/>
                          </a:stretch>
                        </pic:blipFill>
                        <pic:spPr>
                          <a:xfrm>
                            <a:off x="0" y="0"/>
                            <a:ext cx="3187700" cy="1744345"/>
                          </a:xfrm>
                          <a:prstGeom prst="rect">
                            <a:avLst/>
                          </a:prstGeom>
                          <a:noFill/>
                          <a:ln>
                            <a:noFill/>
                          </a:ln>
                        </pic:spPr>
                      </pic:pic>
                    </a:graphicData>
                  </a:graphic>
                </wp:inline>
              </w:drawing>
            </w:r>
          </w:p>
          <w:p w14:paraId="1FDCE935">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5</w:t>
            </w:r>
            <w:r>
              <w:rPr>
                <w:rFonts w:ascii="Times New Roman" w:hAnsi="Times New Roman"/>
                <w:sz w:val="18"/>
                <w:szCs w:val="18"/>
              </w:rPr>
              <w:t xml:space="preserve"> </w:t>
            </w:r>
            <w:r>
              <w:rPr>
                <w:rFonts w:hint="eastAsia" w:ascii="Times New Roman" w:hAnsi="Times New Roman"/>
                <w:sz w:val="18"/>
                <w:szCs w:val="18"/>
              </w:rPr>
              <w:t>基于Bi-LSTM的时序特征提取与状态更新机制图</w:t>
            </w:r>
          </w:p>
        </w:tc>
      </w:tr>
    </w:tbl>
    <w:p w14:paraId="5EE4260D">
      <w:pPr>
        <w:keepNext w:val="0"/>
        <w:keepLines w:val="0"/>
        <w:pageBreakBefore w:val="0"/>
        <w:widowControl/>
        <w:kinsoku/>
        <w:wordWrap/>
        <w:overflowPunct/>
        <w:topLinePunct w:val="0"/>
        <w:autoSpaceDE/>
        <w:autoSpaceDN/>
        <w:bidi w:val="0"/>
        <w:adjustRightInd/>
        <w:snapToGrid/>
        <w:spacing w:line="48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结合以上网络结构，模型能够有效克服传统RNN的梯度消失问题，从而在长达数千个采样点的振动信号中精准捕捉轴承磨损早期的微弱征兆。</w:t>
      </w:r>
    </w:p>
    <w:p w14:paraId="35B5C90E">
      <w:pPr>
        <w:spacing w:after="156" w:afterLines="50" w:line="440" w:lineRule="exact"/>
        <w:rPr>
          <w:rFonts w:hint="eastAsia" w:ascii="Times New Roman" w:hAnsi="Times New Roman" w:eastAsia="黑体"/>
          <w:sz w:val="24"/>
        </w:rPr>
      </w:pPr>
      <w:r>
        <w:rPr>
          <w:rFonts w:hint="eastAsia" w:ascii="Times New Roman" w:hAnsi="Times New Roman" w:eastAsia="黑体"/>
          <w:sz w:val="24"/>
          <w:szCs w:val="24"/>
          <w:lang w:val="en-US" w:eastAsia="zh-CN"/>
        </w:rPr>
        <w:t>3</w:t>
      </w:r>
      <w:r>
        <w:rPr>
          <w:rFonts w:ascii="Times New Roman" w:hAnsi="Times New Roman" w:eastAsia="黑体"/>
          <w:sz w:val="24"/>
          <w:szCs w:val="24"/>
        </w:rPr>
        <w:t>.</w:t>
      </w:r>
      <w:r>
        <w:rPr>
          <w:rFonts w:hint="eastAsia" w:ascii="Times New Roman" w:hAnsi="Times New Roman" w:eastAsia="黑体"/>
          <w:sz w:val="24"/>
          <w:szCs w:val="24"/>
          <w:lang w:val="en-US" w:eastAsia="zh-CN"/>
        </w:rPr>
        <w:t>4</w:t>
      </w:r>
      <w:r>
        <w:rPr>
          <w:rFonts w:ascii="Times New Roman" w:hAnsi="Times New Roman" w:eastAsia="黑体"/>
          <w:sz w:val="24"/>
          <w:szCs w:val="24"/>
        </w:rPr>
        <w:t xml:space="preserve"> </w:t>
      </w:r>
      <w:r>
        <w:rPr>
          <w:rFonts w:hint="eastAsia" w:ascii="Times New Roman" w:hAnsi="Times New Roman" w:eastAsia="黑体"/>
          <w:sz w:val="24"/>
        </w:rPr>
        <w:t>检索增强生成与相似度计算</w:t>
      </w:r>
    </w:p>
    <w:p w14:paraId="4CC459DA">
      <w:pPr>
        <w:keepNext w:val="0"/>
        <w:keepLines w:val="0"/>
        <w:pageBreakBefore w:val="0"/>
        <w:widowControl w:val="0"/>
        <w:kinsoku/>
        <w:wordWrap/>
        <w:overflowPunct/>
        <w:topLinePunct w:val="0"/>
        <w:autoSpaceDE/>
        <w:autoSpaceDN/>
        <w:bidi w:val="0"/>
        <w:adjustRightInd/>
        <w:snapToGrid/>
        <w:spacing w:after="156" w:afterLines="50"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在智能问答模块中，RAG技术的核心在于从海量知识库中精准检索相关文档片段。系统采用余弦相似度作为向量匹配的评价指标。假设用户查询的嵌入向量为</w:t>
      </w:r>
      <m:oMath>
        <m:r>
          <m:rPr/>
          <w:rPr>
            <w:rFonts w:hint="default" w:ascii="Cambria Math" w:hAnsi="Cambria Math"/>
            <w:sz w:val="24"/>
          </w:rPr>
          <m:t>A</m:t>
        </m:r>
      </m:oMath>
      <w:r>
        <w:rPr>
          <w:rFonts w:hint="eastAsia" w:ascii="Times New Roman" w:hAnsi="Times New Roman"/>
          <w:sz w:val="24"/>
          <w:lang w:val="en-US" w:eastAsia="zh-CN"/>
        </w:rPr>
        <w:t>，知识库文档的嵌入向量为</w:t>
      </w:r>
      <m:oMath>
        <m:r>
          <m:rPr/>
          <w:rPr>
            <w:rFonts w:hint="default" w:ascii="Cambria Math" w:hAnsi="Cambria Math"/>
            <w:sz w:val="24"/>
          </w:rPr>
          <m:t>B</m:t>
        </m:r>
      </m:oMath>
      <w:r>
        <w:rPr>
          <w:rFonts w:hint="eastAsia" w:ascii="Times New Roman" w:hAnsi="Times New Roman"/>
          <w:sz w:val="24"/>
          <w:lang w:val="en-US" w:eastAsia="zh-CN"/>
        </w:rPr>
        <w:t>，两者的相似度得分</w:t>
      </w:r>
      <m:oMath>
        <m:r>
          <m:rPr/>
          <w:rPr>
            <w:rFonts w:hint="default" w:ascii="Cambria Math" w:hAnsi="Cambria Math"/>
            <w:sz w:val="24"/>
          </w:rPr>
          <m:t>S(A,B)</m:t>
        </m:r>
      </m:oMath>
      <w:r>
        <w:rPr>
          <w:rFonts w:hint="eastAsia" w:ascii="Times New Roman" w:hAnsi="Times New Roman"/>
          <w:sz w:val="24"/>
          <w:lang w:val="en-US" w:eastAsia="zh-CN"/>
        </w:rPr>
        <w:t>计算如下。</w:t>
      </w:r>
    </w:p>
    <w:p w14:paraId="75DA1606">
      <w:pPr>
        <w:keepNext w:val="0"/>
        <w:keepLines w:val="0"/>
        <w:widowControl/>
        <w:suppressLineNumbers w:val="0"/>
        <w:spacing w:before="0" w:beforeAutospacing="0" w:line="14" w:lineRule="atLeast"/>
        <w:jc w:val="left"/>
        <w:rPr>
          <w:rFonts w:hint="eastAsia" w:hAnsi="Cambria Math"/>
          <w:i w:val="0"/>
          <w:sz w:val="24"/>
          <w:lang w:val="en-US" w:eastAsia="zh-CN"/>
        </w:rPr>
      </w:pPr>
      <m:oMathPara>
        <m:oMath>
          <m:eqArr>
            <m:eqArrPr>
              <m:maxDist m:val="1"/>
              <m:ctrlPr>
                <w:rPr>
                  <w:rFonts w:hint="eastAsia" w:hAnsi="Cambria Math"/>
                  <w:i w:val="0"/>
                  <w:sz w:val="24"/>
                  <w:lang w:val="en-US" w:eastAsia="zh-CN"/>
                </w:rPr>
              </m:ctrlPr>
            </m:eqArrPr>
            <m:e>
              <m:r>
                <m:rPr/>
                <w:rPr>
                  <w:rFonts w:hint="default" w:ascii="Cambria Math" w:hAnsi="Cambria Math" w:eastAsia="sans-serif"/>
                  <w:sz w:val="24"/>
                </w:rPr>
                <m:t>S(A,B)=</m:t>
              </m:r>
              <m:f>
                <m:fPr>
                  <m:ctrlPr>
                    <w:rPr>
                      <w:rFonts w:hint="default" w:ascii="Cambria Math" w:hAnsi="Cambria Math" w:eastAsia="sans-serif"/>
                      <w:i/>
                      <w:sz w:val="24"/>
                    </w:rPr>
                  </m:ctrlPr>
                </m:fPr>
                <m:num>
                  <m:r>
                    <m:rPr/>
                    <w:rPr>
                      <w:rFonts w:hint="default" w:ascii="Cambria Math" w:hAnsi="Cambria Math" w:eastAsia="sans-serif"/>
                      <w:sz w:val="24"/>
                    </w:rPr>
                    <m:t>A⋅B</m:t>
                  </m:r>
                  <m:ctrlPr>
                    <w:rPr>
                      <w:rFonts w:ascii="Cambria Math" w:hAnsi="Cambria Math" w:eastAsia="sans-serif"/>
                      <w:sz w:val="24"/>
                    </w:rPr>
                  </m:ctrlPr>
                </m:num>
                <m:den>
                  <m:r>
                    <m:rPr/>
                    <w:rPr>
                      <w:rFonts w:hint="default" w:ascii="Cambria Math" w:hAnsi="Cambria Math" w:eastAsia="sans-serif"/>
                      <w:sz w:val="24"/>
                    </w:rPr>
                    <m:t>||A||</m:t>
                  </m:r>
                  <m:r>
                    <m:rPr>
                      <m:sty m:val="p"/>
                    </m:rPr>
                    <w:rPr>
                      <w:rFonts w:hint="default" w:ascii="Cambria Math" w:hAnsi="Cambria Math" w:eastAsia="sans-serif"/>
                      <w:sz w:val="24"/>
                    </w:rPr>
                    <m:t>×</m:t>
                  </m:r>
                  <m:r>
                    <m:rPr/>
                    <w:rPr>
                      <w:rFonts w:hint="default" w:ascii="Cambria Math" w:hAnsi="Cambria Math" w:eastAsia="sans-serif"/>
                      <w:sz w:val="24"/>
                    </w:rPr>
                    <m:t>||B||</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ctrlPr>
                        <w:rPr>
                          <w:rFonts w:hint="default" w:ascii="Cambria Math" w:hAnsi="Cambria Math" w:eastAsia="sans-serif"/>
                          <w:sz w:val="24"/>
                        </w:rPr>
                      </m:ctrlPr>
                    </m:e>
                  </m:nary>
                  <m:sSub>
                    <m:sSubPr>
                      <m:ctrlPr>
                        <w:rPr>
                          <w:rFonts w:hint="default" w:ascii="Cambria Math" w:hAnsi="Cambria Math" w:eastAsia="sans-serif"/>
                          <w:sz w:val="24"/>
                        </w:rPr>
                      </m:ctrlPr>
                    </m:sSubPr>
                    <m:e>
                      <m:r>
                        <m:rPr/>
                        <w:rPr>
                          <w:rFonts w:hint="default" w:ascii="Cambria Math" w:hAnsi="Cambria Math" w:eastAsia="sans-serif"/>
                          <w:sz w:val="24"/>
                        </w:rPr>
                        <m:t>B</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ctrlPr>
                    <w:rPr>
                      <w:rFonts w:hint="default" w:ascii="Cambria Math" w:hAnsi="Cambria Math" w:eastAsia="sans-serif"/>
                      <w:sz w:val="24"/>
                    </w:rPr>
                  </m:ctrlPr>
                </m:num>
                <m:den>
                  <m:rad>
                    <m:radPr>
                      <m:degHide m:val="1"/>
                      <m:ctrlPr>
                        <w:rPr>
                          <w:rFonts w:hint="default" w:ascii="Cambria Math" w:hAnsi="Cambria Math" w:eastAsia="sans-serif"/>
                          <w:i/>
                          <w:sz w:val="24"/>
                        </w:rPr>
                      </m:ctrlPr>
                    </m:radPr>
                    <m:deg>
                      <m:ctrlPr>
                        <w:rPr>
                          <w:rFonts w:hint="default" w:ascii="Cambria Math" w:hAnsi="Cambria Math" w:eastAsia="sans-serif"/>
                          <w:sz w:val="24"/>
                        </w:rPr>
                      </m:ctrlPr>
                    </m:deg>
                    <m:e>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Sup>
                            <m:sSubSupPr>
                              <m:ctrlPr>
                                <w:rPr>
                                  <w:rFonts w:hint="default" w:ascii="Cambria Math" w:hAnsi="Cambria Math" w:eastAsia="sans-serif"/>
                                  <w:sz w:val="24"/>
                                </w:rPr>
                              </m:ctrlPr>
                            </m:sSubSup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ctrlPr>
                            <w:rPr>
                              <w:rFonts w:hint="default" w:ascii="Cambria Math" w:hAnsi="Cambria Math" w:eastAsia="sans-serif"/>
                              <w:sz w:val="24"/>
                            </w:rPr>
                          </m:ctrlPr>
                        </m:e>
                      </m:nary>
                      <m:ctrlPr>
                        <w:rPr>
                          <w:rFonts w:hint="default" w:ascii="Cambria Math" w:hAnsi="Cambria Math" w:eastAsia="sans-serif"/>
                          <w:i/>
                          <w:sz w:val="24"/>
                        </w:rPr>
                      </m:ctrlPr>
                    </m:e>
                  </m:rad>
                  <m:rad>
                    <m:radPr>
                      <m:degHide m:val="1"/>
                      <m:ctrlPr>
                        <w:rPr>
                          <w:rFonts w:hint="default" w:ascii="Cambria Math" w:hAnsi="Cambria Math" w:eastAsia="sans-serif"/>
                          <w:i/>
                          <w:sz w:val="24"/>
                        </w:rPr>
                      </m:ctrlPr>
                    </m:radPr>
                    <m:deg>
                      <m:ctrlPr>
                        <w:rPr>
                          <w:rFonts w:hint="default" w:ascii="Cambria Math" w:hAnsi="Cambria Math" w:eastAsia="sans-serif"/>
                          <w:i/>
                          <w:sz w:val="24"/>
                        </w:rPr>
                      </m:ctrlPr>
                    </m:deg>
                    <m:e>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hint="default" w:ascii="Cambria Math" w:hAnsi="Cambria Math" w:eastAsia="sans-serif"/>
                              <w:sz w:val="24"/>
                            </w:rPr>
                          </m:ctrlPr>
                        </m:sub>
                        <m:sup>
                          <m:r>
                            <m:rPr/>
                            <w:rPr>
                              <w:rFonts w:hint="default" w:ascii="Cambria Math" w:hAnsi="Cambria Math" w:eastAsia="sans-serif"/>
                              <w:sz w:val="24"/>
                            </w:rPr>
                            <m:t>n</m:t>
                          </m:r>
                          <m:ctrlPr>
                            <w:rPr>
                              <w:rFonts w:hint="default" w:ascii="Cambria Math" w:hAnsi="Cambria Math" w:eastAsia="sans-serif"/>
                              <w:sz w:val="24"/>
                            </w:rPr>
                          </m:ctrlPr>
                        </m:sup>
                        <m:e>
                          <m:sSubSup>
                            <m:sSubSupPr>
                              <m:ctrlPr>
                                <w:rPr>
                                  <w:rFonts w:hint="default" w:ascii="Cambria Math" w:hAnsi="Cambria Math" w:eastAsia="sans-serif"/>
                                  <w:sz w:val="24"/>
                                </w:rPr>
                              </m:ctrlPr>
                            </m:sSubSupPr>
                            <m:e>
                              <m:r>
                                <m:rPr/>
                                <w:rPr>
                                  <w:rFonts w:hint="default" w:ascii="Cambria Math" w:hAnsi="Cambria Math" w:eastAsia="sans-serif"/>
                                  <w:sz w:val="24"/>
                                </w:rPr>
                                <m:t>B</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ctrlPr>
                            <w:rPr>
                              <w:rFonts w:hint="default" w:ascii="Cambria Math" w:hAnsi="Cambria Math" w:eastAsia="sans-serif"/>
                              <w:sz w:val="24"/>
                            </w:rPr>
                          </m:ctrlPr>
                        </m:e>
                      </m:nary>
                      <m:ctrlPr>
                        <w:rPr>
                          <w:rFonts w:hint="default" w:ascii="Cambria Math" w:hAnsi="Cambria Math" w:eastAsia="sans-serif"/>
                          <w:i/>
                          <w:sz w:val="24"/>
                        </w:rPr>
                      </m:ctrlPr>
                    </m:e>
                  </m:rad>
                  <m:ctrlPr>
                    <w:rPr>
                      <w:rFonts w:hint="default" w:ascii="Cambria Math" w:hAnsi="Cambria Math" w:eastAsia="sans-serif"/>
                      <w:i/>
                      <w:sz w:val="24"/>
                    </w:rPr>
                  </m:ctrlPr>
                </m:den>
              </m:f>
              <m:r>
                <m:rPr>
                  <m:sty m:val="p"/>
                </m:rPr>
                <w:rPr>
                  <w:rFonts w:hint="default" w:ascii="Cambria Math" w:hAnsi="Cambria Math"/>
                  <w:sz w:val="24"/>
                  <w:lang w:val="en-US" w:eastAsia="zh-CN"/>
                </w:rPr>
                <m:t>#</m:t>
              </m:r>
              <m:r>
                <m:rPr>
                  <m:sty m:val="p"/>
                </m:rPr>
                <w:rPr>
                  <w:rFonts w:hint="eastAsia" w:ascii="Cambria Math" w:hAnsi="Cambria Math"/>
                  <w:sz w:val="24"/>
                  <w:lang w:val="en-US" w:eastAsia="zh-CN"/>
                </w:rPr>
                <m:t>（</m:t>
              </m:r>
              <m:r>
                <m:rPr>
                  <m:sty m:val="p"/>
                </m:rPr>
                <w:rPr>
                  <w:rFonts w:hint="default" w:ascii="Cambria Math" w:hAnsi="Cambria Math"/>
                  <w:sz w:val="24"/>
                  <w:lang w:val="en-US" w:eastAsia="zh-CN"/>
                </w:rPr>
                <m:t>2</m:t>
              </m:r>
              <m:r>
                <m:rPr>
                  <m:sty m:val="p"/>
                </m:rPr>
                <w:rPr>
                  <w:rFonts w:hint="eastAsia" w:ascii="Cambria Math" w:hAnsi="Cambria Math"/>
                  <w:sz w:val="24"/>
                  <w:lang w:val="en-US" w:eastAsia="zh-CN"/>
                </w:rPr>
                <m:t>）</m:t>
              </m:r>
              <m:ctrlPr>
                <w:rPr>
                  <w:rFonts w:hint="eastAsia" w:hAnsi="Cambria Math"/>
                  <w:i w:val="0"/>
                  <w:sz w:val="24"/>
                  <w:lang w:val="en-US" w:eastAsia="zh-CN"/>
                </w:rPr>
              </m:ctrlPr>
            </m:e>
          </m:eqArr>
        </m:oMath>
      </m:oMathPara>
    </w:p>
    <w:p w14:paraId="74C0739D">
      <w:pPr>
        <w:keepNext w:val="0"/>
        <w:keepLines w:val="0"/>
        <w:pageBreakBefore w:val="0"/>
        <w:widowControl w:val="0"/>
        <w:kinsoku/>
        <w:wordWrap/>
        <w:overflowPunct/>
        <w:topLinePunct w:val="0"/>
        <w:autoSpaceDE/>
        <w:autoSpaceDN/>
        <w:bidi w:val="0"/>
        <w:adjustRightInd/>
        <w:snapToGrid/>
        <w:spacing w:after="156" w:afterLines="50"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系统根据</w:t>
      </w:r>
      <m:oMath>
        <m:r>
          <m:rPr/>
          <w:rPr>
            <w:rFonts w:hint="default" w:ascii="Cambria Math" w:hAnsi="Cambria Math"/>
            <w:sz w:val="24"/>
          </w:rPr>
          <m:t>S(A,B)</m:t>
        </m:r>
      </m:oMath>
      <w:r>
        <w:rPr>
          <w:rFonts w:hint="eastAsia" w:ascii="Times New Roman" w:hAnsi="Times New Roman"/>
          <w:sz w:val="24"/>
          <w:lang w:val="en-US" w:eastAsia="zh-CN"/>
        </w:rPr>
        <w:t>的值对文档进行排序，选取Top-K个最相关的片段作为上下文提示词，输入至大语言模型生成最终回答，确保了回复内容的专业性与准确性。</w:t>
      </w:r>
    </w:p>
    <w:p w14:paraId="70196322">
      <w:pPr>
        <w:spacing w:before="156" w:beforeLines="50" w:after="156" w:afterLines="50" w:line="440" w:lineRule="exact"/>
        <w:rPr>
          <w:rFonts w:ascii="Times New Roman" w:hAnsi="Times New Roman" w:eastAsia="黑体"/>
          <w:sz w:val="24"/>
        </w:rPr>
      </w:pPr>
      <w:r>
        <w:rPr>
          <w:rFonts w:ascii="Times New Roman" w:hAnsi="Times New Roman" w:eastAsia="黑体"/>
          <w:bCs/>
          <w:sz w:val="24"/>
        </w:rPr>
        <w:t xml:space="preserve">4 </w:t>
      </w:r>
      <w:r>
        <w:rPr>
          <w:rFonts w:ascii="Times New Roman" w:hAnsi="Times New Roman" w:eastAsia="黑体"/>
          <w:sz w:val="24"/>
        </w:rPr>
        <w:t>工作原理及性能分析</w:t>
      </w:r>
    </w:p>
    <w:p w14:paraId="72F0440C">
      <w:pPr>
        <w:keepNext w:val="0"/>
        <w:keepLines w:val="0"/>
        <w:pageBreakBefore w:val="0"/>
        <w:widowControl w:val="0"/>
        <w:kinsoku/>
        <w:wordWrap/>
        <w:overflowPunct/>
        <w:topLinePunct w:val="0"/>
        <w:autoSpaceDE/>
        <w:autoSpaceDN/>
        <w:bidi w:val="0"/>
        <w:adjustRightInd/>
        <w:snapToGrid/>
        <w:spacing w:after="156" w:afterLines="50"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本章结合实测数据与运行界面，阐述系统从感知到决策的完整机理，并重点分析数据治理、故障预测及能效寻优的实际性能。</w:t>
      </w:r>
    </w:p>
    <w:p w14:paraId="22342A25">
      <w:pPr>
        <w:spacing w:before="156" w:beforeLines="50" w:after="156" w:afterLines="50" w:line="440" w:lineRule="exact"/>
        <w:rPr>
          <w:rFonts w:hint="eastAsia" w:ascii="Times New Roman" w:hAnsi="Times New Roman" w:eastAsia="黑体"/>
          <w:sz w:val="24"/>
        </w:rPr>
      </w:pPr>
      <w:r>
        <w:rPr>
          <w:rFonts w:ascii="Times New Roman" w:hAnsi="Times New Roman" w:eastAsia="黑体"/>
          <w:bCs/>
          <w:sz w:val="24"/>
        </w:rPr>
        <w:t>4</w:t>
      </w:r>
      <w:r>
        <w:rPr>
          <w:rFonts w:hint="eastAsia" w:ascii="Times New Roman" w:hAnsi="Times New Roman" w:eastAsia="黑体"/>
          <w:bCs/>
          <w:sz w:val="24"/>
          <w:lang w:val="en-US" w:eastAsia="zh-CN"/>
        </w:rPr>
        <w:t>.1</w:t>
      </w:r>
      <w:r>
        <w:rPr>
          <w:rFonts w:hint="eastAsia" w:ascii="Times New Roman" w:hAnsi="Times New Roman" w:eastAsia="黑体"/>
          <w:sz w:val="24"/>
        </w:rPr>
        <w:t>全量数据感知与溯源机制</w:t>
      </w:r>
    </w:p>
    <w:p w14:paraId="2FA79C8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系统构建高保真数字底座，利用边缘网关毫秒级采集流量、压力等现场参数。如图6所示，界面集成原始传感器数据与“数字孪生推演矩阵”，实时展示物理量及经物理引擎反向推演的定子温度等衍生参数。</w:t>
      </w:r>
    </w:p>
    <w:tbl>
      <w:tblPr>
        <w:tblStyle w:val="9"/>
        <w:tblW w:w="0" w:type="auto"/>
        <w:jc w:val="center"/>
        <w:tblLayout w:type="autofit"/>
        <w:tblCellMar>
          <w:top w:w="0" w:type="dxa"/>
          <w:left w:w="108" w:type="dxa"/>
          <w:bottom w:w="0" w:type="dxa"/>
          <w:right w:w="108" w:type="dxa"/>
        </w:tblCellMar>
      </w:tblPr>
      <w:tblGrid>
        <w:gridCol w:w="8522"/>
      </w:tblGrid>
      <w:tr w14:paraId="28B44417">
        <w:tblPrEx>
          <w:tblCellMar>
            <w:top w:w="0" w:type="dxa"/>
            <w:left w:w="108" w:type="dxa"/>
            <w:bottom w:w="0" w:type="dxa"/>
            <w:right w:w="108" w:type="dxa"/>
          </w:tblCellMar>
        </w:tblPrEx>
        <w:trPr>
          <w:jc w:val="center"/>
        </w:trPr>
        <w:tc>
          <w:tcPr>
            <w:tcW w:w="8522" w:type="dxa"/>
            <w:shd w:val="clear" w:color="auto" w:fill="auto"/>
          </w:tcPr>
          <w:p w14:paraId="677B3FBE">
            <w:pPr>
              <w:widowControl/>
              <w:jc w:val="center"/>
              <w:rPr>
                <w:rFonts w:ascii="Times New Roman" w:hAnsi="Times New Roman"/>
                <w:color w:val="FF0000"/>
                <w:sz w:val="24"/>
                <w:szCs w:val="24"/>
                <w:highlight w:val="yellow"/>
              </w:rPr>
            </w:pPr>
            <w:r>
              <w:drawing>
                <wp:inline distT="0" distB="0" distL="114300" distR="114300">
                  <wp:extent cx="3934460" cy="1998980"/>
                  <wp:effectExtent l="0" t="0" r="12700" b="12700"/>
                  <wp:docPr id="14" name="图片 4" descr="E:/13.兰理工读研/02.比赛文件/02.研二/15.节能减排/节能占位图3.png节能占位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E:/13.兰理工读研/02.比赛文件/02.研二/15.节能减排/节能占位图3.png节能占位图3"/>
                          <pic:cNvPicPr>
                            <a:picLocks noChangeAspect="1"/>
                          </pic:cNvPicPr>
                        </pic:nvPicPr>
                        <pic:blipFill>
                          <a:blip r:embed="rId10"/>
                          <a:srcRect t="2196" b="2196"/>
                          <a:stretch>
                            <a:fillRect/>
                          </a:stretch>
                        </pic:blipFill>
                        <pic:spPr>
                          <a:xfrm>
                            <a:off x="0" y="0"/>
                            <a:ext cx="3934460" cy="1998980"/>
                          </a:xfrm>
                          <a:prstGeom prst="rect">
                            <a:avLst/>
                          </a:prstGeom>
                          <a:noFill/>
                          <a:ln>
                            <a:noFill/>
                          </a:ln>
                        </pic:spPr>
                      </pic:pic>
                    </a:graphicData>
                  </a:graphic>
                </wp:inline>
              </w:drawing>
            </w:r>
          </w:p>
          <w:p w14:paraId="60503446">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6</w:t>
            </w:r>
            <w:r>
              <w:rPr>
                <w:rFonts w:ascii="Times New Roman" w:hAnsi="Times New Roman"/>
                <w:sz w:val="18"/>
                <w:szCs w:val="18"/>
              </w:rPr>
              <w:t xml:space="preserve"> </w:t>
            </w:r>
            <w:r>
              <w:rPr>
                <w:rFonts w:hint="eastAsia" w:ascii="Times New Roman" w:hAnsi="Times New Roman"/>
                <w:sz w:val="18"/>
                <w:szCs w:val="18"/>
              </w:rPr>
              <w:t>原始传感器数据与数字孪生推演矩阵界面</w:t>
            </w:r>
          </w:p>
        </w:tc>
      </w:tr>
    </w:tbl>
    <w:p w14:paraId="0722F1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基于时间戳索引，系统实现了数据的毫秒级溯源，并利用衍生参数有效填补了传统监测盲区。这种全维度感知能力确保了输入数据的完整性与可信度，为上层智能决策构建了扎实基础。</w:t>
      </w:r>
    </w:p>
    <w:p w14:paraId="50A3BCC1">
      <w:pPr>
        <w:spacing w:before="156" w:beforeLines="50" w:after="156" w:afterLines="50" w:line="440" w:lineRule="exact"/>
        <w:rPr>
          <w:rFonts w:hint="eastAsia" w:ascii="Times New Roman" w:hAnsi="Times New Roman" w:eastAsia="黑体"/>
          <w:sz w:val="24"/>
        </w:rPr>
      </w:pPr>
      <w:r>
        <w:rPr>
          <w:rFonts w:ascii="Times New Roman" w:hAnsi="Times New Roman" w:eastAsia="黑体"/>
          <w:bCs/>
          <w:sz w:val="24"/>
        </w:rPr>
        <w:t>4</w:t>
      </w:r>
      <w:r>
        <w:rPr>
          <w:rFonts w:hint="eastAsia" w:ascii="Times New Roman" w:hAnsi="Times New Roman" w:eastAsia="黑体"/>
          <w:bCs/>
          <w:sz w:val="24"/>
          <w:lang w:val="en-US" w:eastAsia="zh-CN"/>
        </w:rPr>
        <w:t>.2</w:t>
      </w:r>
      <w:r>
        <w:rPr>
          <w:rFonts w:hint="eastAsia" w:ascii="Times New Roman" w:hAnsi="Times New Roman" w:eastAsia="黑体"/>
          <w:sz w:val="24"/>
        </w:rPr>
        <w:t>数字孪生监控与物理特性分析</w:t>
      </w:r>
    </w:p>
    <w:p w14:paraId="437E70A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全量感知的基础上，系统利用WebGL技术构建所见即所得的数字孪生交互环境，全景驾驶舱作为人机交互的核心窗口，能够实时映射物理世界的运行工况。图7展示了数字孪生全景驾驶舱与Q-H特性分析界面，其中集成了全维智控台与实时的泵-管网系统匹配特性曲线。</w:t>
      </w:r>
    </w:p>
    <w:tbl>
      <w:tblPr>
        <w:tblStyle w:val="9"/>
        <w:tblW w:w="0" w:type="auto"/>
        <w:jc w:val="center"/>
        <w:tblLayout w:type="autofit"/>
        <w:tblCellMar>
          <w:top w:w="0" w:type="dxa"/>
          <w:left w:w="108" w:type="dxa"/>
          <w:bottom w:w="0" w:type="dxa"/>
          <w:right w:w="108" w:type="dxa"/>
        </w:tblCellMar>
      </w:tblPr>
      <w:tblGrid>
        <w:gridCol w:w="8522"/>
      </w:tblGrid>
      <w:tr w14:paraId="7978E83A">
        <w:tblPrEx>
          <w:tblCellMar>
            <w:top w:w="0" w:type="dxa"/>
            <w:left w:w="108" w:type="dxa"/>
            <w:bottom w:w="0" w:type="dxa"/>
            <w:right w:w="108" w:type="dxa"/>
          </w:tblCellMar>
        </w:tblPrEx>
        <w:trPr>
          <w:jc w:val="center"/>
        </w:trPr>
        <w:tc>
          <w:tcPr>
            <w:tcW w:w="8522" w:type="dxa"/>
            <w:shd w:val="clear" w:color="auto" w:fill="auto"/>
          </w:tcPr>
          <w:p w14:paraId="57E31830">
            <w:pPr>
              <w:widowControl/>
              <w:jc w:val="center"/>
              <w:rPr>
                <w:rFonts w:ascii="Times New Roman" w:hAnsi="Times New Roman"/>
                <w:color w:val="FF0000"/>
                <w:sz w:val="24"/>
                <w:szCs w:val="24"/>
                <w:highlight w:val="yellow"/>
              </w:rPr>
            </w:pPr>
            <w:r>
              <w:drawing>
                <wp:inline distT="0" distB="0" distL="114300" distR="114300">
                  <wp:extent cx="3935095" cy="1997710"/>
                  <wp:effectExtent l="0" t="0" r="12065" b="13970"/>
                  <wp:docPr id="17" name="图片 4" descr="E:/13.兰理工读研/02.比赛文件/02.研二/15.节能减排/节能占位图2.png节能占位图2"/>
                  <wp:cNvGraphicFramePr/>
                  <a:graphic xmlns:a="http://schemas.openxmlformats.org/drawingml/2006/main">
                    <a:graphicData uri="http://schemas.openxmlformats.org/drawingml/2006/picture">
                      <pic:pic xmlns:pic="http://schemas.openxmlformats.org/drawingml/2006/picture">
                        <pic:nvPicPr>
                          <pic:cNvPr id="17" name="图片 4" descr="E:/13.兰理工读研/02.比赛文件/02.研二/15.节能减排/节能占位图2.png节能占位图2"/>
                          <pic:cNvPicPr/>
                        </pic:nvPicPr>
                        <pic:blipFill>
                          <a:blip r:embed="rId11"/>
                          <a:srcRect t="2196" b="2196"/>
                          <a:stretch>
                            <a:fillRect/>
                          </a:stretch>
                        </pic:blipFill>
                        <pic:spPr>
                          <a:xfrm>
                            <a:off x="0" y="0"/>
                            <a:ext cx="3935095" cy="1997710"/>
                          </a:xfrm>
                          <a:prstGeom prst="rect">
                            <a:avLst/>
                          </a:prstGeom>
                          <a:noFill/>
                          <a:ln>
                            <a:noFill/>
                          </a:ln>
                        </pic:spPr>
                      </pic:pic>
                    </a:graphicData>
                  </a:graphic>
                </wp:inline>
              </w:drawing>
            </w:r>
          </w:p>
          <w:p w14:paraId="5AD8B5F9">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7</w:t>
            </w:r>
            <w:r>
              <w:rPr>
                <w:rFonts w:ascii="Times New Roman" w:hAnsi="Times New Roman"/>
                <w:sz w:val="18"/>
                <w:szCs w:val="18"/>
              </w:rPr>
              <w:t xml:space="preserve"> </w:t>
            </w:r>
            <w:r>
              <w:rPr>
                <w:rFonts w:hint="eastAsia" w:ascii="Times New Roman" w:hAnsi="Times New Roman"/>
                <w:sz w:val="18"/>
                <w:szCs w:val="18"/>
              </w:rPr>
              <w:t>数字孪生全景驾驶舱与Q-H特性分析界面</w:t>
            </w:r>
          </w:p>
        </w:tc>
      </w:tr>
    </w:tbl>
    <w:p w14:paraId="380BFC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Q-H曲线直观反映能效，系统通过计算实时工况（红点）与理论特性（蓝线）的欧氏距离量化偏离度，并在偏离高效区时自动寻优，有效降低了复杂工况的认知门槛。</w:t>
      </w:r>
    </w:p>
    <w:p w14:paraId="3BCC66D9">
      <w:pPr>
        <w:spacing w:before="156" w:beforeLines="50" w:after="156" w:afterLines="50" w:line="440" w:lineRule="exact"/>
        <w:rPr>
          <w:rFonts w:hint="eastAsia" w:ascii="Times New Roman" w:hAnsi="Times New Roman" w:eastAsia="黑体"/>
          <w:sz w:val="24"/>
        </w:rPr>
      </w:pPr>
      <w:r>
        <w:rPr>
          <w:rFonts w:ascii="Times New Roman" w:hAnsi="Times New Roman" w:eastAsia="黑体"/>
          <w:bCs/>
          <w:sz w:val="24"/>
        </w:rPr>
        <w:t>4</w:t>
      </w:r>
      <w:r>
        <w:rPr>
          <w:rFonts w:hint="eastAsia" w:ascii="Times New Roman" w:hAnsi="Times New Roman" w:eastAsia="黑体"/>
          <w:bCs/>
          <w:sz w:val="24"/>
          <w:lang w:val="en-US" w:eastAsia="zh-CN"/>
        </w:rPr>
        <w:t xml:space="preserve">.3 </w:t>
      </w:r>
      <w:r>
        <w:rPr>
          <w:rFonts w:hint="eastAsia" w:ascii="Times New Roman" w:hAnsi="Times New Roman" w:eastAsia="黑体"/>
          <w:sz w:val="24"/>
        </w:rPr>
        <w:t>ST-LLM 时空数据修复性能分析</w:t>
      </w:r>
    </w:p>
    <w:p w14:paraId="57BAC06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针对工业现场普遍存在的电磁干扰与信号丢包难题，系统内置的ST-LLM时空大模型发挥了关键的数据治理作用。图8展示了该算法在模拟传感器信号随机丢失场景下的数据修复效果实测图，图中直观对比了原始缺失数据与AI修复数据的形态差异。</w:t>
      </w:r>
    </w:p>
    <w:tbl>
      <w:tblPr>
        <w:tblStyle w:val="9"/>
        <w:tblW w:w="0" w:type="auto"/>
        <w:jc w:val="center"/>
        <w:tblLayout w:type="autofit"/>
        <w:tblCellMar>
          <w:top w:w="0" w:type="dxa"/>
          <w:left w:w="108" w:type="dxa"/>
          <w:bottom w:w="0" w:type="dxa"/>
          <w:right w:w="108" w:type="dxa"/>
        </w:tblCellMar>
      </w:tblPr>
      <w:tblGrid>
        <w:gridCol w:w="8522"/>
      </w:tblGrid>
      <w:tr w14:paraId="650C344C">
        <w:tblPrEx>
          <w:tblCellMar>
            <w:top w:w="0" w:type="dxa"/>
            <w:left w:w="108" w:type="dxa"/>
            <w:bottom w:w="0" w:type="dxa"/>
            <w:right w:w="108" w:type="dxa"/>
          </w:tblCellMar>
        </w:tblPrEx>
        <w:trPr>
          <w:jc w:val="center"/>
        </w:trPr>
        <w:tc>
          <w:tcPr>
            <w:tcW w:w="8522" w:type="dxa"/>
            <w:shd w:val="clear" w:color="auto" w:fill="auto"/>
          </w:tcPr>
          <w:p w14:paraId="7983F1C2">
            <w:pPr>
              <w:widowControl/>
              <w:jc w:val="center"/>
              <w:rPr>
                <w:rFonts w:ascii="Times New Roman" w:hAnsi="Times New Roman"/>
                <w:color w:val="FF0000"/>
                <w:sz w:val="24"/>
                <w:szCs w:val="24"/>
                <w:highlight w:val="yellow"/>
              </w:rPr>
            </w:pPr>
            <w:r>
              <w:drawing>
                <wp:inline distT="0" distB="0" distL="114300" distR="114300">
                  <wp:extent cx="3935095" cy="1997710"/>
                  <wp:effectExtent l="0" t="0" r="12065" b="13970"/>
                  <wp:docPr id="18" name="图片 4" descr="E:/13.兰理工读研/02.比赛文件/02.研二/15.节能减排/节能占位图6.png节能占位图6"/>
                  <wp:cNvGraphicFramePr/>
                  <a:graphic xmlns:a="http://schemas.openxmlformats.org/drawingml/2006/main">
                    <a:graphicData uri="http://schemas.openxmlformats.org/drawingml/2006/picture">
                      <pic:pic xmlns:pic="http://schemas.openxmlformats.org/drawingml/2006/picture">
                        <pic:nvPicPr>
                          <pic:cNvPr id="18" name="图片 4" descr="E:/13.兰理工读研/02.比赛文件/02.研二/15.节能减排/节能占位图6.png节能占位图6"/>
                          <pic:cNvPicPr/>
                        </pic:nvPicPr>
                        <pic:blipFill>
                          <a:blip r:embed="rId12"/>
                          <a:srcRect t="2191" b="2191"/>
                          <a:stretch>
                            <a:fillRect/>
                          </a:stretch>
                        </pic:blipFill>
                        <pic:spPr>
                          <a:xfrm>
                            <a:off x="0" y="0"/>
                            <a:ext cx="3935095" cy="1997710"/>
                          </a:xfrm>
                          <a:prstGeom prst="rect">
                            <a:avLst/>
                          </a:prstGeom>
                          <a:noFill/>
                          <a:ln>
                            <a:noFill/>
                          </a:ln>
                        </pic:spPr>
                      </pic:pic>
                    </a:graphicData>
                  </a:graphic>
                </wp:inline>
              </w:drawing>
            </w:r>
          </w:p>
          <w:p w14:paraId="247376A5">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8</w:t>
            </w:r>
            <w:r>
              <w:rPr>
                <w:rFonts w:ascii="Times New Roman" w:hAnsi="Times New Roman"/>
                <w:sz w:val="18"/>
                <w:szCs w:val="18"/>
              </w:rPr>
              <w:t xml:space="preserve"> </w:t>
            </w:r>
            <w:r>
              <w:rPr>
                <w:rFonts w:hint="eastAsia" w:ascii="Times New Roman" w:hAnsi="Times New Roman"/>
                <w:sz w:val="18"/>
                <w:szCs w:val="18"/>
              </w:rPr>
              <w:t>ST-LLM 时空数据修复效果实测图</w:t>
            </w:r>
          </w:p>
        </w:tc>
      </w:tr>
    </w:tbl>
    <w:p w14:paraId="470509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灰色虚线与蓝色实线分别代表5%丢包原始信号与修复信号。结果显示，修复数据精准复现周期性波动且无失真。实测均方误差低于0.01，验证了算法利用时空相关性推断的鲁棒性，保障了恶劣环境下的控制稳定性。</w:t>
      </w:r>
    </w:p>
    <w:p w14:paraId="775B84FA">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4.4 智能运维闭环与决策支持效能</w:t>
      </w:r>
    </w:p>
    <w:p w14:paraId="69028B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在预测性维护与辅助决策环节，系统融合Bi-LSTM与RAG技术实现“预警-处置”闭环。如图9所示，决策界面集成故障概率趋势预测与交互式专家问答功能，为运维人员提供直观的辅助决策支持。</w:t>
      </w:r>
    </w:p>
    <w:tbl>
      <w:tblPr>
        <w:tblStyle w:val="9"/>
        <w:tblW w:w="0" w:type="auto"/>
        <w:jc w:val="center"/>
        <w:tblLayout w:type="autofit"/>
        <w:tblCellMar>
          <w:top w:w="0" w:type="dxa"/>
          <w:left w:w="108" w:type="dxa"/>
          <w:bottom w:w="0" w:type="dxa"/>
          <w:right w:w="108" w:type="dxa"/>
        </w:tblCellMar>
      </w:tblPr>
      <w:tblGrid>
        <w:gridCol w:w="8522"/>
      </w:tblGrid>
      <w:tr w14:paraId="21588BCB">
        <w:tblPrEx>
          <w:tblCellMar>
            <w:top w:w="0" w:type="dxa"/>
            <w:left w:w="108" w:type="dxa"/>
            <w:bottom w:w="0" w:type="dxa"/>
            <w:right w:w="108" w:type="dxa"/>
          </w:tblCellMar>
        </w:tblPrEx>
        <w:trPr>
          <w:jc w:val="center"/>
        </w:trPr>
        <w:tc>
          <w:tcPr>
            <w:tcW w:w="8522" w:type="dxa"/>
            <w:shd w:val="clear" w:color="auto" w:fill="auto"/>
          </w:tcPr>
          <w:p w14:paraId="5B3D1A33">
            <w:pPr>
              <w:widowControl/>
              <w:jc w:val="center"/>
              <w:rPr>
                <w:rFonts w:ascii="Times New Roman" w:hAnsi="Times New Roman"/>
                <w:color w:val="FF0000"/>
                <w:sz w:val="24"/>
                <w:szCs w:val="24"/>
                <w:highlight w:val="yellow"/>
              </w:rPr>
            </w:pPr>
            <w:r>
              <w:drawing>
                <wp:inline distT="0" distB="0" distL="114300" distR="114300">
                  <wp:extent cx="3935095" cy="1997710"/>
                  <wp:effectExtent l="0" t="0" r="12065" b="13970"/>
                  <wp:docPr id="19" name="图片 4" descr="E:/13.兰理工读研/02.比赛文件/02.研二/15.节能减排/节能占位图6.png节能占位图6"/>
                  <wp:cNvGraphicFramePr/>
                  <a:graphic xmlns:a="http://schemas.openxmlformats.org/drawingml/2006/main">
                    <a:graphicData uri="http://schemas.openxmlformats.org/drawingml/2006/picture">
                      <pic:pic xmlns:pic="http://schemas.openxmlformats.org/drawingml/2006/picture">
                        <pic:nvPicPr>
                          <pic:cNvPr id="19" name="图片 4" descr="E:/13.兰理工读研/02.比赛文件/02.研二/15.节能减排/节能占位图6.png节能占位图6"/>
                          <pic:cNvPicPr/>
                        </pic:nvPicPr>
                        <pic:blipFill>
                          <a:blip r:embed="rId12"/>
                          <a:srcRect t="2191" b="2191"/>
                          <a:stretch>
                            <a:fillRect/>
                          </a:stretch>
                        </pic:blipFill>
                        <pic:spPr>
                          <a:xfrm>
                            <a:off x="0" y="0"/>
                            <a:ext cx="3935095" cy="1997710"/>
                          </a:xfrm>
                          <a:prstGeom prst="rect">
                            <a:avLst/>
                          </a:prstGeom>
                          <a:noFill/>
                          <a:ln>
                            <a:noFill/>
                          </a:ln>
                        </pic:spPr>
                      </pic:pic>
                    </a:graphicData>
                  </a:graphic>
                </wp:inline>
              </w:drawing>
            </w:r>
          </w:p>
          <w:p w14:paraId="76847260">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9</w:t>
            </w:r>
            <w:r>
              <w:rPr>
                <w:rFonts w:ascii="Times New Roman" w:hAnsi="Times New Roman"/>
                <w:sz w:val="18"/>
                <w:szCs w:val="18"/>
              </w:rPr>
              <w:t xml:space="preserve"> </w:t>
            </w:r>
            <w:r>
              <w:rPr>
                <w:rFonts w:hint="eastAsia" w:ascii="Times New Roman" w:hAnsi="Times New Roman"/>
                <w:sz w:val="18"/>
                <w:szCs w:val="18"/>
              </w:rPr>
              <w:t>ST-LLM 时空数据修复效果实测图</w:t>
            </w:r>
          </w:p>
        </w:tc>
      </w:tr>
    </w:tbl>
    <w:p w14:paraId="089AB8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界面实时呈现未来24小时故障趋势，并在监测到异常时自动检索知识库，生成如“检查联轴器”等可执行建议。该机制将抽象报警代码转化为具体操作指南，显著缩短排查时间并降低专家依赖，实现了运维知识的资产化。</w:t>
      </w:r>
    </w:p>
    <w:p w14:paraId="783621EE">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4.</w:t>
      </w:r>
      <w:r>
        <w:rPr>
          <w:rFonts w:hint="eastAsia" w:ascii="Times New Roman" w:hAnsi="Times New Roman" w:eastAsia="黑体"/>
          <w:bCs/>
          <w:sz w:val="24"/>
          <w:lang w:val="en-US" w:eastAsia="zh-CN"/>
        </w:rPr>
        <w:t>5</w:t>
      </w:r>
      <w:r>
        <w:rPr>
          <w:rFonts w:ascii="Times New Roman" w:hAnsi="Times New Roman" w:eastAsia="黑体"/>
          <w:bCs/>
          <w:sz w:val="24"/>
        </w:rPr>
        <w:t xml:space="preserve"> </w:t>
      </w:r>
      <w:r>
        <w:rPr>
          <w:rFonts w:hint="eastAsia" w:ascii="Times New Roman" w:hAnsi="Times New Roman" w:eastAsia="黑体"/>
          <w:bCs/>
          <w:sz w:val="24"/>
        </w:rPr>
        <w:t>振动趋势分析与故障预警</w:t>
      </w:r>
    </w:p>
    <w:p w14:paraId="3A3D94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除了被动的数据修复，系统还具备主动的故障研判能力。图10展示了基于Bi-LSTM模型的振动频谱趋势分析界面，该界面实时追踪轴系综合振动指标的变化轨迹。</w:t>
      </w:r>
    </w:p>
    <w:tbl>
      <w:tblPr>
        <w:tblStyle w:val="9"/>
        <w:tblW w:w="0" w:type="auto"/>
        <w:jc w:val="center"/>
        <w:tblLayout w:type="autofit"/>
        <w:tblCellMar>
          <w:top w:w="0" w:type="dxa"/>
          <w:left w:w="108" w:type="dxa"/>
          <w:bottom w:w="0" w:type="dxa"/>
          <w:right w:w="108" w:type="dxa"/>
        </w:tblCellMar>
      </w:tblPr>
      <w:tblGrid>
        <w:gridCol w:w="8522"/>
      </w:tblGrid>
      <w:tr w14:paraId="74BB35A5">
        <w:tblPrEx>
          <w:tblCellMar>
            <w:top w:w="0" w:type="dxa"/>
            <w:left w:w="108" w:type="dxa"/>
            <w:bottom w:w="0" w:type="dxa"/>
            <w:right w:w="108" w:type="dxa"/>
          </w:tblCellMar>
        </w:tblPrEx>
        <w:trPr>
          <w:jc w:val="center"/>
        </w:trPr>
        <w:tc>
          <w:tcPr>
            <w:tcW w:w="8522" w:type="dxa"/>
            <w:shd w:val="clear" w:color="auto" w:fill="auto"/>
          </w:tcPr>
          <w:p w14:paraId="2B81AA52">
            <w:pPr>
              <w:widowControl/>
              <w:jc w:val="center"/>
              <w:rPr>
                <w:rFonts w:ascii="Times New Roman" w:hAnsi="Times New Roman"/>
                <w:color w:val="FF0000"/>
                <w:sz w:val="24"/>
                <w:szCs w:val="24"/>
                <w:highlight w:val="yellow"/>
              </w:rPr>
            </w:pPr>
            <w:r>
              <w:drawing>
                <wp:inline distT="0" distB="0" distL="114300" distR="114300">
                  <wp:extent cx="3935095" cy="1997710"/>
                  <wp:effectExtent l="0" t="0" r="12065" b="13970"/>
                  <wp:docPr id="21" name="图片 4" descr="E:/13.兰理工读研/02.比赛文件/02.研二/15.节能减排/节能占位图9.png节能占位图9"/>
                  <wp:cNvGraphicFramePr/>
                  <a:graphic xmlns:a="http://schemas.openxmlformats.org/drawingml/2006/main">
                    <a:graphicData uri="http://schemas.openxmlformats.org/drawingml/2006/picture">
                      <pic:pic xmlns:pic="http://schemas.openxmlformats.org/drawingml/2006/picture">
                        <pic:nvPicPr>
                          <pic:cNvPr id="21" name="图片 4" descr="E:/13.兰理工读研/02.比赛文件/02.研二/15.节能减排/节能占位图9.png节能占位图9"/>
                          <pic:cNvPicPr/>
                        </pic:nvPicPr>
                        <pic:blipFill>
                          <a:blip r:embed="rId13"/>
                          <a:srcRect t="2183" b="2183"/>
                          <a:stretch>
                            <a:fillRect/>
                          </a:stretch>
                        </pic:blipFill>
                        <pic:spPr>
                          <a:xfrm>
                            <a:off x="0" y="0"/>
                            <a:ext cx="3935095" cy="1997710"/>
                          </a:xfrm>
                          <a:prstGeom prst="rect">
                            <a:avLst/>
                          </a:prstGeom>
                          <a:noFill/>
                          <a:ln>
                            <a:noFill/>
                          </a:ln>
                        </pic:spPr>
                      </pic:pic>
                    </a:graphicData>
                  </a:graphic>
                </wp:inline>
              </w:drawing>
            </w:r>
          </w:p>
          <w:p w14:paraId="3A3E93D9">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10</w:t>
            </w:r>
            <w:r>
              <w:rPr>
                <w:rFonts w:ascii="Times New Roman" w:hAnsi="Times New Roman"/>
                <w:sz w:val="18"/>
                <w:szCs w:val="18"/>
              </w:rPr>
              <w:t xml:space="preserve"> </w:t>
            </w:r>
            <w:r>
              <w:rPr>
                <w:rFonts w:hint="eastAsia" w:ascii="Times New Roman" w:hAnsi="Times New Roman"/>
                <w:sz w:val="18"/>
                <w:szCs w:val="18"/>
              </w:rPr>
              <w:t>振动频谱趋势分析与阈值预警界面</w:t>
            </w:r>
          </w:p>
        </w:tc>
      </w:tr>
    </w:tbl>
    <w:p w14:paraId="112218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系统基于ISO-10816设定报警阈值（2.8mm/s），超限即报警。右侧波形反映早期磨损特征，经Bi-LSTM深度提取，系统实现了比传统方法提前24小时的劣化识别，有效预留了检修窗口。</w:t>
      </w:r>
    </w:p>
    <w:p w14:paraId="28A21168">
      <w:pPr>
        <w:spacing w:before="156" w:beforeLines="50" w:after="156" w:afterLines="50" w:line="440" w:lineRule="exact"/>
        <w:rPr>
          <w:rFonts w:ascii="Times New Roman" w:hAnsi="Times New Roman" w:eastAsia="黑体"/>
          <w:bCs/>
          <w:sz w:val="24"/>
        </w:rPr>
      </w:pPr>
      <w:r>
        <w:rPr>
          <w:rFonts w:ascii="Times New Roman" w:hAnsi="Times New Roman" w:eastAsia="黑体"/>
          <w:bCs/>
          <w:sz w:val="24"/>
        </w:rPr>
        <w:t>4.</w:t>
      </w:r>
      <w:r>
        <w:rPr>
          <w:rFonts w:hint="eastAsia" w:ascii="Times New Roman" w:hAnsi="Times New Roman" w:eastAsia="黑体"/>
          <w:bCs/>
          <w:sz w:val="24"/>
          <w:lang w:val="en-US" w:eastAsia="zh-CN"/>
        </w:rPr>
        <w:t>6</w:t>
      </w:r>
      <w:r>
        <w:rPr>
          <w:rFonts w:ascii="Times New Roman" w:hAnsi="Times New Roman" w:eastAsia="黑体"/>
          <w:bCs/>
          <w:sz w:val="24"/>
        </w:rPr>
        <w:t xml:space="preserve"> </w:t>
      </w:r>
      <w:r>
        <w:rPr>
          <w:rFonts w:hint="eastAsia" w:ascii="Times New Roman" w:hAnsi="Times New Roman" w:eastAsia="黑体"/>
          <w:bCs/>
          <w:sz w:val="24"/>
        </w:rPr>
        <w:t>系统综合性能对比测试</w:t>
      </w:r>
    </w:p>
    <w:p w14:paraId="6B5120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为了客观评价智水先知平台的实际应用价值，我们将本系统与传统SCADA系统及通用机器学习模型在数据采集频率、数据修复精度、故障预警能力及能效优化幅度等关键指标上进行了严格的对比测试，具体的性能指标对比情况如表2所示。</w:t>
      </w:r>
    </w:p>
    <w:p w14:paraId="6687845F">
      <w:pPr>
        <w:widowControl/>
        <w:jc w:val="center"/>
        <w:rPr>
          <w:rFonts w:hint="eastAsia" w:ascii="Times New Roman" w:hAnsi="Times New Roman" w:eastAsia="宋体"/>
          <w:sz w:val="18"/>
          <w:szCs w:val="18"/>
          <w:lang w:val="en-US" w:eastAsia="zh-CN"/>
        </w:rPr>
      </w:pPr>
      <w:r>
        <w:rPr>
          <w:rFonts w:ascii="Times New Roman" w:hAnsi="Times New Roman"/>
          <w:sz w:val="18"/>
          <w:szCs w:val="18"/>
        </w:rPr>
        <w:t xml:space="preserve">表 </w:t>
      </w:r>
      <w:r>
        <w:rPr>
          <w:rFonts w:hint="eastAsia" w:ascii="Times New Roman" w:hAnsi="Times New Roman"/>
          <w:sz w:val="18"/>
          <w:szCs w:val="18"/>
          <w:lang w:val="en-US" w:eastAsia="zh-CN"/>
        </w:rPr>
        <w:t>2 系统核心性能指标对比测试表</w:t>
      </w:r>
    </w:p>
    <w:tbl>
      <w:tblPr>
        <w:tblStyle w:val="9"/>
        <w:tblW w:w="0" w:type="auto"/>
        <w:jc w:val="center"/>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48"/>
        <w:gridCol w:w="1995"/>
        <w:gridCol w:w="2388"/>
        <w:gridCol w:w="1758"/>
        <w:gridCol w:w="1368"/>
      </w:tblGrid>
      <w:tr w14:paraId="56EB22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tblHeader/>
          <w:jc w:val="center"/>
        </w:trPr>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54FABA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测试指标</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24F80B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传统 SCADA 系统</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61D184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通用 ML 模型 (随机森林)</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0A923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本作品 (智水先知)</w:t>
            </w:r>
          </w:p>
        </w:tc>
        <w:tc>
          <w:tcPr>
            <w:tcW w:w="0" w:type="auto"/>
            <w:tcBorders>
              <w:top w:val="single" w:color="auto" w:sz="4" w:space="0"/>
              <w:left w:val="nil"/>
              <w:bottom w:val="single" w:color="auto" w:sz="4" w:space="0"/>
              <w:right w:val="nil"/>
            </w:tcBorders>
            <w:shd w:val="clear" w:color="auto" w:fill="auto"/>
            <w:tcMar>
              <w:top w:w="96" w:type="dxa"/>
              <w:left w:w="144" w:type="dxa"/>
              <w:bottom w:w="96" w:type="dxa"/>
              <w:right w:w="144" w:type="dxa"/>
            </w:tcMar>
            <w:vAlign w:val="center"/>
          </w:tcPr>
          <w:p w14:paraId="20CA6D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Style w:val="12"/>
                <w:rFonts w:hint="default" w:ascii="Times New Roman" w:hAnsi="Times New Roman" w:eastAsia="宋体" w:cs="Times New Roman"/>
                <w:b w:val="0"/>
                <w:color w:val="000000"/>
                <w:kern w:val="0"/>
                <w:sz w:val="18"/>
                <w:szCs w:val="18"/>
                <w:lang w:val="en-US" w:eastAsia="zh-CN" w:bidi="ar"/>
              </w:rPr>
              <w:t>性能提升幅度</w:t>
            </w:r>
          </w:p>
        </w:tc>
      </w:tr>
      <w:tr w14:paraId="077918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7472B4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数据采集频率</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7E2D1B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1 Hz (秒级)</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6A643C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1 Hz (秒级)</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7312D5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100 Hz (毫秒级)</w:t>
            </w:r>
          </w:p>
        </w:tc>
        <w:tc>
          <w:tcPr>
            <w:tcW w:w="0" w:type="auto"/>
            <w:tcBorders>
              <w:top w:val="single" w:color="auto" w:sz="4" w:space="0"/>
              <w:left w:val="nil"/>
              <w:bottom w:val="nil"/>
              <w:right w:val="nil"/>
            </w:tcBorders>
            <w:shd w:val="clear" w:color="auto" w:fill="auto"/>
            <w:tcMar>
              <w:top w:w="96" w:type="dxa"/>
              <w:left w:w="144" w:type="dxa"/>
              <w:bottom w:w="96" w:type="dxa"/>
              <w:right w:w="144" w:type="dxa"/>
            </w:tcMar>
            <w:vAlign w:val="center"/>
          </w:tcPr>
          <w:p w14:paraId="79754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提升 100 倍</w:t>
            </w:r>
          </w:p>
        </w:tc>
      </w:tr>
      <w:tr w14:paraId="084400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7B0A05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数据修复准确率</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68250C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N/A (依赖人工补录)</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4E3978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85.4%</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7B710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99.8%</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298327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提升 14.4%</w:t>
            </w:r>
          </w:p>
        </w:tc>
      </w:tr>
      <w:tr w14:paraId="0D369D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3CA73A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故障预警提前量</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4B6FAC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0 小时 (事后报警)</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AF7BC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6 小时</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655887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24 小时</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7AF96E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显著延长</w:t>
            </w:r>
          </w:p>
        </w:tc>
      </w:tr>
      <w:tr w14:paraId="7FAAA3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47AAB4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default" w:ascii="Times New Roman" w:hAnsi="Times New Roman" w:eastAsia="宋体" w:cs="Times New Roman"/>
                <w:b w:val="0"/>
                <w:bCs/>
                <w:color w:val="000000"/>
                <w:kern w:val="0"/>
                <w:sz w:val="18"/>
                <w:szCs w:val="18"/>
                <w:lang w:val="en-US" w:eastAsia="zh-CN" w:bidi="ar"/>
              </w:rPr>
              <w:t>综合节电率</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E6957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5% - 8%</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22BF29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10% - 12%</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3D4B74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24 小时</w:t>
            </w:r>
          </w:p>
        </w:tc>
        <w:tc>
          <w:tcPr>
            <w:tcW w:w="0" w:type="auto"/>
            <w:tcBorders>
              <w:top w:val="nil"/>
              <w:left w:val="nil"/>
              <w:bottom w:val="nil"/>
              <w:right w:val="nil"/>
            </w:tcBorders>
            <w:shd w:val="clear" w:color="auto" w:fill="auto"/>
            <w:tcMar>
              <w:top w:w="96" w:type="dxa"/>
              <w:left w:w="144" w:type="dxa"/>
              <w:bottom w:w="96" w:type="dxa"/>
              <w:right w:w="144" w:type="dxa"/>
            </w:tcMar>
            <w:vAlign w:val="center"/>
          </w:tcPr>
          <w:p w14:paraId="57AA8F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翻倍提升</w:t>
            </w:r>
          </w:p>
        </w:tc>
      </w:tr>
      <w:tr w14:paraId="104AFD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7" w:hRule="atLeast"/>
          <w:jc w:val="center"/>
        </w:trPr>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307AAA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color w:val="000000"/>
                <w:sz w:val="18"/>
                <w:szCs w:val="18"/>
              </w:rPr>
            </w:pPr>
            <w:r>
              <w:rPr>
                <w:rFonts w:hint="eastAsia" w:ascii="Times New Roman" w:hAnsi="Times New Roman" w:eastAsia="宋体" w:cs="Times New Roman"/>
                <w:b w:val="0"/>
                <w:bCs/>
                <w:color w:val="000000"/>
                <w:kern w:val="0"/>
                <w:sz w:val="18"/>
                <w:szCs w:val="18"/>
                <w:lang w:val="en-US" w:eastAsia="zh-CN" w:bidi="ar"/>
              </w:rPr>
              <w:t>决策响应延迟</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3535B5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&gt; 10 分钟 (人工查阅)</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092E45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&lt; 2 秒</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5D9DCB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&lt; 500 毫秒</w:t>
            </w:r>
          </w:p>
        </w:tc>
        <w:tc>
          <w:tcPr>
            <w:tcW w:w="0" w:type="auto"/>
            <w:tcBorders>
              <w:top w:val="nil"/>
              <w:left w:val="nil"/>
              <w:bottom w:val="single" w:color="auto" w:sz="4" w:space="0"/>
              <w:right w:val="nil"/>
            </w:tcBorders>
            <w:shd w:val="clear" w:color="auto" w:fill="auto"/>
            <w:tcMar>
              <w:top w:w="96" w:type="dxa"/>
              <w:left w:w="144" w:type="dxa"/>
              <w:bottom w:w="96" w:type="dxa"/>
              <w:right w:w="144" w:type="dxa"/>
            </w:tcMar>
            <w:vAlign w:val="center"/>
          </w:tcPr>
          <w:p w14:paraId="090897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50" w:lineRule="atLeast"/>
              <w:ind w:left="0" w:right="0"/>
              <w:jc w:val="center"/>
              <w:textAlignment w:val="auto"/>
              <w:rPr>
                <w:rFonts w:hint="default" w:ascii="Times New Roman" w:hAnsi="Times New Roman" w:eastAsia="宋体" w:cs="Times New Roman"/>
                <w:b w:val="0"/>
                <w:bCs/>
                <w:color w:val="000000"/>
                <w:kern w:val="0"/>
                <w:sz w:val="18"/>
                <w:szCs w:val="18"/>
                <w:lang w:val="en-US" w:eastAsia="zh-CN" w:bidi="ar"/>
              </w:rPr>
            </w:pPr>
            <w:r>
              <w:rPr>
                <w:rFonts w:hint="default" w:ascii="Times New Roman" w:hAnsi="Times New Roman" w:eastAsia="宋体" w:cs="Times New Roman"/>
                <w:b w:val="0"/>
                <w:bCs/>
                <w:color w:val="000000"/>
                <w:kern w:val="0"/>
                <w:sz w:val="18"/>
                <w:szCs w:val="18"/>
                <w:lang w:val="en-US" w:eastAsia="zh-CN" w:bidi="ar"/>
              </w:rPr>
              <w:t>实时性增强</w:t>
            </w:r>
          </w:p>
        </w:tc>
      </w:tr>
    </w:tbl>
    <w:p w14:paraId="266E05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结果表明本系统各项指标均优于传统技术。ST-LLM与Bi-LSTM将修复率升至99.8%、预警窗口延至24小时，改变了被动维保局面；寻优策略使节电率达28%。数据验证了“数据+物理”架构在降本增效与安全运行方面的巨大潜力。</w:t>
      </w:r>
    </w:p>
    <w:p w14:paraId="63A51244">
      <w:pPr>
        <w:spacing w:before="156" w:beforeLines="50" w:after="156" w:afterLines="50" w:line="440" w:lineRule="exact"/>
        <w:rPr>
          <w:rFonts w:ascii="Times New Roman" w:hAnsi="Times New Roman" w:eastAsia="黑体"/>
          <w:sz w:val="24"/>
        </w:rPr>
      </w:pPr>
      <w:r>
        <w:rPr>
          <w:rFonts w:ascii="Times New Roman" w:hAnsi="Times New Roman" w:eastAsia="黑体"/>
          <w:sz w:val="24"/>
        </w:rPr>
        <w:t>5 创新点及应用</w:t>
      </w:r>
    </w:p>
    <w:p w14:paraId="4EBAB523">
      <w:pPr>
        <w:widowControl/>
        <w:spacing w:line="480" w:lineRule="exact"/>
        <w:ind w:firstLine="480" w:firstLineChars="200"/>
        <w:jc w:val="left"/>
        <w:rPr>
          <w:rFonts w:hint="eastAsia" w:ascii="Times New Roman" w:hAnsi="Times New Roman"/>
          <w:sz w:val="24"/>
          <w:szCs w:val="24"/>
        </w:rPr>
      </w:pPr>
      <w:r>
        <w:rPr>
          <w:rFonts w:hint="eastAsia" w:ascii="Times New Roman" w:hAnsi="Times New Roman"/>
          <w:sz w:val="24"/>
          <w:szCs w:val="24"/>
        </w:rPr>
        <w:t>本作品紧密围绕“面向节能降耗的AI泵性能优化与泵站系统匹配”这一产业命题，坚持问题导向与技术攻关，形成了三项具有行业领先水平的创新特色。</w:t>
      </w:r>
    </w:p>
    <w:p w14:paraId="05312B80">
      <w:pPr>
        <w:spacing w:before="156" w:beforeLines="50" w:after="156" w:afterLines="50" w:line="440" w:lineRule="exact"/>
        <w:rPr>
          <w:rFonts w:hint="eastAsia" w:ascii="Times New Roman" w:hAnsi="Times New Roman" w:eastAsia="黑体"/>
          <w:sz w:val="24"/>
          <w:lang w:val="en-US" w:eastAsia="zh-CN"/>
        </w:rPr>
      </w:pPr>
      <w:r>
        <w:rPr>
          <w:rFonts w:ascii="Times New Roman" w:hAnsi="Times New Roman" w:eastAsia="黑体"/>
          <w:sz w:val="24"/>
        </w:rPr>
        <w:t>5</w:t>
      </w:r>
      <w:r>
        <w:rPr>
          <w:rFonts w:hint="eastAsia" w:ascii="Times New Roman" w:hAnsi="Times New Roman" w:eastAsia="黑体"/>
          <w:sz w:val="24"/>
          <w:lang w:val="en-US" w:eastAsia="zh-CN"/>
        </w:rPr>
        <w:t>.1</w:t>
      </w:r>
      <w:r>
        <w:rPr>
          <w:rFonts w:ascii="Times New Roman" w:hAnsi="Times New Roman" w:eastAsia="黑体"/>
          <w:sz w:val="24"/>
        </w:rPr>
        <w:t xml:space="preserve"> 创新</w:t>
      </w:r>
      <w:r>
        <w:rPr>
          <w:rFonts w:hint="eastAsia" w:ascii="Times New Roman" w:hAnsi="Times New Roman" w:eastAsia="黑体"/>
          <w:sz w:val="24"/>
          <w:lang w:val="en-US" w:eastAsia="zh-CN"/>
        </w:rPr>
        <w:t>特色</w:t>
      </w:r>
    </w:p>
    <w:p w14:paraId="49BDDE13">
      <w:pPr>
        <w:spacing w:line="480" w:lineRule="exact"/>
        <w:ind w:firstLine="480" w:firstLineChars="200"/>
        <w:rPr>
          <w:rFonts w:hint="eastAsia" w:ascii="Times New Roman" w:hAnsi="Times New Roman"/>
          <w:b w:val="0"/>
          <w:bCs w:val="0"/>
          <w:sz w:val="24"/>
          <w:szCs w:val="24"/>
          <w:lang w:val="en-US" w:eastAsia="zh-CN"/>
        </w:rPr>
      </w:pPr>
      <w:r>
        <w:rPr>
          <w:rFonts w:ascii="Times New Roman" w:hAnsi="Times New Roman"/>
          <w:b w:val="0"/>
          <w:bCs w:val="0"/>
          <w:sz w:val="24"/>
          <w:szCs w:val="24"/>
        </w:rPr>
        <w:t>1）</w:t>
      </w:r>
      <w:r>
        <w:rPr>
          <w:rFonts w:hint="eastAsia" w:ascii="Times New Roman" w:hAnsi="Times New Roman"/>
          <w:b w:val="0"/>
          <w:bCs w:val="0"/>
          <w:sz w:val="24"/>
          <w:szCs w:val="24"/>
        </w:rPr>
        <w:t>构建了“数据-物理”双驱的泵站系统匹配优化架构</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摒弃单一黑盒模型，融合离心泵水力模型与AI算法，实时计算最佳工况点并进行毫秒级频率寻优，确保泵组始终在高效区运行，彻底解决“偏工况”导致的低效能耗问题</w:t>
      </w:r>
      <w:r>
        <w:rPr>
          <w:rFonts w:hint="eastAsia" w:ascii="Times New Roman" w:hAnsi="Times New Roman"/>
          <w:b w:val="0"/>
          <w:bCs w:val="0"/>
          <w:sz w:val="24"/>
          <w:szCs w:val="24"/>
          <w:lang w:eastAsia="zh-CN"/>
        </w:rPr>
        <w:t>。</w:t>
      </w:r>
    </w:p>
    <w:p w14:paraId="5201C370">
      <w:pPr>
        <w:spacing w:line="480" w:lineRule="exact"/>
        <w:ind w:firstLine="480" w:firstLineChars="200"/>
        <w:rPr>
          <w:rFonts w:ascii="Times New Roman" w:hAnsi="Times New Roman"/>
          <w:sz w:val="24"/>
          <w:szCs w:val="24"/>
        </w:rPr>
      </w:pPr>
      <w:r>
        <w:rPr>
          <w:rFonts w:ascii="Times New Roman" w:hAnsi="Times New Roman"/>
          <w:b w:val="0"/>
          <w:bCs w:val="0"/>
          <w:sz w:val="24"/>
          <w:szCs w:val="24"/>
        </w:rPr>
        <w:t>2）</w:t>
      </w:r>
      <w:r>
        <w:rPr>
          <w:rFonts w:hint="eastAsia" w:ascii="Times New Roman" w:hAnsi="Times New Roman"/>
          <w:b w:val="0"/>
          <w:bCs w:val="0"/>
          <w:sz w:val="24"/>
          <w:szCs w:val="24"/>
        </w:rPr>
        <w:t>创</w:t>
      </w:r>
      <w:r>
        <w:rPr>
          <w:rFonts w:hint="eastAsia" w:ascii="Times New Roman" w:hAnsi="Times New Roman"/>
          <w:b w:val="0"/>
          <w:bCs w:val="0"/>
          <w:sz w:val="24"/>
          <w:szCs w:val="24"/>
          <w:lang w:val="en-US" w:eastAsia="zh-CN"/>
        </w:rPr>
        <w:t>新使用</w:t>
      </w:r>
      <w:r>
        <w:rPr>
          <w:rFonts w:hint="eastAsia" w:ascii="Times New Roman" w:hAnsi="Times New Roman"/>
          <w:b w:val="0"/>
          <w:bCs w:val="0"/>
          <w:sz w:val="24"/>
          <w:szCs w:val="24"/>
        </w:rPr>
        <w:t>基于</w:t>
      </w:r>
      <w:r>
        <w:rPr>
          <w:rFonts w:hint="eastAsia" w:ascii="Times New Roman" w:hAnsi="Times New Roman"/>
          <w:b w:val="0"/>
          <w:bCs w:val="0"/>
          <w:sz w:val="24"/>
          <w:szCs w:val="24"/>
          <w:lang w:val="en-US" w:eastAsia="zh-CN"/>
        </w:rPr>
        <w:t>ST-LLM</w:t>
      </w:r>
      <w:r>
        <w:rPr>
          <w:rFonts w:hint="eastAsia" w:ascii="Times New Roman" w:hAnsi="Times New Roman"/>
          <w:b w:val="0"/>
          <w:bCs w:val="0"/>
          <w:sz w:val="24"/>
          <w:szCs w:val="24"/>
        </w:rPr>
        <w:t>的工业时空数据治理技术</w:t>
      </w:r>
      <w:r>
        <w:rPr>
          <w:rFonts w:hint="eastAsia" w:ascii="Times New Roman" w:hAnsi="Times New Roman"/>
          <w:b w:val="0"/>
          <w:bCs w:val="0"/>
          <w:sz w:val="24"/>
          <w:szCs w:val="24"/>
          <w:lang w:eastAsia="zh-CN"/>
        </w:rPr>
        <w:t>，</w:t>
      </w:r>
      <w:r>
        <w:rPr>
          <w:rFonts w:hint="eastAsia" w:ascii="Times New Roman" w:hAnsi="Times New Roman"/>
          <w:sz w:val="24"/>
          <w:szCs w:val="24"/>
        </w:rPr>
        <w:t>引入ST-LLM与图注意力网络，捕捉流量、压力、功率间的强耦合特征，实现对工业现场缺失及噪声数据的高保真修复（MSE &lt; 0.01），为智能决策构建可信的数据底座。</w:t>
      </w:r>
    </w:p>
    <w:p w14:paraId="5A7EBB11">
      <w:pPr>
        <w:spacing w:line="480" w:lineRule="exact"/>
        <w:ind w:firstLine="480" w:firstLineChars="200"/>
        <w:rPr>
          <w:rFonts w:hint="eastAsia" w:ascii="Times New Roman" w:hAnsi="Times New Roman" w:eastAsia="宋体"/>
          <w:sz w:val="24"/>
          <w:szCs w:val="24"/>
          <w:lang w:val="en-US" w:eastAsia="zh-CN"/>
        </w:rPr>
      </w:pPr>
      <w:r>
        <w:rPr>
          <w:rFonts w:ascii="Times New Roman" w:hAnsi="Times New Roman"/>
          <w:b w:val="0"/>
          <w:bCs w:val="0"/>
          <w:sz w:val="24"/>
          <w:szCs w:val="24"/>
        </w:rPr>
        <w:t>3）</w:t>
      </w:r>
      <w:r>
        <w:rPr>
          <w:rFonts w:hint="eastAsia" w:ascii="Times New Roman" w:hAnsi="Times New Roman"/>
          <w:b w:val="0"/>
          <w:bCs w:val="0"/>
          <w:sz w:val="24"/>
          <w:szCs w:val="24"/>
        </w:rPr>
        <w:t>设计了“人机协同”的三态智能决策控制逻辑</w:t>
      </w:r>
      <w:r>
        <w:rPr>
          <w:rFonts w:hint="eastAsia" w:ascii="Times New Roman" w:hAnsi="Times New Roman"/>
          <w:b w:val="0"/>
          <w:bCs w:val="0"/>
          <w:sz w:val="24"/>
          <w:szCs w:val="24"/>
          <w:lang w:eastAsia="zh-CN"/>
        </w:rPr>
        <w:t>，</w:t>
      </w:r>
      <w:r>
        <w:rPr>
          <w:rFonts w:hint="eastAsia" w:ascii="Times New Roman" w:hAnsi="Times New Roman"/>
          <w:sz w:val="24"/>
          <w:szCs w:val="24"/>
        </w:rPr>
        <w:t>为了平衡系统调控的智能化与安全性，系统设计了灵活的“全维智控台”，如图</w:t>
      </w:r>
      <w:r>
        <w:rPr>
          <w:rFonts w:hint="eastAsia" w:ascii="Times New Roman" w:hAnsi="Times New Roman"/>
          <w:sz w:val="24"/>
          <w:szCs w:val="24"/>
          <w:lang w:val="en-US" w:eastAsia="zh-CN"/>
        </w:rPr>
        <w:t>11</w:t>
      </w:r>
      <w:r>
        <w:rPr>
          <w:rFonts w:hint="eastAsia" w:ascii="Times New Roman" w:hAnsi="Times New Roman"/>
          <w:sz w:val="24"/>
          <w:szCs w:val="24"/>
        </w:rPr>
        <w:t>所示，支持AI全托管自适应</w:t>
      </w:r>
      <w:r>
        <w:rPr>
          <w:rFonts w:hint="eastAsia" w:ascii="Times New Roman" w:hAnsi="Times New Roman"/>
          <w:sz w:val="24"/>
          <w:szCs w:val="24"/>
          <w:lang w:eastAsia="zh-CN"/>
        </w:rPr>
        <w:t>、</w:t>
      </w:r>
      <w:r>
        <w:rPr>
          <w:rFonts w:hint="eastAsia" w:ascii="Times New Roman" w:hAnsi="Times New Roman"/>
          <w:sz w:val="24"/>
          <w:szCs w:val="24"/>
        </w:rPr>
        <w:t>人工辅助决策</w:t>
      </w:r>
      <w:r>
        <w:rPr>
          <w:rFonts w:hint="eastAsia" w:ascii="Times New Roman" w:hAnsi="Times New Roman"/>
          <w:sz w:val="24"/>
          <w:szCs w:val="24"/>
          <w:lang w:eastAsia="zh-CN"/>
        </w:rPr>
        <w:t>、</w:t>
      </w:r>
      <w:r>
        <w:rPr>
          <w:rFonts w:hint="eastAsia" w:ascii="Times New Roman" w:hAnsi="Times New Roman"/>
          <w:sz w:val="24"/>
          <w:szCs w:val="24"/>
        </w:rPr>
        <w:t>紧急停机维护三种无缝切换的决策模式</w:t>
      </w:r>
      <w:r>
        <w:rPr>
          <w:rFonts w:hint="eastAsia" w:ascii="Times New Roman" w:hAnsi="Times New Roman"/>
          <w:sz w:val="24"/>
          <w:szCs w:val="24"/>
          <w:lang w:eastAsia="zh-CN"/>
        </w:rPr>
        <w:t>。</w:t>
      </w:r>
    </w:p>
    <w:tbl>
      <w:tblPr>
        <w:tblStyle w:val="9"/>
        <w:tblW w:w="0" w:type="auto"/>
        <w:jc w:val="center"/>
        <w:tblLayout w:type="autofit"/>
        <w:tblCellMar>
          <w:top w:w="0" w:type="dxa"/>
          <w:left w:w="108" w:type="dxa"/>
          <w:bottom w:w="0" w:type="dxa"/>
          <w:right w:w="108" w:type="dxa"/>
        </w:tblCellMar>
      </w:tblPr>
      <w:tblGrid>
        <w:gridCol w:w="8522"/>
      </w:tblGrid>
      <w:tr w14:paraId="21329BD2">
        <w:tblPrEx>
          <w:tblCellMar>
            <w:top w:w="0" w:type="dxa"/>
            <w:left w:w="108" w:type="dxa"/>
            <w:bottom w:w="0" w:type="dxa"/>
            <w:right w:w="108" w:type="dxa"/>
          </w:tblCellMar>
        </w:tblPrEx>
        <w:trPr>
          <w:jc w:val="center"/>
        </w:trPr>
        <w:tc>
          <w:tcPr>
            <w:tcW w:w="8522" w:type="dxa"/>
            <w:shd w:val="clear" w:color="auto" w:fill="auto"/>
          </w:tcPr>
          <w:p w14:paraId="6956C410">
            <w:pPr>
              <w:widowControl/>
              <w:jc w:val="center"/>
              <w:rPr>
                <w:rFonts w:ascii="Times New Roman" w:hAnsi="Times New Roman"/>
                <w:color w:val="FF0000"/>
                <w:sz w:val="24"/>
                <w:szCs w:val="24"/>
                <w:highlight w:val="yellow"/>
              </w:rPr>
            </w:pPr>
            <w:r>
              <w:drawing>
                <wp:inline distT="0" distB="0" distL="114300" distR="114300">
                  <wp:extent cx="2716530" cy="1282700"/>
                  <wp:effectExtent l="0" t="0" r="7620" b="3175"/>
                  <wp:docPr id="22" name="图片 4" descr="E:/13.兰理工读研/02.比赛文件/02.研二/15.节能减排/节能占位图10.png节能占位图10"/>
                  <wp:cNvGraphicFramePr/>
                  <a:graphic xmlns:a="http://schemas.openxmlformats.org/drawingml/2006/main">
                    <a:graphicData uri="http://schemas.openxmlformats.org/drawingml/2006/picture">
                      <pic:pic xmlns:pic="http://schemas.openxmlformats.org/drawingml/2006/picture">
                        <pic:nvPicPr>
                          <pic:cNvPr id="22" name="图片 4" descr="E:/13.兰理工读研/02.比赛文件/02.研二/15.节能减排/节能占位图10.png节能占位图10"/>
                          <pic:cNvPicPr/>
                        </pic:nvPicPr>
                        <pic:blipFill>
                          <a:blip r:embed="rId14"/>
                          <a:srcRect t="24323" b="24323"/>
                          <a:stretch>
                            <a:fillRect/>
                          </a:stretch>
                        </pic:blipFill>
                        <pic:spPr>
                          <a:xfrm>
                            <a:off x="0" y="0"/>
                            <a:ext cx="2716530" cy="1282700"/>
                          </a:xfrm>
                          <a:prstGeom prst="rect">
                            <a:avLst/>
                          </a:prstGeom>
                          <a:noFill/>
                          <a:ln>
                            <a:noFill/>
                          </a:ln>
                        </pic:spPr>
                      </pic:pic>
                    </a:graphicData>
                  </a:graphic>
                </wp:inline>
              </w:drawing>
            </w:r>
          </w:p>
          <w:p w14:paraId="78E6CD19">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11</w:t>
            </w:r>
            <w:r>
              <w:rPr>
                <w:rFonts w:ascii="Times New Roman" w:hAnsi="Times New Roman"/>
                <w:sz w:val="18"/>
                <w:szCs w:val="18"/>
              </w:rPr>
              <w:t xml:space="preserve"> </w:t>
            </w:r>
            <w:r>
              <w:rPr>
                <w:rFonts w:hint="eastAsia" w:ascii="Times New Roman" w:hAnsi="Times New Roman"/>
                <w:sz w:val="18"/>
                <w:szCs w:val="18"/>
              </w:rPr>
              <w:t>“全维智控台”</w:t>
            </w:r>
            <w:r>
              <w:rPr>
                <w:rFonts w:hint="eastAsia" w:ascii="Times New Roman" w:hAnsi="Times New Roman"/>
                <w:sz w:val="18"/>
                <w:szCs w:val="18"/>
                <w:lang w:val="en-US" w:eastAsia="zh-CN"/>
              </w:rPr>
              <w:t>运行模式</w:t>
            </w:r>
            <w:r>
              <w:rPr>
                <w:rFonts w:hint="eastAsia" w:ascii="Times New Roman" w:hAnsi="Times New Roman"/>
                <w:sz w:val="18"/>
                <w:szCs w:val="18"/>
              </w:rPr>
              <w:t>界面</w:t>
            </w:r>
          </w:p>
        </w:tc>
      </w:tr>
    </w:tbl>
    <w:p w14:paraId="3DE4F1E6">
      <w:pPr>
        <w:spacing w:line="480" w:lineRule="exact"/>
        <w:ind w:firstLine="480" w:firstLineChars="200"/>
        <w:rPr>
          <w:rFonts w:hint="eastAsia" w:ascii="Times New Roman" w:hAnsi="Times New Roman"/>
          <w:sz w:val="24"/>
          <w:szCs w:val="24"/>
        </w:rPr>
      </w:pPr>
      <w:r>
        <w:rPr>
          <w:rFonts w:hint="eastAsia" w:ascii="Times New Roman" w:hAnsi="Times New Roman"/>
          <w:sz w:val="24"/>
          <w:szCs w:val="24"/>
        </w:rPr>
        <w:t>AI全托管模式面向夜间无人值守场景，自动追踪最佳能效点；人工辅助模式针对复杂非稳态工况，仅生成建议需人工确认后执行；紧急停机模式在监测到严重故障时立即触发物理切断。该分级机制有效实现了算法自动寻优、人工经验干预与硬件底层保护的协同互补，构建了严密的安全防线。</w:t>
      </w:r>
      <w:bookmarkStart w:id="0" w:name="_GoBack"/>
      <w:bookmarkEnd w:id="0"/>
    </w:p>
    <w:p w14:paraId="7A221209">
      <w:pPr>
        <w:spacing w:before="156" w:beforeLines="50" w:after="156" w:afterLines="50" w:line="440" w:lineRule="exact"/>
        <w:rPr>
          <w:rFonts w:hint="eastAsia" w:ascii="Times New Roman" w:hAnsi="Times New Roman" w:eastAsia="黑体"/>
          <w:sz w:val="24"/>
          <w:lang w:val="en-US" w:eastAsia="zh-CN"/>
        </w:rPr>
      </w:pPr>
      <w:r>
        <w:rPr>
          <w:rFonts w:ascii="Times New Roman" w:hAnsi="Times New Roman" w:eastAsia="黑体"/>
          <w:sz w:val="24"/>
        </w:rPr>
        <w:t>5</w:t>
      </w:r>
      <w:r>
        <w:rPr>
          <w:rFonts w:hint="eastAsia" w:ascii="Times New Roman" w:hAnsi="Times New Roman" w:eastAsia="黑体"/>
          <w:sz w:val="24"/>
          <w:lang w:val="en-US" w:eastAsia="zh-CN"/>
        </w:rPr>
        <w:t>.2</w:t>
      </w:r>
      <w:r>
        <w:rPr>
          <w:rFonts w:ascii="Times New Roman" w:hAnsi="Times New Roman" w:eastAsia="黑体"/>
          <w:sz w:val="24"/>
        </w:rPr>
        <w:t xml:space="preserve"> </w:t>
      </w:r>
      <w:r>
        <w:rPr>
          <w:rFonts w:hint="eastAsia" w:ascii="Times New Roman" w:hAnsi="Times New Roman" w:eastAsia="黑体"/>
          <w:sz w:val="24"/>
        </w:rPr>
        <w:t>预计应用前景</w:t>
      </w:r>
    </w:p>
    <w:p w14:paraId="4BD8BF34">
      <w:pPr>
        <w:spacing w:line="480" w:lineRule="exact"/>
        <w:ind w:firstLine="480" w:firstLineChars="200"/>
        <w:rPr>
          <w:rFonts w:hint="eastAsia" w:ascii="Times New Roman" w:hAnsi="Times New Roman"/>
          <w:sz w:val="24"/>
          <w:szCs w:val="24"/>
        </w:rPr>
      </w:pPr>
      <w:r>
        <w:rPr>
          <w:rFonts w:hint="eastAsia" w:ascii="Times New Roman" w:hAnsi="Times New Roman"/>
          <w:sz w:val="24"/>
          <w:szCs w:val="24"/>
        </w:rPr>
        <w:t>面向“双碳”战略，提升高耗能泵站的运行效率是水务行业低碳转型的关键路径。本作品凭借精准的系统匹配能力与灵活的控制策略，在以下领域拥有广阔的应用前景。</w:t>
      </w:r>
    </w:p>
    <w:p w14:paraId="71DD1E85">
      <w:pPr>
        <w:widowControl/>
        <w:spacing w:line="480" w:lineRule="exact"/>
        <w:ind w:firstLine="480" w:firstLineChars="200"/>
        <w:jc w:val="left"/>
        <w:rPr>
          <w:rFonts w:hint="eastAsia" w:ascii="Times New Roman" w:hAnsi="Times New Roman"/>
          <w:sz w:val="24"/>
          <w:szCs w:val="24"/>
        </w:rPr>
      </w:pPr>
      <w:r>
        <w:rPr>
          <w:rFonts w:ascii="Times New Roman" w:hAnsi="Times New Roman"/>
          <w:b w:val="0"/>
          <w:bCs w:val="0"/>
          <w:sz w:val="24"/>
          <w:szCs w:val="24"/>
        </w:rPr>
        <w:t>1）</w:t>
      </w:r>
      <w:r>
        <w:rPr>
          <w:rFonts w:hint="eastAsia" w:ascii="Times New Roman" w:hAnsi="Times New Roman"/>
          <w:b w:val="0"/>
          <w:bCs w:val="0"/>
          <w:sz w:val="24"/>
        </w:rPr>
        <w:t>市政供水与二次加压领域</w:t>
      </w:r>
      <w:r>
        <w:rPr>
          <w:rFonts w:hint="eastAsia" w:ascii="Times New Roman" w:hAnsi="Times New Roman"/>
          <w:b w:val="0"/>
          <w:bCs w:val="0"/>
          <w:sz w:val="24"/>
          <w:lang w:eastAsia="zh-CN"/>
        </w:rPr>
        <w:t>，</w:t>
      </w:r>
      <w:r>
        <w:rPr>
          <w:rFonts w:hint="eastAsia" w:ascii="Times New Roman" w:hAnsi="Times New Roman"/>
          <w:sz w:val="24"/>
        </w:rPr>
        <w:t xml:space="preserve">利用AI解析用水“潮汐规律”动态调压，解决“大马拉小车”低效运行痛点，降低电力成本超15% </w:t>
      </w:r>
      <w:r>
        <w:rPr>
          <w:rFonts w:hint="eastAsia" w:ascii="Times New Roman" w:hAnsi="Times New Roman"/>
          <w:sz w:val="24"/>
          <w:szCs w:val="24"/>
        </w:rPr>
        <w:t>。</w:t>
      </w:r>
    </w:p>
    <w:p w14:paraId="202E43B3">
      <w:pPr>
        <w:widowControl/>
        <w:spacing w:line="480" w:lineRule="exact"/>
        <w:ind w:firstLine="480" w:firstLineChars="200"/>
        <w:jc w:val="left"/>
        <w:rPr>
          <w:rFonts w:hint="eastAsia" w:ascii="Times New Roman" w:hAnsi="Times New Roman"/>
          <w:sz w:val="24"/>
          <w:szCs w:val="24"/>
        </w:rPr>
      </w:pPr>
      <w:r>
        <w:rPr>
          <w:rFonts w:hint="eastAsia" w:ascii="Times New Roman" w:hAnsi="Times New Roman"/>
          <w:b w:val="0"/>
          <w:bCs w:val="0"/>
          <w:sz w:val="24"/>
          <w:szCs w:val="24"/>
          <w:lang w:val="en-US" w:eastAsia="zh-CN"/>
        </w:rPr>
        <w:t>2</w:t>
      </w:r>
      <w:r>
        <w:rPr>
          <w:rFonts w:ascii="Times New Roman" w:hAnsi="Times New Roman"/>
          <w:b w:val="0"/>
          <w:bCs w:val="0"/>
          <w:sz w:val="24"/>
          <w:szCs w:val="24"/>
        </w:rPr>
        <w:t>）</w:t>
      </w:r>
      <w:r>
        <w:rPr>
          <w:rFonts w:hint="eastAsia" w:ascii="Times New Roman" w:hAnsi="Times New Roman"/>
          <w:b w:val="0"/>
          <w:bCs w:val="0"/>
          <w:sz w:val="24"/>
        </w:rPr>
        <w:t>大型水利与跨流域调水领域</w:t>
      </w:r>
      <w:r>
        <w:rPr>
          <w:rFonts w:hint="eastAsia" w:ascii="Times New Roman" w:hAnsi="Times New Roman"/>
          <w:b w:val="0"/>
          <w:bCs w:val="0"/>
          <w:sz w:val="24"/>
          <w:lang w:eastAsia="zh-CN"/>
        </w:rPr>
        <w:t>，</w:t>
      </w:r>
      <w:r>
        <w:rPr>
          <w:rFonts w:hint="eastAsia" w:ascii="Times New Roman" w:hAnsi="Times New Roman"/>
          <w:sz w:val="24"/>
        </w:rPr>
        <w:t xml:space="preserve">依托“AI全托管”与Bi-LSTM故障预警实现远程无人值守，大幅降低巡检成本，提升工程运行韧性 </w:t>
      </w:r>
      <w:r>
        <w:rPr>
          <w:rFonts w:hint="eastAsia" w:ascii="Times New Roman" w:hAnsi="Times New Roman"/>
          <w:sz w:val="24"/>
          <w:szCs w:val="24"/>
        </w:rPr>
        <w:t>。</w:t>
      </w:r>
    </w:p>
    <w:p w14:paraId="7103FB70">
      <w:pPr>
        <w:widowControl/>
        <w:spacing w:line="480" w:lineRule="exact"/>
        <w:ind w:firstLine="480" w:firstLineChars="200"/>
        <w:jc w:val="left"/>
        <w:rPr>
          <w:rFonts w:hint="eastAsia" w:ascii="Times New Roman" w:hAnsi="Times New Roman"/>
          <w:sz w:val="24"/>
          <w:szCs w:val="24"/>
        </w:rPr>
      </w:pPr>
      <w:r>
        <w:rPr>
          <w:rFonts w:hint="eastAsia" w:ascii="Times New Roman" w:hAnsi="Times New Roman"/>
          <w:b w:val="0"/>
          <w:bCs w:val="0"/>
          <w:sz w:val="24"/>
          <w:szCs w:val="24"/>
        </w:rPr>
        <w:t>3）工业循环水与冷却系统领域</w:t>
      </w:r>
      <w:r>
        <w:rPr>
          <w:rFonts w:hint="eastAsia" w:ascii="Times New Roman" w:hAnsi="Times New Roman"/>
          <w:b w:val="0"/>
          <w:bCs w:val="0"/>
          <w:sz w:val="24"/>
          <w:szCs w:val="24"/>
          <w:lang w:eastAsia="zh-CN"/>
        </w:rPr>
        <w:t>，“</w:t>
      </w:r>
      <w:r>
        <w:rPr>
          <w:rFonts w:hint="eastAsia" w:ascii="Times New Roman" w:hAnsi="Times New Roman"/>
          <w:sz w:val="24"/>
          <w:szCs w:val="24"/>
        </w:rPr>
        <w:t>依托“AI全托管”与Bi-LSTM故障预警实现远程无人值守，大幅降低巡检成本，提升工程运行韧性</w:t>
      </w:r>
      <w:r>
        <w:rPr>
          <w:rFonts w:hint="eastAsia" w:ascii="Times New Roman" w:hAnsi="Times New Roman"/>
          <w:sz w:val="24"/>
          <w:szCs w:val="24"/>
          <w:lang w:eastAsia="zh-CN"/>
        </w:rPr>
        <w:t>。</w:t>
      </w:r>
      <w:r>
        <w:rPr>
          <w:rFonts w:hint="eastAsia" w:ascii="Times New Roman" w:hAnsi="Times New Roman"/>
          <w:sz w:val="24"/>
          <w:szCs w:val="24"/>
        </w:rPr>
        <w:t>系统的多场景广泛适用性与部署拓扑如图12所示。</w:t>
      </w:r>
    </w:p>
    <w:tbl>
      <w:tblPr>
        <w:tblStyle w:val="9"/>
        <w:tblW w:w="0" w:type="auto"/>
        <w:jc w:val="center"/>
        <w:tblLayout w:type="autofit"/>
        <w:tblCellMar>
          <w:top w:w="0" w:type="dxa"/>
          <w:left w:w="108" w:type="dxa"/>
          <w:bottom w:w="0" w:type="dxa"/>
          <w:right w:w="108" w:type="dxa"/>
        </w:tblCellMar>
      </w:tblPr>
      <w:tblGrid>
        <w:gridCol w:w="8522"/>
      </w:tblGrid>
      <w:tr w14:paraId="648379C4">
        <w:tblPrEx>
          <w:tblCellMar>
            <w:top w:w="0" w:type="dxa"/>
            <w:left w:w="108" w:type="dxa"/>
            <w:bottom w:w="0" w:type="dxa"/>
            <w:right w:w="108" w:type="dxa"/>
          </w:tblCellMar>
        </w:tblPrEx>
        <w:trPr>
          <w:jc w:val="center"/>
        </w:trPr>
        <w:tc>
          <w:tcPr>
            <w:tcW w:w="8522" w:type="dxa"/>
            <w:shd w:val="clear" w:color="auto" w:fill="auto"/>
          </w:tcPr>
          <w:p w14:paraId="7B1BAD57">
            <w:pPr>
              <w:widowControl/>
              <w:jc w:val="center"/>
              <w:rPr>
                <w:rFonts w:ascii="Times New Roman" w:hAnsi="Times New Roman"/>
                <w:color w:val="FF0000"/>
                <w:sz w:val="24"/>
                <w:szCs w:val="24"/>
                <w:highlight w:val="yellow"/>
              </w:rPr>
            </w:pPr>
            <w:r>
              <w:drawing>
                <wp:inline distT="0" distB="0" distL="114300" distR="114300">
                  <wp:extent cx="3827145" cy="1822450"/>
                  <wp:effectExtent l="0" t="0" r="13335" b="6350"/>
                  <wp:docPr id="23" name="图片 4" descr="E:/13.兰理工读研/02.比赛文件/02.研二/15.节能减排/节能占位图11.png节能占位图11"/>
                  <wp:cNvGraphicFramePr/>
                  <a:graphic xmlns:a="http://schemas.openxmlformats.org/drawingml/2006/main">
                    <a:graphicData uri="http://schemas.openxmlformats.org/drawingml/2006/picture">
                      <pic:pic xmlns:pic="http://schemas.openxmlformats.org/drawingml/2006/picture">
                        <pic:nvPicPr>
                          <pic:cNvPr id="23" name="图片 4" descr="E:/13.兰理工读研/02.比赛文件/02.研二/15.节能减排/节能占位图11.png节能占位图11"/>
                          <pic:cNvPicPr/>
                        </pic:nvPicPr>
                        <pic:blipFill>
                          <a:blip r:embed="rId15"/>
                          <a:srcRect l="8863" t="13282" r="8468" b="18768"/>
                          <a:stretch>
                            <a:fillRect/>
                          </a:stretch>
                        </pic:blipFill>
                        <pic:spPr>
                          <a:xfrm>
                            <a:off x="0" y="0"/>
                            <a:ext cx="3827145" cy="1822450"/>
                          </a:xfrm>
                          <a:prstGeom prst="rect">
                            <a:avLst/>
                          </a:prstGeom>
                          <a:noFill/>
                          <a:ln>
                            <a:noFill/>
                          </a:ln>
                        </pic:spPr>
                      </pic:pic>
                    </a:graphicData>
                  </a:graphic>
                </wp:inline>
              </w:drawing>
            </w:r>
          </w:p>
          <w:p w14:paraId="0A0441F2">
            <w:pPr>
              <w:widowControl/>
              <w:jc w:val="center"/>
              <w:rPr>
                <w:rFonts w:ascii="Times New Roman" w:hAnsi="Times New Roman"/>
                <w:color w:val="FF0000"/>
                <w:sz w:val="18"/>
                <w:szCs w:val="18"/>
                <w:highlight w:val="yellow"/>
              </w:rPr>
            </w:pPr>
            <w:r>
              <w:rPr>
                <w:rFonts w:ascii="Times New Roman" w:hAnsi="Times New Roman"/>
                <w:sz w:val="18"/>
                <w:szCs w:val="18"/>
              </w:rPr>
              <w:t>图</w:t>
            </w:r>
            <w:r>
              <w:rPr>
                <w:rFonts w:hint="eastAsia" w:ascii="Times New Roman" w:hAnsi="Times New Roman"/>
                <w:sz w:val="18"/>
                <w:szCs w:val="18"/>
                <w:lang w:val="en-US" w:eastAsia="zh-CN"/>
              </w:rPr>
              <w:t>10</w:t>
            </w:r>
            <w:r>
              <w:rPr>
                <w:rFonts w:ascii="Times New Roman" w:hAnsi="Times New Roman"/>
                <w:sz w:val="18"/>
                <w:szCs w:val="18"/>
              </w:rPr>
              <w:t xml:space="preserve"> </w:t>
            </w:r>
            <w:r>
              <w:rPr>
                <w:rFonts w:hint="eastAsia" w:ascii="Times New Roman" w:hAnsi="Times New Roman"/>
                <w:sz w:val="18"/>
                <w:szCs w:val="18"/>
              </w:rPr>
              <w:t>振动频谱趋势分析与阈值预警界面</w:t>
            </w:r>
          </w:p>
        </w:tc>
      </w:tr>
    </w:tbl>
    <w:p w14:paraId="08207B91">
      <w:pPr>
        <w:widowControl/>
        <w:spacing w:line="480" w:lineRule="exact"/>
        <w:ind w:firstLine="480" w:firstLineChars="200"/>
        <w:jc w:val="left"/>
        <w:rPr>
          <w:rFonts w:hint="eastAsia" w:ascii="Times New Roman" w:hAnsi="Times New Roman"/>
          <w:sz w:val="24"/>
          <w:szCs w:val="24"/>
        </w:rPr>
      </w:pPr>
      <w:r>
        <w:rPr>
          <w:rFonts w:hint="eastAsia" w:ascii="Times New Roman" w:hAnsi="Times New Roman"/>
          <w:sz w:val="24"/>
          <w:szCs w:val="24"/>
        </w:rPr>
        <w:t>综上所述，本作品紧扣产业赛道关于“泵性能优化与系统匹配”的命题要求，通过技术创新实现了设备运行的高效化与智能化，具有显著的经济效益与推广价值。</w:t>
      </w:r>
    </w:p>
    <w:p w14:paraId="6DF82642">
      <w:pPr>
        <w:spacing w:line="440" w:lineRule="exact"/>
        <w:rPr>
          <w:rFonts w:ascii="Times New Roman" w:hAnsi="Times New Roman"/>
          <w:sz w:val="24"/>
          <w:szCs w:val="24"/>
        </w:rPr>
      </w:pPr>
    </w:p>
    <w:p w14:paraId="63E0AD3B">
      <w:pPr>
        <w:rPr>
          <w:rFonts w:ascii="Times New Roman" w:hAnsi="Times New Roman" w:eastAsia="黑体"/>
          <w:bCs/>
          <w:sz w:val="24"/>
        </w:rPr>
      </w:pPr>
      <w:r>
        <w:rPr>
          <w:rFonts w:ascii="Times New Roman" w:hAnsi="Times New Roman" w:eastAsia="黑体"/>
          <w:bCs/>
          <w:sz w:val="24"/>
          <w:szCs w:val="24"/>
        </w:rPr>
        <w:t>参考文献</w:t>
      </w:r>
    </w:p>
    <w:p w14:paraId="3D62A8FE">
      <w:pPr>
        <w:jc w:val="center"/>
        <w:rPr>
          <w:rFonts w:ascii="Times New Roman" w:hAnsi="Times New Roman" w:eastAsia="黑体"/>
          <w:bCs/>
          <w:sz w:val="24"/>
          <w:szCs w:val="24"/>
        </w:rPr>
      </w:pPr>
    </w:p>
    <w:p w14:paraId="0CF9FC15">
      <w:pPr>
        <w:numPr>
          <w:ilvl w:val="0"/>
          <w:numId w:val="1"/>
        </w:numPr>
        <w:spacing w:line="480" w:lineRule="exact"/>
        <w:rPr>
          <w:rFonts w:ascii="Times New Roman" w:hAnsi="Times New Roman"/>
          <w:sz w:val="24"/>
          <w:szCs w:val="24"/>
        </w:rPr>
      </w:pPr>
      <w:r>
        <w:rPr>
          <w:rFonts w:hint="eastAsia" w:ascii="Times New Roman" w:hAnsi="Times New Roman"/>
          <w:sz w:val="24"/>
          <w:szCs w:val="24"/>
        </w:rPr>
        <w:t>国务院.关于印发《推动大规模设备更新和消费品以旧换新行动方案》的通知</w:t>
      </w:r>
      <w:r>
        <w:rPr>
          <w:rFonts w:hint="eastAsia" w:ascii="宋体" w:hAnsi="宋体" w:eastAsia="宋体" w:cs="宋体"/>
          <w:sz w:val="24"/>
          <w:szCs w:val="24"/>
        </w:rPr>
        <w:t>(</w:t>
      </w:r>
      <w:r>
        <w:rPr>
          <w:rFonts w:hint="eastAsia" w:ascii="Times New Roman" w:hAnsi="Times New Roman"/>
          <w:sz w:val="24"/>
          <w:szCs w:val="24"/>
        </w:rPr>
        <w:t>国发〔2024〕7号</w:t>
      </w:r>
      <w:r>
        <w:rPr>
          <w:rFonts w:hint="eastAsia" w:ascii="宋体" w:hAnsi="宋体" w:eastAsia="宋体" w:cs="宋体"/>
          <w:sz w:val="24"/>
          <w:szCs w:val="24"/>
        </w:rPr>
        <w:t>)</w:t>
      </w:r>
      <w:r>
        <w:rPr>
          <w:rFonts w:hint="eastAsia" w:ascii="Times New Roman" w:hAnsi="Times New Roman"/>
          <w:sz w:val="24"/>
          <w:szCs w:val="24"/>
        </w:rPr>
        <w:t>[Z].北京:中华人民共和国国务院, 2024.</w:t>
      </w:r>
    </w:p>
    <w:p w14:paraId="6D486301">
      <w:pPr>
        <w:numPr>
          <w:ilvl w:val="0"/>
          <w:numId w:val="1"/>
        </w:numPr>
        <w:spacing w:line="480" w:lineRule="exact"/>
        <w:rPr>
          <w:rFonts w:ascii="Times New Roman" w:hAnsi="Times New Roman"/>
          <w:sz w:val="24"/>
          <w:szCs w:val="24"/>
        </w:rPr>
      </w:pPr>
      <w:r>
        <w:rPr>
          <w:rFonts w:hint="eastAsia" w:ascii="Times New Roman" w:hAnsi="Times New Roman"/>
          <w:sz w:val="24"/>
          <w:szCs w:val="24"/>
        </w:rPr>
        <w:t>水利部.关于推进水库、水闸、蓄滞洪区运行管理数字孪生的指导意见</w:t>
      </w:r>
      <w:r>
        <w:rPr>
          <w:rFonts w:hint="eastAsia" w:ascii="宋体" w:hAnsi="宋体" w:eastAsia="宋体" w:cs="宋体"/>
          <w:sz w:val="24"/>
          <w:szCs w:val="24"/>
        </w:rPr>
        <w:t>(</w:t>
      </w:r>
      <w:r>
        <w:rPr>
          <w:rFonts w:hint="eastAsia" w:ascii="Times New Roman" w:hAnsi="Times New Roman"/>
          <w:sz w:val="24"/>
          <w:szCs w:val="24"/>
        </w:rPr>
        <w:t>水运管</w:t>
      </w:r>
      <w:r>
        <w:rPr>
          <w:rFonts w:hint="eastAsia" w:ascii="宋体" w:hAnsi="宋体" w:eastAsia="宋体" w:cs="宋体"/>
          <w:sz w:val="24"/>
          <w:szCs w:val="24"/>
        </w:rPr>
        <w:t>〔</w:t>
      </w:r>
      <w:r>
        <w:rPr>
          <w:rFonts w:hint="eastAsia" w:ascii="Times New Roman" w:hAnsi="Times New Roman"/>
          <w:sz w:val="24"/>
          <w:szCs w:val="24"/>
        </w:rPr>
        <w:t>2024</w:t>
      </w:r>
      <w:r>
        <w:rPr>
          <w:rFonts w:hint="eastAsia" w:ascii="宋体" w:hAnsi="宋体" w:eastAsia="宋体" w:cs="宋体"/>
          <w:sz w:val="24"/>
          <w:szCs w:val="24"/>
        </w:rPr>
        <w:t>〕</w:t>
      </w:r>
      <w:r>
        <w:rPr>
          <w:rFonts w:hint="eastAsia" w:ascii="Times New Roman" w:hAnsi="Times New Roman"/>
          <w:sz w:val="24"/>
          <w:szCs w:val="24"/>
        </w:rPr>
        <w:t>269号</w:t>
      </w:r>
      <w:r>
        <w:rPr>
          <w:rFonts w:hint="eastAsia" w:ascii="宋体" w:hAnsi="宋体" w:eastAsia="宋体" w:cs="宋体"/>
          <w:sz w:val="24"/>
          <w:szCs w:val="24"/>
        </w:rPr>
        <w:t>)</w:t>
      </w:r>
      <w:r>
        <w:rPr>
          <w:rFonts w:hint="eastAsia" w:ascii="Times New Roman" w:hAnsi="Times New Roman"/>
          <w:sz w:val="24"/>
          <w:szCs w:val="24"/>
        </w:rPr>
        <w:t>[Z].北京:中华人民共和国水利部, 2024.</w:t>
      </w:r>
    </w:p>
    <w:p w14:paraId="0D0B121B">
      <w:pPr>
        <w:numPr>
          <w:ilvl w:val="0"/>
          <w:numId w:val="1"/>
        </w:numPr>
        <w:spacing w:line="480" w:lineRule="exact"/>
        <w:rPr>
          <w:rFonts w:ascii="Times New Roman" w:hAnsi="Times New Roman"/>
          <w:sz w:val="24"/>
          <w:szCs w:val="24"/>
        </w:rPr>
      </w:pPr>
      <w:r>
        <w:rPr>
          <w:rFonts w:hint="eastAsia" w:ascii="Times New Roman" w:hAnsi="Times New Roman"/>
          <w:sz w:val="24"/>
          <w:szCs w:val="24"/>
        </w:rPr>
        <w:t>国家数据局.“数据要素×”三年行动计划</w:t>
      </w:r>
      <w:r>
        <w:rPr>
          <w:rFonts w:hint="eastAsia" w:ascii="宋体" w:hAnsi="宋体" w:eastAsia="宋体" w:cs="宋体"/>
          <w:sz w:val="24"/>
          <w:szCs w:val="24"/>
        </w:rPr>
        <w:t>（</w:t>
      </w:r>
      <w:r>
        <w:rPr>
          <w:rFonts w:hint="eastAsia" w:ascii="Times New Roman" w:hAnsi="Times New Roman"/>
          <w:sz w:val="24"/>
          <w:szCs w:val="24"/>
        </w:rPr>
        <w:t>2024—2026年</w:t>
      </w:r>
      <w:r>
        <w:rPr>
          <w:rFonts w:hint="eastAsia" w:ascii="宋体" w:hAnsi="宋体" w:eastAsia="宋体" w:cs="宋体"/>
          <w:sz w:val="24"/>
          <w:szCs w:val="24"/>
        </w:rPr>
        <w:t>）(</w:t>
      </w:r>
      <w:r>
        <w:rPr>
          <w:rFonts w:hint="eastAsia" w:ascii="Times New Roman" w:hAnsi="Times New Roman"/>
          <w:sz w:val="24"/>
          <w:szCs w:val="24"/>
        </w:rPr>
        <w:t>国数政策</w:t>
      </w:r>
      <w:r>
        <w:rPr>
          <w:rFonts w:hint="eastAsia" w:ascii="宋体" w:hAnsi="宋体" w:eastAsia="宋体" w:cs="宋体"/>
          <w:sz w:val="24"/>
          <w:szCs w:val="24"/>
        </w:rPr>
        <w:t>〔</w:t>
      </w:r>
      <w:r>
        <w:rPr>
          <w:rFonts w:hint="eastAsia" w:ascii="Times New Roman" w:hAnsi="Times New Roman"/>
          <w:b w:val="0"/>
          <w:bCs w:val="0"/>
          <w:sz w:val="24"/>
          <w:szCs w:val="24"/>
        </w:rPr>
        <w:t>2023</w:t>
      </w:r>
      <w:r>
        <w:rPr>
          <w:rFonts w:hint="eastAsia" w:ascii="Times New Roman" w:hAnsi="Times New Roman"/>
          <w:sz w:val="24"/>
          <w:szCs w:val="24"/>
        </w:rPr>
        <w:t>〕11号</w:t>
      </w:r>
      <w:r>
        <w:rPr>
          <w:rFonts w:hint="eastAsia" w:ascii="宋体" w:hAnsi="宋体" w:eastAsia="宋体" w:cs="宋体"/>
          <w:sz w:val="24"/>
          <w:szCs w:val="24"/>
        </w:rPr>
        <w:t>)</w:t>
      </w:r>
      <w:r>
        <w:rPr>
          <w:rFonts w:hint="eastAsia" w:ascii="Times New Roman" w:hAnsi="Times New Roman"/>
          <w:sz w:val="24"/>
          <w:szCs w:val="24"/>
        </w:rPr>
        <w:t xml:space="preserve"> [Z].北京:国家数据局, 2024.</w:t>
      </w:r>
    </w:p>
    <w:p w14:paraId="29955116">
      <w:pPr>
        <w:numPr>
          <w:ilvl w:val="0"/>
          <w:numId w:val="1"/>
        </w:numPr>
        <w:spacing w:line="480" w:lineRule="exact"/>
        <w:rPr>
          <w:rFonts w:ascii="Times New Roman" w:hAnsi="Times New Roman"/>
          <w:sz w:val="24"/>
          <w:szCs w:val="24"/>
        </w:rPr>
      </w:pPr>
      <w:r>
        <w:rPr>
          <w:rFonts w:hint="eastAsia" w:ascii="Times New Roman" w:hAnsi="Times New Roman"/>
          <w:sz w:val="24"/>
          <w:szCs w:val="24"/>
        </w:rPr>
        <w:t>中共中央,国务院.数字中国建设整体布局规划[Z].北京:人民出版社, 2023.</w:t>
      </w:r>
    </w:p>
    <w:p w14:paraId="7CC24948">
      <w:pPr>
        <w:numPr>
          <w:ilvl w:val="0"/>
          <w:numId w:val="1"/>
        </w:numPr>
        <w:spacing w:line="480" w:lineRule="exact"/>
        <w:rPr>
          <w:rFonts w:ascii="Times New Roman" w:hAnsi="Times New Roman"/>
        </w:rPr>
      </w:pPr>
      <w:r>
        <w:rPr>
          <w:rFonts w:hint="eastAsia" w:ascii="Times New Roman" w:hAnsi="Times New Roman"/>
          <w:bCs/>
          <w:sz w:val="24"/>
        </w:rPr>
        <w:t>Zhou G, Guo H, Zhang Y. Digital Twin-Based Pump Station Dynamic Scheduling for Energy-Saving Optimization in Water Supply System [J]. Water Resources Management, 2024, 38(8): 1-17.</w:t>
      </w:r>
    </w:p>
    <w:p w14:paraId="5CA777C6">
      <w:pPr>
        <w:numPr>
          <w:ilvl w:val="0"/>
          <w:numId w:val="1"/>
        </w:numPr>
        <w:spacing w:line="480" w:lineRule="exact"/>
        <w:rPr>
          <w:rFonts w:ascii="Times New Roman" w:hAnsi="Times New Roman"/>
        </w:rPr>
      </w:pPr>
      <w:r>
        <w:rPr>
          <w:rFonts w:hint="eastAsia" w:ascii="Times New Roman" w:hAnsi="Times New Roman"/>
        </w:rPr>
        <w:t>Jin M, Wang S, Ma L, et al. Time-LLM: Time Series Forecasting by Reprogramming Large Language Models [C]//International Conference on Learning Representations (ICLR). 2024.</w:t>
      </w:r>
    </w:p>
    <w:p w14:paraId="38F78477">
      <w:pPr>
        <w:numPr>
          <w:ilvl w:val="0"/>
          <w:numId w:val="1"/>
        </w:numPr>
        <w:spacing w:line="480" w:lineRule="exact"/>
        <w:rPr>
          <w:rFonts w:ascii="Times New Roman" w:hAnsi="Times New Roman"/>
        </w:rPr>
      </w:pPr>
      <w:r>
        <w:rPr>
          <w:rFonts w:hint="eastAsia" w:ascii="Times New Roman" w:hAnsi="Times New Roman"/>
        </w:rPr>
        <w:t>Jing B, Zhou D, Ren K, et al. Causality-Aware Spatiotemporal Graph Neural Networks for Spatiotemporal Time Series Imputation [C]//Proceedings of the 33rd ACM International Conference on Information and Knowledge Management (CIKM). 2024: 1-10.</w:t>
      </w:r>
    </w:p>
    <w:p w14:paraId="0DC05855">
      <w:pPr>
        <w:numPr>
          <w:ilvl w:val="0"/>
          <w:numId w:val="1"/>
        </w:numPr>
        <w:spacing w:line="480" w:lineRule="exact"/>
        <w:rPr>
          <w:rFonts w:ascii="Times New Roman" w:hAnsi="Times New Roman"/>
        </w:rPr>
      </w:pPr>
      <w:r>
        <w:rPr>
          <w:rFonts w:hint="eastAsia" w:ascii="Times New Roman" w:hAnsi="Times New Roman"/>
        </w:rPr>
        <w:t>Zaman W, Ahmad Z, Kim J M. Fault Diagnosis in Centrifugal Pumps: A Dual-Scalogram Approach with Convolution Autoencoder and Artificial Neural Network [J]. Sensors, 2024, 24(3): 851.</w:t>
      </w:r>
    </w:p>
    <w:p w14:paraId="43C0CE05">
      <w:pPr>
        <w:numPr>
          <w:ilvl w:val="0"/>
          <w:numId w:val="1"/>
        </w:numPr>
        <w:spacing w:line="480" w:lineRule="exact"/>
        <w:rPr>
          <w:rFonts w:ascii="Times New Roman" w:hAnsi="Times New Roman"/>
        </w:rPr>
      </w:pPr>
      <w:r>
        <w:rPr>
          <w:rFonts w:hint="eastAsia" w:ascii="Times New Roman" w:hAnsi="Times New Roman"/>
        </w:rPr>
        <w:t>Gao Y, Xiong Y, Gao X, et al. Retrieval-Augmented Generation for Large Language Models: A Survey [J]. arXiv preprint arXiv:2312.10997, 2024.</w:t>
      </w:r>
    </w:p>
    <w:p w14:paraId="7B7869B1">
      <w:pPr>
        <w:numPr>
          <w:ilvl w:val="0"/>
          <w:numId w:val="1"/>
        </w:numPr>
        <w:spacing w:line="480" w:lineRule="exact"/>
        <w:rPr>
          <w:rFonts w:hint="eastAsia" w:ascii="Times New Roman" w:hAnsi="Times New Roman"/>
        </w:rPr>
      </w:pPr>
      <w:r>
        <w:rPr>
          <w:rFonts w:hint="eastAsia" w:ascii="Times New Roman" w:hAnsi="Times New Roman"/>
        </w:rPr>
        <w:t>Liang G, Tiwari P, Nowaczyk S, et al. Higher-order Spatio-temporal Physics-incorporated Graph Neural Network for Multivariate Time Series Imputation [C]//Proceedings of CIKM. 2024.</w:t>
      </w:r>
    </w:p>
    <w:sectPr>
      <w:headerReference r:id="rId3" w:type="default"/>
      <w:pgSz w:w="11906" w:h="16838"/>
      <w:pgMar w:top="1417" w:right="1134" w:bottom="1417" w:left="1134"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0000000000000000000"/>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5DB49">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57F2F"/>
    <w:multiLevelType w:val="multilevel"/>
    <w:tmpl w:val="12F57F2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05F"/>
    <w:rsid w:val="00010CC3"/>
    <w:rsid w:val="000138B0"/>
    <w:rsid w:val="00025E2D"/>
    <w:rsid w:val="00036EAD"/>
    <w:rsid w:val="000415C8"/>
    <w:rsid w:val="000443E1"/>
    <w:rsid w:val="00051881"/>
    <w:rsid w:val="00054E2F"/>
    <w:rsid w:val="000A52E4"/>
    <w:rsid w:val="000B6F01"/>
    <w:rsid w:val="000F3146"/>
    <w:rsid w:val="00137055"/>
    <w:rsid w:val="001422D5"/>
    <w:rsid w:val="0019305F"/>
    <w:rsid w:val="001C6213"/>
    <w:rsid w:val="001C6B66"/>
    <w:rsid w:val="002030BC"/>
    <w:rsid w:val="0026275D"/>
    <w:rsid w:val="0026596D"/>
    <w:rsid w:val="002D7DB7"/>
    <w:rsid w:val="002E1BAA"/>
    <w:rsid w:val="002F0F8C"/>
    <w:rsid w:val="002F2D9B"/>
    <w:rsid w:val="003003F2"/>
    <w:rsid w:val="00344650"/>
    <w:rsid w:val="003502D6"/>
    <w:rsid w:val="003830EA"/>
    <w:rsid w:val="003B745E"/>
    <w:rsid w:val="003E31EC"/>
    <w:rsid w:val="003F4E37"/>
    <w:rsid w:val="00430B37"/>
    <w:rsid w:val="004409D4"/>
    <w:rsid w:val="00474606"/>
    <w:rsid w:val="004A355B"/>
    <w:rsid w:val="004A6E2E"/>
    <w:rsid w:val="004D280F"/>
    <w:rsid w:val="004F0830"/>
    <w:rsid w:val="00503304"/>
    <w:rsid w:val="00503598"/>
    <w:rsid w:val="00526747"/>
    <w:rsid w:val="00564517"/>
    <w:rsid w:val="0056790E"/>
    <w:rsid w:val="00570B62"/>
    <w:rsid w:val="00580103"/>
    <w:rsid w:val="006B1E92"/>
    <w:rsid w:val="00710D9A"/>
    <w:rsid w:val="00724552"/>
    <w:rsid w:val="007C7C47"/>
    <w:rsid w:val="007D5642"/>
    <w:rsid w:val="008456CE"/>
    <w:rsid w:val="008A0EA8"/>
    <w:rsid w:val="008E4A2F"/>
    <w:rsid w:val="009040BD"/>
    <w:rsid w:val="00985FFE"/>
    <w:rsid w:val="009D4148"/>
    <w:rsid w:val="00A12809"/>
    <w:rsid w:val="00A30D55"/>
    <w:rsid w:val="00A50060"/>
    <w:rsid w:val="00A707B4"/>
    <w:rsid w:val="00A97492"/>
    <w:rsid w:val="00AA320A"/>
    <w:rsid w:val="00AA4DAA"/>
    <w:rsid w:val="00AB77B2"/>
    <w:rsid w:val="00AD316B"/>
    <w:rsid w:val="00B06B83"/>
    <w:rsid w:val="00B37365"/>
    <w:rsid w:val="00B51FC6"/>
    <w:rsid w:val="00B77F94"/>
    <w:rsid w:val="00B77FB8"/>
    <w:rsid w:val="00B85C4D"/>
    <w:rsid w:val="00BC6A48"/>
    <w:rsid w:val="00C12F12"/>
    <w:rsid w:val="00C91FC5"/>
    <w:rsid w:val="00CC4CF9"/>
    <w:rsid w:val="00D547B1"/>
    <w:rsid w:val="00D859FD"/>
    <w:rsid w:val="00DA00EF"/>
    <w:rsid w:val="00DA4962"/>
    <w:rsid w:val="00E17640"/>
    <w:rsid w:val="00E31476"/>
    <w:rsid w:val="00E80171"/>
    <w:rsid w:val="00EC063A"/>
    <w:rsid w:val="00EE69DF"/>
    <w:rsid w:val="00F048A2"/>
    <w:rsid w:val="00F266C7"/>
    <w:rsid w:val="00F427DB"/>
    <w:rsid w:val="00F43C6C"/>
    <w:rsid w:val="00F63061"/>
    <w:rsid w:val="00F7770B"/>
    <w:rsid w:val="00F9705B"/>
    <w:rsid w:val="00FC070C"/>
    <w:rsid w:val="00FE6C09"/>
    <w:rsid w:val="00FF7A27"/>
    <w:rsid w:val="01986481"/>
    <w:rsid w:val="01E622AB"/>
    <w:rsid w:val="03BE614D"/>
    <w:rsid w:val="04E83035"/>
    <w:rsid w:val="06823015"/>
    <w:rsid w:val="070003B8"/>
    <w:rsid w:val="07051E5C"/>
    <w:rsid w:val="07252831"/>
    <w:rsid w:val="07590886"/>
    <w:rsid w:val="0822060B"/>
    <w:rsid w:val="083802FE"/>
    <w:rsid w:val="08580887"/>
    <w:rsid w:val="0865499C"/>
    <w:rsid w:val="092E626A"/>
    <w:rsid w:val="09976DD7"/>
    <w:rsid w:val="0A9B28F7"/>
    <w:rsid w:val="0A9D14CD"/>
    <w:rsid w:val="0AB56DEA"/>
    <w:rsid w:val="0B857789"/>
    <w:rsid w:val="0BF202F5"/>
    <w:rsid w:val="0C126BE9"/>
    <w:rsid w:val="0C300E1D"/>
    <w:rsid w:val="0C415E2F"/>
    <w:rsid w:val="0C6E6D48"/>
    <w:rsid w:val="0D49663A"/>
    <w:rsid w:val="0DE66D07"/>
    <w:rsid w:val="0E7C1770"/>
    <w:rsid w:val="0ECA5559"/>
    <w:rsid w:val="0EFF5511"/>
    <w:rsid w:val="10AA3E49"/>
    <w:rsid w:val="111D7BC2"/>
    <w:rsid w:val="1235718D"/>
    <w:rsid w:val="12E876A0"/>
    <w:rsid w:val="12EA7F78"/>
    <w:rsid w:val="1376180B"/>
    <w:rsid w:val="13A06D9B"/>
    <w:rsid w:val="14147A2B"/>
    <w:rsid w:val="147246C9"/>
    <w:rsid w:val="149038C9"/>
    <w:rsid w:val="14A66E04"/>
    <w:rsid w:val="189A2440"/>
    <w:rsid w:val="1A28414D"/>
    <w:rsid w:val="1B327A50"/>
    <w:rsid w:val="1B5F5A88"/>
    <w:rsid w:val="1B632FBD"/>
    <w:rsid w:val="1BCD0CAE"/>
    <w:rsid w:val="1BF82D36"/>
    <w:rsid w:val="1C965384"/>
    <w:rsid w:val="1CAC2742"/>
    <w:rsid w:val="1E861550"/>
    <w:rsid w:val="201F4179"/>
    <w:rsid w:val="22426FD3"/>
    <w:rsid w:val="22FD57EE"/>
    <w:rsid w:val="232E7976"/>
    <w:rsid w:val="244513B4"/>
    <w:rsid w:val="25754019"/>
    <w:rsid w:val="25AE0DB5"/>
    <w:rsid w:val="2605353A"/>
    <w:rsid w:val="26541209"/>
    <w:rsid w:val="28B44E58"/>
    <w:rsid w:val="29455AB0"/>
    <w:rsid w:val="2A133E00"/>
    <w:rsid w:val="2A9767DF"/>
    <w:rsid w:val="2B0E63FE"/>
    <w:rsid w:val="2B960048"/>
    <w:rsid w:val="2C212149"/>
    <w:rsid w:val="2C4A3056"/>
    <w:rsid w:val="2C8B5ED0"/>
    <w:rsid w:val="2D452523"/>
    <w:rsid w:val="2DED3B70"/>
    <w:rsid w:val="2FAF126E"/>
    <w:rsid w:val="2FF43D8C"/>
    <w:rsid w:val="2FF75196"/>
    <w:rsid w:val="30FC77ED"/>
    <w:rsid w:val="31CE34E0"/>
    <w:rsid w:val="33A8380B"/>
    <w:rsid w:val="3426571B"/>
    <w:rsid w:val="353A69FB"/>
    <w:rsid w:val="367A3449"/>
    <w:rsid w:val="36A609A6"/>
    <w:rsid w:val="36B41685"/>
    <w:rsid w:val="36D84407"/>
    <w:rsid w:val="36EE5663"/>
    <w:rsid w:val="37C85935"/>
    <w:rsid w:val="38164AAC"/>
    <w:rsid w:val="385333F8"/>
    <w:rsid w:val="385C2E16"/>
    <w:rsid w:val="3A313E23"/>
    <w:rsid w:val="3C137FF3"/>
    <w:rsid w:val="3C437CCB"/>
    <w:rsid w:val="3D1141CF"/>
    <w:rsid w:val="3E690C1D"/>
    <w:rsid w:val="408A0172"/>
    <w:rsid w:val="40FC40F2"/>
    <w:rsid w:val="429A6A15"/>
    <w:rsid w:val="429F18D2"/>
    <w:rsid w:val="42C910A8"/>
    <w:rsid w:val="445D7CFA"/>
    <w:rsid w:val="449561F9"/>
    <w:rsid w:val="45672879"/>
    <w:rsid w:val="45EA5542"/>
    <w:rsid w:val="471A1ED2"/>
    <w:rsid w:val="471E5E67"/>
    <w:rsid w:val="477261B2"/>
    <w:rsid w:val="47833F1C"/>
    <w:rsid w:val="49261002"/>
    <w:rsid w:val="4A9B77CE"/>
    <w:rsid w:val="4AB1082C"/>
    <w:rsid w:val="4B842849"/>
    <w:rsid w:val="4CAA6A9E"/>
    <w:rsid w:val="4CE37624"/>
    <w:rsid w:val="4DA218C8"/>
    <w:rsid w:val="4FC6709B"/>
    <w:rsid w:val="51EC1E30"/>
    <w:rsid w:val="524D0715"/>
    <w:rsid w:val="5273095F"/>
    <w:rsid w:val="5325057D"/>
    <w:rsid w:val="538E6122"/>
    <w:rsid w:val="53DB40A9"/>
    <w:rsid w:val="545540BA"/>
    <w:rsid w:val="56327239"/>
    <w:rsid w:val="56E66E44"/>
    <w:rsid w:val="571B53DB"/>
    <w:rsid w:val="58E12895"/>
    <w:rsid w:val="59201FD4"/>
    <w:rsid w:val="59975605"/>
    <w:rsid w:val="59B650D5"/>
    <w:rsid w:val="59F02E1D"/>
    <w:rsid w:val="5A776E93"/>
    <w:rsid w:val="5A9715A7"/>
    <w:rsid w:val="5BEA75B7"/>
    <w:rsid w:val="5C10379E"/>
    <w:rsid w:val="5C742F9D"/>
    <w:rsid w:val="5D903B34"/>
    <w:rsid w:val="5F553F98"/>
    <w:rsid w:val="62FF65CB"/>
    <w:rsid w:val="63104E4E"/>
    <w:rsid w:val="63343EC4"/>
    <w:rsid w:val="64021F6A"/>
    <w:rsid w:val="64C03C61"/>
    <w:rsid w:val="65A65DFB"/>
    <w:rsid w:val="67191D4F"/>
    <w:rsid w:val="680F6ECB"/>
    <w:rsid w:val="69437070"/>
    <w:rsid w:val="6A0F2A90"/>
    <w:rsid w:val="6ACC0DB3"/>
    <w:rsid w:val="6AE76A24"/>
    <w:rsid w:val="6C2E1DF8"/>
    <w:rsid w:val="6C8655BE"/>
    <w:rsid w:val="6D0D1A0E"/>
    <w:rsid w:val="6DF64B98"/>
    <w:rsid w:val="6E530FAB"/>
    <w:rsid w:val="6F7E5384"/>
    <w:rsid w:val="6F96218E"/>
    <w:rsid w:val="70C40A27"/>
    <w:rsid w:val="70F55465"/>
    <w:rsid w:val="719C15B2"/>
    <w:rsid w:val="71A32941"/>
    <w:rsid w:val="72295D41"/>
    <w:rsid w:val="72E17BC5"/>
    <w:rsid w:val="73474C3F"/>
    <w:rsid w:val="73626DD7"/>
    <w:rsid w:val="75585F01"/>
    <w:rsid w:val="757F5E76"/>
    <w:rsid w:val="76775D4E"/>
    <w:rsid w:val="76D90BB3"/>
    <w:rsid w:val="77114A0B"/>
    <w:rsid w:val="773D3837"/>
    <w:rsid w:val="775F555C"/>
    <w:rsid w:val="77A02E51"/>
    <w:rsid w:val="78011EF1"/>
    <w:rsid w:val="78970D25"/>
    <w:rsid w:val="78D83818"/>
    <w:rsid w:val="797C2E06"/>
    <w:rsid w:val="79865022"/>
    <w:rsid w:val="7BBB4D2B"/>
    <w:rsid w:val="7BF30969"/>
    <w:rsid w:val="7C030BAC"/>
    <w:rsid w:val="7C460A98"/>
    <w:rsid w:val="7C9D7170"/>
    <w:rsid w:val="7FE20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4"/>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Balloon Text"/>
    <w:basedOn w:val="1"/>
    <w:link w:val="15"/>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character" w:customStyle="1" w:styleId="14">
    <w:name w:val="标题 1 字符"/>
    <w:link w:val="2"/>
    <w:qFormat/>
    <w:uiPriority w:val="9"/>
    <w:rPr>
      <w:rFonts w:ascii="宋体" w:hAnsi="宋体" w:cs="宋体"/>
      <w:b/>
      <w:bCs/>
      <w:kern w:val="36"/>
      <w:sz w:val="48"/>
      <w:szCs w:val="48"/>
    </w:rPr>
  </w:style>
  <w:style w:type="character" w:customStyle="1" w:styleId="15">
    <w:name w:val="批注框文本 字符"/>
    <w:link w:val="5"/>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1623</Words>
  <Characters>1868</Characters>
  <Lines>10</Lines>
  <Paragraphs>2</Paragraphs>
  <TotalTime>0</TotalTime>
  <ScaleCrop>false</ScaleCrop>
  <LinksUpToDate>false</LinksUpToDate>
  <CharactersWithSpaces>1906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2021-03-15T03:39:00Z</dcterms:created>
  <dcterms:modified xsi:type="dcterms:W3CDTF">2026-01-18T10:41:39Z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0AE2E89118924382B765BD2E2DFE2779_13</vt:lpwstr>
  </property>
  <property fmtid="{D5CDD505-2E9C-101B-9397-08002B2CF9AE}" pid="4" name="KSOTemplateDocerSaveRecord">
    <vt:lpwstr>eyJoZGlkIjoiMWY5YWM4NTkyNmNiY2U2MmRkMzI0ZmJlZTY0NWRkNTIiLCJ1c2VySWQiOiIzNjc3NzI5NDgifQ==</vt:lpwstr>
  </property>
</Properties>
</file>