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知识产权</w:t>
      </w:r>
    </w:p>
    <w:p>
      <w:pPr>
        <w:pStyle w:val="2"/>
      </w:pPr>
      <w:r>
        <w:drawing>
          <wp:inline distT="0" distB="0" distL="114300" distR="114300">
            <wp:extent cx="5270500" cy="3508375"/>
            <wp:effectExtent l="0" t="0" r="2540" b="12065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知识产权人（核心）</w:t>
      </w:r>
    </w:p>
    <w:p>
      <w:r>
        <w:drawing>
          <wp:inline distT="0" distB="0" distL="114300" distR="114300">
            <wp:extent cx="5271135" cy="3330575"/>
            <wp:effectExtent l="0" t="0" r="1905" b="6985"/>
            <wp:docPr id="1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169160"/>
            <wp:effectExtent l="0" t="0" r="3810" b="10160"/>
            <wp:docPr id="1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10"/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>未侵权判定（核心）</w:t>
      </w:r>
    </w:p>
    <w:p>
      <w:r>
        <w:drawing>
          <wp:inline distT="0" distB="0" distL="114300" distR="114300">
            <wp:extent cx="4625975" cy="3213735"/>
            <wp:effectExtent l="0" t="0" r="698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321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侵权判定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323465"/>
            <wp:effectExtent l="0" t="0" r="1905" b="8255"/>
            <wp:docPr id="1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著作权：（版权）是指作者创文学 艺术 科学作品而在法律规定的有效期内依法享有的一种专有权利。</w:t>
      </w:r>
      <w:r>
        <w:rPr>
          <w:rFonts w:hint="eastAsia"/>
          <w:color w:val="0000FF"/>
          <w:lang w:val="en-US" w:eastAsia="zh-CN"/>
        </w:rPr>
        <w:t>著作权不论是否发表，都享有著作权。</w:t>
      </w:r>
    </w:p>
    <w:p>
      <w:pPr>
        <w:rPr>
          <w:rFonts w:hint="eastAsia" w:eastAsiaTheme="minorEastAsia"/>
          <w:color w:val="0000FF"/>
          <w:lang w:val="en-US" w:eastAsia="zh-CN"/>
        </w:rPr>
      </w:pPr>
      <w:r>
        <w:rPr>
          <w:rFonts w:hint="eastAsia"/>
        </w:rPr>
        <w:t>主管机关为国家版权局和地方著作权行政管理部门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出版权：是指出版者对齐依法出版的图书和报刊享有的权利，权利主体包括图书出版者，报刊出版者。出版权是著作权的一种。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署名权：在作品上署名，署名权是著作权的一种。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发行权：是指著作人以出售或赠与的方式向公众提供原件或复印件的权利，发行权是著作权的一种。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软件著作权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软件著作权人可以允许他人行使软件著作权，并有权享有报酬。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软件著作权人可以全部或部分转让软件著作权，并有权享有报酬。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软件著作权属于自然人的，该自然人死亡后，在软件著作权保护器内，软件著作权的继承人可以继承软件著作权除署名权的其它所有权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为了学习和研究软件内涵设计思想和原理，通过安装 显示 传输 存储等方式使用软件的，可以不经过软件著作权人的许可，不支付报酬。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商标权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商标权实行注册制，只有向国家提出注册申请，审核注册后，才能拥有商标权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专利权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专利权也是注册制，专利人向国家专利局提出申请，专利局依据法律程序审查，符合规定的授予专利权。发布授权公告后享有专利权。</w:t>
      </w:r>
      <w:r>
        <w:rPr>
          <w:rFonts w:hint="eastAsia"/>
          <w:color w:val="0000FF"/>
          <w:lang w:val="en-US" w:eastAsia="zh-CN"/>
        </w:rPr>
        <w:t>专利权最先申请人优先，以申请日期为判定。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若甲公司先发明，但乙公司后发明先申请专利，则乙公司获得专利权。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主管机关为侵权行为地的县级以上工商行政管理部门。</w:t>
      </w:r>
    </w:p>
    <w:p>
      <w:pPr>
        <w:pStyle w:val="6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标准代号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GB--中国国家强制性标准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GB/T---中国推荐国家标准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GJB---中国国家军用标准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JB---中国机械行业强制性行业标准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JB/T---中国机械行业推荐性行业标准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ISO---国际标准化组织标准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IEC---国际电工委员会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ANSI---美国国家标准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NAS---美国国家航空航天标准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FE583"/>
    <w:multiLevelType w:val="singleLevel"/>
    <w:tmpl w:val="095FE58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AC366D"/>
    <w:rsid w:val="30F1415A"/>
    <w:rsid w:val="3CB222C4"/>
    <w:rsid w:val="3DBB767F"/>
    <w:rsid w:val="7DA8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6">
    <w:name w:val="heading 7"/>
    <w:basedOn w:val="1"/>
    <w:next w:val="1"/>
    <w:link w:val="10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0">
    <w:name w:val="标题 7 Char"/>
    <w:link w:val="6"/>
    <w:qFormat/>
    <w:uiPriority w:val="0"/>
    <w:rPr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张伟</cp:lastModifiedBy>
  <dcterms:modified xsi:type="dcterms:W3CDTF">2019-08-09T11:16:21Z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