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00" w:lineRule="auto"/>
        <w:jc w:val="center"/>
      </w:pPr>
      <w:r>
        <w:rPr>
          <w:rFonts w:ascii="Calibri" w:hAnsi="Calibri" w:eastAsia="黑体"/>
          <w:b/>
          <w:sz w:val="48"/>
        </w:rPr>
        <w:t>项目申报书</w:t>
      </w:r>
    </w:p>
    <w:p>
      <w:pPr>
        <w:spacing w:before="0" w:after="120" w:line="300" w:lineRule="auto"/>
        <w:jc w:val="center"/>
      </w:pPr>
      <w:r>
        <w:rPr>
          <w:rFonts w:ascii="Calibri" w:hAnsi="Calibri" w:eastAsia="黑体"/>
          <w:b/>
          <w:color w:val="000000"/>
          <w:sz w:val="44"/>
        </w:rPr>
        <w:t>海上风电系统远程监测与风险评估技术</w:t>
      </w:r>
    </w:p>
    <w:p>
      <w:pPr>
        <w:spacing w:before="0" w:after="160" w:line="300" w:lineRule="auto"/>
        <w:jc w:val="center"/>
      </w:pPr>
      <w:r>
        <w:rPr>
          <w:rFonts w:ascii="Calibri" w:hAnsi="Calibri" w:eastAsia="宋体"/>
          <w:color w:val="5A5A5A"/>
          <w:sz w:val="26"/>
        </w:rPr>
        <w:t>面向深远海风电安全运行的智能监测、故障诊断与风险决策平台</w:t>
      </w:r>
    </w:p>
    <w:p>
      <w:pPr>
        <w:spacing w:before="0" w:after="480" w:line="300" w:lineRule="auto"/>
        <w:jc w:val="center"/>
      </w:pPr>
      <w:r>
        <w:rPr>
          <w:rFonts w:ascii="Calibri" w:hAnsi="Calibri" w:eastAsia="宋体"/>
          <w:color w:val="5A5A5A"/>
          <w:sz w:val="25"/>
        </w:rPr>
        <w:t>申报方向：F0102 信息系统与系统安全</w:t>
      </w:r>
    </w:p>
    <w:tbl>
      <w:tblPr>
        <w:tblStyle w:val="TableGrid"/>
        <w:tblW w:type="auto" w:w="0"/>
        <w:jc w:val="center"/>
        <w:tblLook w:firstColumn="1" w:firstRow="1" w:lastColumn="0" w:lastRow="0" w:noHBand="0" w:noVBand="1" w:val="04A0"/>
      </w:tblPr>
      <w:tblGrid>
        <w:gridCol w:w="4680"/>
        <w:gridCol w:w="4680"/>
      </w:tblGrid>
      <w:tr>
        <w:tc>
          <w:tcPr>
            <w:tcW w:type="dxa" w:w="2304"/>
            <w:vAlign w:val="center"/>
          </w:tcPr>
          <w:p>
            <w:pPr>
              <w:spacing w:before="0" w:after="0" w:line="276" w:lineRule="auto"/>
              <w:jc w:val="left"/>
            </w:pPr>
            <w:r/>
            <w:r>
              <w:rPr>
                <w:rFonts w:ascii="Calibri" w:hAnsi="Calibri" w:eastAsia="宋体"/>
                <w:b/>
                <w:sz w:val="21"/>
              </w:rPr>
              <w:t>申报单位</w:t>
            </w:r>
          </w:p>
        </w:tc>
        <w:tc>
          <w:tcPr>
            <w:tcW w:type="dxa" w:w="7056"/>
            <w:vAlign w:val="center"/>
          </w:tcPr>
          <w:p>
            <w:pPr>
              <w:spacing w:before="0" w:after="0" w:line="276" w:lineRule="auto"/>
              <w:jc w:val="left"/>
            </w:pPr>
            <w:r/>
            <w:r>
              <w:rPr>
                <w:rFonts w:ascii="Calibri" w:hAnsi="Calibri" w:eastAsia="宋体"/>
                <w:b w:val="0"/>
                <w:sz w:val="21"/>
              </w:rPr>
              <w:t>[填写申报单位名称]</w:t>
            </w:r>
          </w:p>
        </w:tc>
      </w:tr>
      <w:tr>
        <w:tc>
          <w:tcPr>
            <w:tcW w:type="dxa" w:w="2304"/>
            <w:vAlign w:val="center"/>
          </w:tcPr>
          <w:p>
            <w:pPr>
              <w:spacing w:before="0" w:after="0" w:line="276" w:lineRule="auto"/>
              <w:jc w:val="left"/>
            </w:pPr>
            <w:r/>
            <w:r>
              <w:rPr>
                <w:rFonts w:ascii="Calibri" w:hAnsi="Calibri" w:eastAsia="宋体"/>
                <w:b/>
                <w:sz w:val="21"/>
              </w:rPr>
              <w:t>项目负责人</w:t>
            </w:r>
          </w:p>
        </w:tc>
        <w:tc>
          <w:tcPr>
            <w:tcW w:type="dxa" w:w="7056"/>
            <w:vAlign w:val="center"/>
          </w:tcPr>
          <w:p>
            <w:pPr>
              <w:spacing w:before="0" w:after="0" w:line="276" w:lineRule="auto"/>
              <w:jc w:val="left"/>
            </w:pPr>
            <w:r/>
            <w:r>
              <w:rPr>
                <w:rFonts w:ascii="Calibri" w:hAnsi="Calibri" w:eastAsia="宋体"/>
                <w:b w:val="0"/>
                <w:sz w:val="21"/>
              </w:rPr>
              <w:t>[填写姓名、职称、联系方式]</w:t>
            </w:r>
          </w:p>
        </w:tc>
      </w:tr>
      <w:tr>
        <w:tc>
          <w:tcPr>
            <w:tcW w:type="dxa" w:w="2304"/>
            <w:vAlign w:val="center"/>
          </w:tcPr>
          <w:p>
            <w:pPr>
              <w:spacing w:before="0" w:after="0" w:line="276" w:lineRule="auto"/>
              <w:jc w:val="left"/>
            </w:pPr>
            <w:r/>
            <w:r>
              <w:rPr>
                <w:rFonts w:ascii="Calibri" w:hAnsi="Calibri" w:eastAsia="宋体"/>
                <w:b/>
                <w:sz w:val="21"/>
              </w:rPr>
              <w:t>联合单位</w:t>
            </w:r>
          </w:p>
        </w:tc>
        <w:tc>
          <w:tcPr>
            <w:tcW w:type="dxa" w:w="7056"/>
            <w:vAlign w:val="center"/>
          </w:tcPr>
          <w:p>
            <w:pPr>
              <w:spacing w:before="0" w:after="0" w:line="276" w:lineRule="auto"/>
              <w:jc w:val="left"/>
            </w:pPr>
            <w:r/>
            <w:r>
              <w:rPr>
                <w:rFonts w:ascii="Calibri" w:hAnsi="Calibri" w:eastAsia="宋体"/>
                <w:b w:val="0"/>
                <w:sz w:val="21"/>
              </w:rPr>
              <w:t>[如有，填写合作高校、企业或海上风电场单位]</w:t>
            </w:r>
          </w:p>
        </w:tc>
      </w:tr>
      <w:tr>
        <w:tc>
          <w:tcPr>
            <w:tcW w:type="dxa" w:w="2304"/>
            <w:vAlign w:val="center"/>
          </w:tcPr>
          <w:p>
            <w:pPr>
              <w:spacing w:before="0" w:after="0" w:line="276" w:lineRule="auto"/>
              <w:jc w:val="left"/>
            </w:pPr>
            <w:r/>
            <w:r>
              <w:rPr>
                <w:rFonts w:ascii="Calibri" w:hAnsi="Calibri" w:eastAsia="宋体"/>
                <w:b/>
                <w:sz w:val="21"/>
              </w:rPr>
              <w:t>项目周期</w:t>
            </w:r>
          </w:p>
        </w:tc>
        <w:tc>
          <w:tcPr>
            <w:tcW w:type="dxa" w:w="7056"/>
            <w:vAlign w:val="center"/>
          </w:tcPr>
          <w:p>
            <w:pPr>
              <w:spacing w:before="0" w:after="0" w:line="276" w:lineRule="auto"/>
              <w:jc w:val="left"/>
            </w:pPr>
            <w:r/>
            <w:r>
              <w:rPr>
                <w:rFonts w:ascii="Calibri" w:hAnsi="Calibri" w:eastAsia="宋体"/>
                <w:b w:val="0"/>
                <w:sz w:val="21"/>
              </w:rPr>
              <w:t>24个月（建议：2026年7月—2028年6月）</w:t>
            </w:r>
          </w:p>
        </w:tc>
      </w:tr>
      <w:tr>
        <w:tc>
          <w:tcPr>
            <w:tcW w:type="dxa" w:w="2304"/>
            <w:vAlign w:val="center"/>
          </w:tcPr>
          <w:p>
            <w:pPr>
              <w:spacing w:before="0" w:after="0" w:line="276" w:lineRule="auto"/>
              <w:jc w:val="left"/>
            </w:pPr>
            <w:r/>
            <w:r>
              <w:rPr>
                <w:rFonts w:ascii="Calibri" w:hAnsi="Calibri" w:eastAsia="宋体"/>
                <w:b/>
                <w:sz w:val="21"/>
              </w:rPr>
              <w:t>申请经费</w:t>
            </w:r>
          </w:p>
        </w:tc>
        <w:tc>
          <w:tcPr>
            <w:tcW w:type="dxa" w:w="7056"/>
            <w:vAlign w:val="center"/>
          </w:tcPr>
          <w:p>
            <w:pPr>
              <w:spacing w:before="0" w:after="0" w:line="276" w:lineRule="auto"/>
              <w:jc w:val="left"/>
            </w:pPr>
            <w:r/>
            <w:r>
              <w:rPr>
                <w:rFonts w:ascii="Calibri" w:hAnsi="Calibri" w:eastAsia="宋体"/>
                <w:b w:val="0"/>
                <w:sz w:val="21"/>
              </w:rPr>
              <w:t>150万元以内</w:t>
            </w:r>
          </w:p>
        </w:tc>
      </w:tr>
      <w:tr>
        <w:tc>
          <w:tcPr>
            <w:tcW w:type="dxa" w:w="2304"/>
            <w:vAlign w:val="center"/>
          </w:tcPr>
          <w:p>
            <w:pPr>
              <w:spacing w:before="0" w:after="0" w:line="276" w:lineRule="auto"/>
              <w:jc w:val="left"/>
            </w:pPr>
            <w:r/>
            <w:r>
              <w:rPr>
                <w:rFonts w:ascii="Calibri" w:hAnsi="Calibri" w:eastAsia="宋体"/>
                <w:b/>
                <w:sz w:val="21"/>
              </w:rPr>
              <w:t>文档版本</w:t>
            </w:r>
          </w:p>
        </w:tc>
        <w:tc>
          <w:tcPr>
            <w:tcW w:type="dxa" w:w="7056"/>
            <w:vAlign w:val="center"/>
          </w:tcPr>
          <w:p>
            <w:pPr>
              <w:spacing w:before="0" w:after="0" w:line="276" w:lineRule="auto"/>
              <w:jc w:val="left"/>
            </w:pPr>
            <w:r/>
            <w:r>
              <w:rPr>
                <w:rFonts w:ascii="Calibri" w:hAnsi="Calibri" w:eastAsia="宋体"/>
                <w:b w:val="0"/>
                <w:sz w:val="21"/>
              </w:rPr>
              <w:t>结构优化稿</w:t>
            </w:r>
          </w:p>
        </w:tc>
      </w:tr>
      <w:tr>
        <w:tc>
          <w:tcPr>
            <w:tcW w:type="dxa" w:w="2304"/>
            <w:vAlign w:val="center"/>
          </w:tcPr>
          <w:p>
            <w:pPr>
              <w:spacing w:before="0" w:after="0" w:line="276" w:lineRule="auto"/>
              <w:jc w:val="left"/>
            </w:pPr>
            <w:r/>
            <w:r>
              <w:rPr>
                <w:rFonts w:ascii="Calibri" w:hAnsi="Calibri" w:eastAsia="宋体"/>
                <w:b/>
                <w:sz w:val="21"/>
              </w:rPr>
              <w:t>形成日期</w:t>
            </w:r>
          </w:p>
        </w:tc>
        <w:tc>
          <w:tcPr>
            <w:tcW w:type="dxa" w:w="7056"/>
            <w:vAlign w:val="center"/>
          </w:tcPr>
          <w:p>
            <w:pPr>
              <w:spacing w:before="0" w:after="0" w:line="276" w:lineRule="auto"/>
              <w:jc w:val="left"/>
            </w:pPr>
            <w:r/>
            <w:r>
              <w:rPr>
                <w:rFonts w:ascii="Calibri" w:hAnsi="Calibri" w:eastAsia="宋体"/>
                <w:b w:val="0"/>
                <w:sz w:val="21"/>
              </w:rPr>
              <w:t>2026年6月17日</w:t>
            </w:r>
          </w:p>
        </w:tc>
      </w:tr>
    </w:tbl>
    <w:p>
      <w:pPr>
        <w:spacing w:after="80"/>
      </w:pPr>
    </w:p>
    <w:p>
      <w:pPr>
        <w:spacing w:before="0" w:after="400" w:line="300" w:lineRule="auto"/>
        <w:jc w:val="center"/>
      </w:pPr>
      <w:r>
        <w:rPr>
          <w:rFonts w:ascii="Calibri" w:hAnsi="Calibri" w:eastAsia="宋体"/>
          <w:color w:val="5A5A5A"/>
          <w:sz w:val="21"/>
        </w:rPr>
        <w:t>说明：本文为申报书结构优化稿，单位名称、团队成员、合作风场、已有设备与真实数据样本等信息需由申报团队进一步补充确认。</w:t>
      </w:r>
    </w:p>
    <w:p>
      <w:r>
        <w:br w:type="page"/>
      </w:r>
    </w:p>
    <w:p>
      <w:pPr>
        <w:spacing w:before="320" w:after="160"/>
      </w:pPr>
      <w:r>
        <w:rPr>
          <w:rFonts w:ascii="Calibri" w:hAnsi="Calibri" w:eastAsia="黑体"/>
          <w:b/>
          <w:color w:val="000000"/>
          <w:sz w:val="32"/>
        </w:rPr>
        <w:t>一、项目基本信息</w:t>
      </w:r>
    </w:p>
    <w:tbl>
      <w:tblPr>
        <w:tblStyle w:val="TableGrid"/>
        <w:tblW w:type="auto" w:w="0"/>
        <w:jc w:val="center"/>
        <w:tblLook w:firstColumn="1" w:firstRow="1" w:lastColumn="0" w:lastRow="0" w:noHBand="0" w:noVBand="1" w:val="04A0"/>
      </w:tblPr>
      <w:tblGrid>
        <w:gridCol w:w="4680"/>
        <w:gridCol w:w="4680"/>
      </w:tblGrid>
      <w:tr>
        <w:tc>
          <w:tcPr>
            <w:tcW w:type="dxa" w:w="2304"/>
            <w:vAlign w:val="center"/>
          </w:tcPr>
          <w:p>
            <w:pPr>
              <w:spacing w:before="0" w:after="0" w:line="276" w:lineRule="auto"/>
              <w:jc w:val="left"/>
            </w:pPr>
            <w:r/>
            <w:r>
              <w:rPr>
                <w:rFonts w:ascii="Calibri" w:hAnsi="Calibri" w:eastAsia="宋体"/>
                <w:b/>
                <w:sz w:val="21"/>
              </w:rPr>
              <w:t>项目名称</w:t>
            </w:r>
          </w:p>
        </w:tc>
        <w:tc>
          <w:tcPr>
            <w:tcW w:type="dxa" w:w="7056"/>
            <w:vAlign w:val="center"/>
          </w:tcPr>
          <w:p>
            <w:pPr>
              <w:spacing w:before="0" w:after="0" w:line="276" w:lineRule="auto"/>
              <w:jc w:val="left"/>
            </w:pPr>
            <w:r/>
            <w:r>
              <w:rPr>
                <w:rFonts w:ascii="Calibri" w:hAnsi="Calibri" w:eastAsia="宋体"/>
                <w:b w:val="0"/>
                <w:sz w:val="21"/>
              </w:rPr>
              <w:t>海上风电系统远程监测与风险评估技术</w:t>
            </w:r>
          </w:p>
        </w:tc>
      </w:tr>
      <w:tr>
        <w:tc>
          <w:tcPr>
            <w:tcW w:type="dxa" w:w="2304"/>
            <w:vAlign w:val="center"/>
          </w:tcPr>
          <w:p>
            <w:pPr>
              <w:spacing w:before="0" w:after="0" w:line="276" w:lineRule="auto"/>
              <w:jc w:val="left"/>
            </w:pPr>
            <w:r/>
            <w:r>
              <w:rPr>
                <w:rFonts w:ascii="Calibri" w:hAnsi="Calibri" w:eastAsia="宋体"/>
                <w:b/>
                <w:sz w:val="21"/>
              </w:rPr>
              <w:t>申报方向</w:t>
            </w:r>
          </w:p>
        </w:tc>
        <w:tc>
          <w:tcPr>
            <w:tcW w:type="dxa" w:w="7056"/>
            <w:vAlign w:val="center"/>
          </w:tcPr>
          <w:p>
            <w:pPr>
              <w:spacing w:before="0" w:after="0" w:line="276" w:lineRule="auto"/>
              <w:jc w:val="left"/>
            </w:pPr>
            <w:r/>
            <w:r>
              <w:rPr>
                <w:rFonts w:ascii="Calibri" w:hAnsi="Calibri" w:eastAsia="宋体"/>
                <w:b w:val="0"/>
                <w:sz w:val="21"/>
              </w:rPr>
              <w:t>F0102 信息系统与系统安全</w:t>
            </w:r>
          </w:p>
        </w:tc>
      </w:tr>
      <w:tr>
        <w:tc>
          <w:tcPr>
            <w:tcW w:type="dxa" w:w="2304"/>
            <w:vAlign w:val="center"/>
          </w:tcPr>
          <w:p>
            <w:pPr>
              <w:spacing w:before="0" w:after="0" w:line="276" w:lineRule="auto"/>
              <w:jc w:val="left"/>
            </w:pPr>
            <w:r/>
            <w:r>
              <w:rPr>
                <w:rFonts w:ascii="Calibri" w:hAnsi="Calibri" w:eastAsia="宋体"/>
                <w:b/>
                <w:sz w:val="21"/>
              </w:rPr>
              <w:t>项目类别</w:t>
            </w:r>
          </w:p>
        </w:tc>
        <w:tc>
          <w:tcPr>
            <w:tcW w:type="dxa" w:w="7056"/>
            <w:vAlign w:val="center"/>
          </w:tcPr>
          <w:p>
            <w:pPr>
              <w:spacing w:before="0" w:after="0" w:line="276" w:lineRule="auto"/>
              <w:jc w:val="left"/>
            </w:pPr>
            <w:r/>
            <w:r>
              <w:rPr>
                <w:rFonts w:ascii="Calibri" w:hAnsi="Calibri" w:eastAsia="宋体"/>
                <w:b w:val="0"/>
                <w:sz w:val="21"/>
              </w:rPr>
              <w:t>科技计划/应用研发与示范类项目</w:t>
            </w:r>
          </w:p>
        </w:tc>
      </w:tr>
      <w:tr>
        <w:tc>
          <w:tcPr>
            <w:tcW w:type="dxa" w:w="2304"/>
            <w:vAlign w:val="center"/>
          </w:tcPr>
          <w:p>
            <w:pPr>
              <w:spacing w:before="0" w:after="0" w:line="276" w:lineRule="auto"/>
              <w:jc w:val="left"/>
            </w:pPr>
            <w:r/>
            <w:r>
              <w:rPr>
                <w:rFonts w:ascii="Calibri" w:hAnsi="Calibri" w:eastAsia="宋体"/>
                <w:b/>
                <w:sz w:val="21"/>
              </w:rPr>
              <w:t>研究对象</w:t>
            </w:r>
          </w:p>
        </w:tc>
        <w:tc>
          <w:tcPr>
            <w:tcW w:type="dxa" w:w="7056"/>
            <w:vAlign w:val="center"/>
          </w:tcPr>
          <w:p>
            <w:pPr>
              <w:spacing w:before="0" w:after="0" w:line="276" w:lineRule="auto"/>
              <w:jc w:val="left"/>
            </w:pPr>
            <w:r/>
            <w:r>
              <w:rPr>
                <w:rFonts w:ascii="Calibri" w:hAnsi="Calibri" w:eastAsia="宋体"/>
                <w:b w:val="0"/>
                <w:sz w:val="21"/>
              </w:rPr>
              <w:t>海上风电机组、场站通信网络、海洋环境与运行维护业务</w:t>
            </w:r>
          </w:p>
        </w:tc>
      </w:tr>
      <w:tr>
        <w:tc>
          <w:tcPr>
            <w:tcW w:type="dxa" w:w="2304"/>
            <w:vAlign w:val="center"/>
          </w:tcPr>
          <w:p>
            <w:pPr>
              <w:spacing w:before="0" w:after="0" w:line="276" w:lineRule="auto"/>
              <w:jc w:val="left"/>
            </w:pPr>
            <w:r/>
            <w:r>
              <w:rPr>
                <w:rFonts w:ascii="Calibri" w:hAnsi="Calibri" w:eastAsia="宋体"/>
                <w:b/>
                <w:sz w:val="21"/>
              </w:rPr>
              <w:t>核心定位</w:t>
            </w:r>
          </w:p>
        </w:tc>
        <w:tc>
          <w:tcPr>
            <w:tcW w:type="dxa" w:w="7056"/>
            <w:vAlign w:val="center"/>
          </w:tcPr>
          <w:p>
            <w:pPr>
              <w:spacing w:before="0" w:after="0" w:line="276" w:lineRule="auto"/>
              <w:jc w:val="left"/>
            </w:pPr>
            <w:r/>
            <w:r>
              <w:rPr>
                <w:rFonts w:ascii="Calibri" w:hAnsi="Calibri" w:eastAsia="宋体"/>
                <w:b w:val="0"/>
                <w:sz w:val="21"/>
              </w:rPr>
              <w:t>面向海上风电场远程监测、隐性缺陷识别、极端天气风险预警和运维决策需求，构建“风险感知—故障诊断—预警决策—闭环管理”一体化技术体系。</w:t>
            </w:r>
          </w:p>
        </w:tc>
      </w:tr>
      <w:tr>
        <w:tc>
          <w:tcPr>
            <w:tcW w:type="dxa" w:w="2304"/>
            <w:vAlign w:val="center"/>
          </w:tcPr>
          <w:p>
            <w:pPr>
              <w:spacing w:before="0" w:after="0" w:line="276" w:lineRule="auto"/>
              <w:jc w:val="left"/>
            </w:pPr>
            <w:r/>
            <w:r>
              <w:rPr>
                <w:rFonts w:ascii="Calibri" w:hAnsi="Calibri" w:eastAsia="宋体"/>
                <w:b/>
                <w:sz w:val="21"/>
              </w:rPr>
              <w:t>预期成果</w:t>
            </w:r>
          </w:p>
        </w:tc>
        <w:tc>
          <w:tcPr>
            <w:tcW w:type="dxa" w:w="7056"/>
            <w:vAlign w:val="center"/>
          </w:tcPr>
          <w:p>
            <w:pPr>
              <w:spacing w:before="0" w:after="0" w:line="276" w:lineRule="auto"/>
              <w:jc w:val="left"/>
            </w:pPr>
            <w:r/>
            <w:r>
              <w:rPr>
                <w:rFonts w:ascii="Calibri" w:hAnsi="Calibri" w:eastAsia="宋体"/>
                <w:b w:val="0"/>
                <w:sz w:val="21"/>
              </w:rPr>
              <w:t>形成远程监测与风险评估总体方案、多模态融合诊断模型、分级预警与运维决策原型系统、示范验证报告及知识产权成果。</w:t>
            </w:r>
          </w:p>
        </w:tc>
      </w:tr>
    </w:tbl>
    <w:p>
      <w:pPr>
        <w:spacing w:after="80"/>
      </w:pPr>
    </w:p>
    <w:p>
      <w:pPr>
        <w:spacing w:before="320" w:after="160"/>
      </w:pPr>
      <w:r>
        <w:rPr>
          <w:rFonts w:ascii="Calibri" w:hAnsi="Calibri" w:eastAsia="黑体"/>
          <w:b/>
          <w:color w:val="000000"/>
          <w:sz w:val="32"/>
        </w:rPr>
        <w:t>项目摘要</w:t>
      </w:r>
    </w:p>
    <w:p>
      <w:pPr>
        <w:spacing w:before="0" w:after="120" w:line="300" w:lineRule="auto"/>
        <w:ind w:firstLine="420"/>
      </w:pPr>
      <w:r>
        <w:rPr>
          <w:rFonts w:ascii="Calibri" w:hAnsi="Calibri" w:eastAsia="宋体"/>
          <w:sz w:val="22"/>
        </w:rPr>
        <w:t>本项目面向海上风电场在台风、雷暴、大浪强流等复杂海洋环境下的安全运行需求，拟构建海洋环境自适应监测网络和多源数据融合分析体系，实现关键运行数据稳定回传、风-浪-流环境要素立体感知、隐性缺陷预测定位和分级预警决策联动，形成从风险感知、状态诊断到运维调度的闭环管理能力。</w:t>
      </w:r>
    </w:p>
    <w:p>
      <w:pPr>
        <w:spacing w:before="0" w:after="120" w:line="300" w:lineRule="auto"/>
        <w:ind w:firstLine="420"/>
      </w:pPr>
      <w:r>
        <w:rPr>
          <w:rFonts w:ascii="Calibri" w:hAnsi="Calibri" w:eastAsia="宋体"/>
          <w:sz w:val="22"/>
        </w:rPr>
        <w:t>项目以海上风电机组叶片、塔筒、传动链、发电系统、场站通信与海洋环境为主要对象，综合利用结构应变、振动加速度、温度补偿、振动频谱、声学特征、转速、扭矩、SCADA、风-浪-流和气象海况等多源信息，构建具有工程可解释性的多模态融合诊断模型和动态风险评估方法。</w:t>
      </w:r>
    </w:p>
    <w:p>
      <w:pPr>
        <w:spacing w:before="320" w:after="160"/>
      </w:pPr>
      <w:r>
        <w:rPr>
          <w:rFonts w:ascii="Calibri" w:hAnsi="Calibri" w:eastAsia="黑体"/>
          <w:b/>
          <w:color w:val="000000"/>
          <w:sz w:val="32"/>
        </w:rPr>
        <w:t>二、立项依据</w:t>
      </w:r>
    </w:p>
    <w:p>
      <w:pPr>
        <w:spacing w:before="0" w:after="120" w:line="300" w:lineRule="auto"/>
        <w:ind w:firstLine="420"/>
      </w:pPr>
      <w:r>
        <w:rPr>
          <w:rFonts w:ascii="Calibri" w:hAnsi="Calibri" w:eastAsia="宋体"/>
          <w:sz w:val="22"/>
        </w:rPr>
        <w:t>国家发展改革委、国家能源局等九部门印发的《“十四五”可再生能源发展规划》明确提出，在东部沿海地区积极推进海上风电集群化开发，重点建设山东半岛、长三角、闽南、粤东和北部湾等海上风电基地，并推动深远海海上风电技术创新和示范应用。规划同时强调推进深远海海上风电勘察、施工、输电、运维新技术研究和应用，推动海上风电运维数字化、智能化发展。</w:t>
      </w:r>
    </w:p>
    <w:p>
      <w:pPr>
        <w:spacing w:before="0" w:after="120" w:line="300" w:lineRule="auto"/>
        <w:ind w:firstLine="420"/>
      </w:pPr>
      <w:r>
        <w:rPr>
          <w:rFonts w:ascii="Calibri" w:hAnsi="Calibri" w:eastAsia="宋体"/>
          <w:sz w:val="22"/>
        </w:rPr>
        <w:t>上述政策导向表明，海上风电已从单体项目建设阶段进入基地化、规模化、深远海化和智慧化发展阶段。与之相适应，风电场运行管理不能停留在事后维修和人工巡检层面，需要形成面向设备状态、海洋环境、通信链路和应急资源的综合感知与风险决策能力。本项目围绕“远程监测、故障诊断、风险评估、分级预警和运维决策”开展技术攻关，与可再生能源高质量发展、能源安全保障和智慧化运维方向高度契合。</w:t>
      </w:r>
    </w:p>
    <w:p>
      <w:pPr>
        <w:spacing w:before="0" w:after="120" w:line="300" w:lineRule="auto"/>
        <w:ind w:firstLine="420"/>
      </w:pPr>
      <w:r>
        <w:rPr>
          <w:rFonts w:ascii="Calibri" w:hAnsi="Calibri" w:eastAsia="宋体"/>
          <w:sz w:val="22"/>
        </w:rPr>
        <w:t>海上风电场具有离岸距离远、设备分布广、出海窗口受限、检修成本高和极端天气影响强等典型特征。随着机组大型化和风电场集群化推进，单台机组停机损失、关键部件更换成本和场站级风险联动效应持续放大。面向海上风电运维中心、场站集控平台和能源企业安全生产管理，本项目需要解决的不仅是单一设备故障识别问题，更是“海上资产可观测、运行风险可解释、应急处置可执行”的系统问题。</w:t>
      </w:r>
    </w:p>
    <w:p>
      <w:pPr>
        <w:spacing w:before="0" w:after="120" w:line="300" w:lineRule="auto"/>
        <w:ind w:firstLine="420"/>
      </w:pPr>
      <w:r>
        <w:rPr>
          <w:rFonts w:ascii="Calibri" w:hAnsi="Calibri" w:eastAsia="宋体"/>
          <w:sz w:val="22"/>
        </w:rPr>
        <w:t>从国际研究和工程实践看，风电运维正由状态监测向智能诊断、预测性维护和数字孪生方向发展。相关研究普遍认为，数据质量不足、模型黑盒化、实时决策落地困难和复杂工况适应性弱，是风电智能运维进一步应用的关键瓶颈。海上风电场场景下，这些问题叠加通信不稳定、环境载荷强和维修资源稀缺，使得多源融合、可解释诊断和风险决策技术更加迫切。</w:t>
      </w:r>
    </w:p>
    <w:p>
      <w:pPr>
        <w:spacing w:before="0" w:after="120" w:line="300" w:lineRule="auto"/>
        <w:ind w:firstLine="420"/>
      </w:pPr>
      <w:r>
        <w:rPr>
          <w:rFonts w:ascii="Calibri" w:hAnsi="Calibri" w:eastAsia="宋体"/>
          <w:sz w:val="22"/>
        </w:rPr>
        <w:t>当前海上风电远程监测和智能运维仍存在四类突出问题：一是台风、雷暴、强浪和高盐雾环境下监测链路和数据质量易发生波动，影响场站级风险研判的及时性；二是振动、声学、SCADA、气象海况和结构传感等数据分散在不同系统中，缺少面向故障机理和运行工况的一体化融合分析框架；三是海上风机转速与载荷波动显著，弱冲击、非平稳频谱和多源证据不一致容易导致早期隐性缺陷误报漏报；四是设备风险、环境风险和运维资源尚未形成统一决策链，告警信息难以直接转化为巡检、限功率、停机保护和灾后复检策略。</w:t>
      </w:r>
    </w:p>
    <w:p>
      <w:pPr>
        <w:spacing w:before="0" w:after="120" w:line="300" w:lineRule="auto"/>
        <w:ind w:firstLine="420"/>
      </w:pPr>
      <w:r>
        <w:rPr>
          <w:rFonts w:ascii="Calibri" w:hAnsi="Calibri" w:eastAsia="宋体"/>
          <w:sz w:val="22"/>
        </w:rPr>
        <w:t>本项目拟以海上风电场安全运行和智能运维需求为牵引，建立覆盖监测、诊断、评估和决策的技术体系。一方面，可提升恶劣海况下关键运行数据的可获得性和可用性；另一方面，可将设备状态、环境风险和运维可达性纳入统一评估框架，支撑场站在极端天气前、中、后的主动防控。项目实施有助于降低非计划停机和重大部件故障风险，提高海上风电系统安全韧性和运维效率，对推动海上风电规模化开发和智慧化运维具有现实意义。</w:t>
      </w:r>
    </w:p>
    <w:p>
      <w:pPr>
        <w:spacing w:before="320" w:after="160"/>
      </w:pPr>
      <w:r>
        <w:rPr>
          <w:rFonts w:ascii="Calibri" w:hAnsi="Calibri" w:eastAsia="黑体"/>
          <w:b/>
          <w:color w:val="000000"/>
          <w:sz w:val="32"/>
        </w:rPr>
        <w:t>三、项目总体目标与考核指标</w:t>
      </w:r>
    </w:p>
    <w:p>
      <w:pPr>
        <w:spacing w:before="240" w:after="120"/>
      </w:pPr>
      <w:r>
        <w:rPr>
          <w:rFonts w:ascii="Calibri" w:hAnsi="Calibri" w:eastAsia="黑体"/>
          <w:b/>
          <w:color w:val="000000"/>
          <w:sz w:val="26"/>
        </w:rPr>
        <w:t>3.1 总体目标</w:t>
      </w:r>
    </w:p>
    <w:p>
      <w:pPr>
        <w:spacing w:before="0" w:after="120" w:line="300" w:lineRule="auto"/>
        <w:ind w:firstLine="420"/>
      </w:pPr>
      <w:r>
        <w:rPr>
          <w:rFonts w:ascii="Calibri" w:hAnsi="Calibri" w:eastAsia="宋体"/>
          <w:sz w:val="22"/>
        </w:rPr>
        <w:t>项目围绕海上风电系统远程监测与风险评估需求，构建海洋环境自适应监测网络和多源数据融合分析体系，实现台风、雷暴等恶劣天气下风机运行数据稳定回传与全域风-浪-流环境要素立体感知；研发多模态融合故障诊断模型，实现振动频谱、声学特征、结构应变、运行工况等数据协同分析，预测海上风电设备隐性缺陷并开展故障定位；建立分级预警与运维资源动态优化方法，形成从风险感知到应急决策的闭环管理能力。</w:t>
      </w:r>
    </w:p>
    <w:p>
      <w:pPr>
        <w:spacing w:before="0" w:after="120" w:line="300" w:lineRule="auto"/>
        <w:ind w:firstLine="420"/>
      </w:pPr>
      <w:r>
        <w:rPr>
          <w:rFonts w:ascii="Calibri" w:hAnsi="Calibri" w:eastAsia="宋体"/>
          <w:sz w:val="22"/>
        </w:rPr>
        <w:t>总体思路是以“海洋环境自适应监测网络”为底座，以“多源数据融合与多模态故障诊断”为核心，以“分级预警和运维资源调度”为出口，形成风险感知、状态识别、预警生成、策略调整和应急执行的闭环。</w:t>
      </w:r>
    </w:p>
    <w:p>
      <w:pPr>
        <w:spacing w:before="240" w:after="120"/>
      </w:pPr>
      <w:r>
        <w:rPr>
          <w:rFonts w:ascii="Calibri" w:hAnsi="Calibri" w:eastAsia="黑体"/>
          <w:b/>
          <w:color w:val="000000"/>
          <w:sz w:val="26"/>
        </w:rPr>
        <w:t>3.2 考核指标（建议稿）</w:t>
      </w:r>
    </w:p>
    <w:tbl>
      <w:tblPr>
        <w:tblStyle w:val="TableGrid"/>
        <w:tblW w:type="auto" w:w="0"/>
        <w:jc w:val="center"/>
        <w:tblLook w:firstColumn="1" w:firstRow="1" w:lastColumn="0" w:lastRow="0" w:noHBand="0" w:noVBand="1" w:val="04A0"/>
      </w:tblPr>
      <w:tblGrid>
        <w:gridCol w:w="3120"/>
        <w:gridCol w:w="3120"/>
        <w:gridCol w:w="3120"/>
      </w:tblGrid>
      <w:tr>
        <w:tc>
          <w:tcPr>
            <w:tcW w:type="dxa" w:w="1800"/>
            <w:shd w:fill="F2F2F2"/>
            <w:vAlign w:val="center"/>
          </w:tcPr>
          <w:p>
            <w:pPr>
              <w:spacing w:before="0" w:after="0" w:line="276" w:lineRule="auto"/>
              <w:jc w:val="center"/>
            </w:pPr>
            <w:r/>
            <w:r>
              <w:rPr>
                <w:rFonts w:ascii="Calibri" w:hAnsi="Calibri" w:eastAsia="宋体"/>
                <w:b/>
                <w:sz w:val="21"/>
              </w:rPr>
              <w:t>类别</w:t>
            </w:r>
          </w:p>
        </w:tc>
        <w:tc>
          <w:tcPr>
            <w:tcW w:type="dxa" w:w="5688"/>
            <w:shd w:fill="F2F2F2"/>
            <w:vAlign w:val="center"/>
          </w:tcPr>
          <w:p>
            <w:pPr>
              <w:spacing w:before="0" w:after="0" w:line="276" w:lineRule="auto"/>
              <w:jc w:val="center"/>
            </w:pPr>
            <w:r/>
            <w:r>
              <w:rPr>
                <w:rFonts w:ascii="Calibri" w:hAnsi="Calibri" w:eastAsia="宋体"/>
                <w:b/>
                <w:sz w:val="21"/>
              </w:rPr>
              <w:t>考核指标</w:t>
            </w:r>
          </w:p>
        </w:tc>
        <w:tc>
          <w:tcPr>
            <w:tcW w:type="dxa" w:w="1872"/>
            <w:shd w:fill="F2F2F2"/>
            <w:vAlign w:val="center"/>
          </w:tcPr>
          <w:p>
            <w:pPr>
              <w:spacing w:before="0" w:after="0" w:line="276" w:lineRule="auto"/>
              <w:jc w:val="center"/>
            </w:pPr>
            <w:r/>
            <w:r>
              <w:rPr>
                <w:rFonts w:ascii="Calibri" w:hAnsi="Calibri" w:eastAsia="宋体"/>
                <w:b/>
                <w:sz w:val="21"/>
              </w:rPr>
              <w:t>建议目标值</w:t>
            </w:r>
          </w:p>
        </w:tc>
      </w:tr>
      <w:tr>
        <w:tc>
          <w:tcPr>
            <w:tcW w:type="dxa" w:w="1800"/>
            <w:vAlign w:val="center"/>
          </w:tcPr>
          <w:p>
            <w:pPr>
              <w:spacing w:before="0" w:after="0" w:line="276" w:lineRule="auto"/>
              <w:jc w:val="left"/>
            </w:pPr>
            <w:r/>
            <w:r>
              <w:rPr>
                <w:rFonts w:ascii="Calibri" w:hAnsi="Calibri" w:eastAsia="宋体"/>
                <w:b w:val="0"/>
                <w:sz w:val="21"/>
              </w:rPr>
              <w:t>监测与数据</w:t>
            </w:r>
          </w:p>
        </w:tc>
        <w:tc>
          <w:tcPr>
            <w:tcW w:type="dxa" w:w="5688"/>
            <w:vAlign w:val="center"/>
          </w:tcPr>
          <w:p>
            <w:pPr>
              <w:spacing w:before="0" w:after="0" w:line="276" w:lineRule="auto"/>
              <w:jc w:val="left"/>
            </w:pPr>
            <w:r/>
            <w:r>
              <w:rPr>
                <w:rFonts w:ascii="Calibri" w:hAnsi="Calibri" w:eastAsia="宋体"/>
                <w:b w:val="0"/>
                <w:sz w:val="21"/>
              </w:rPr>
              <w:t>形成海上风电远程监测与多源数据融合方案，支撑恶劣天气下运行数据回传和风-浪-流环境感知。</w:t>
            </w:r>
          </w:p>
        </w:tc>
        <w:tc>
          <w:tcPr>
            <w:tcW w:type="dxa" w:w="1872"/>
            <w:vAlign w:val="center"/>
          </w:tcPr>
          <w:p>
            <w:pPr>
              <w:spacing w:before="0" w:after="0" w:line="276" w:lineRule="auto"/>
              <w:jc w:val="left"/>
            </w:pPr>
            <w:r/>
            <w:r>
              <w:rPr>
                <w:rFonts w:ascii="Calibri" w:hAnsi="Calibri" w:eastAsia="宋体"/>
                <w:b w:val="0"/>
                <w:sz w:val="21"/>
              </w:rPr>
              <w:t>形成方案/模块</w:t>
            </w:r>
          </w:p>
        </w:tc>
      </w:tr>
      <w:tr>
        <w:tc>
          <w:tcPr>
            <w:tcW w:type="dxa" w:w="1800"/>
            <w:vAlign w:val="center"/>
          </w:tcPr>
          <w:p>
            <w:pPr>
              <w:spacing w:before="0" w:after="0" w:line="276" w:lineRule="auto"/>
              <w:jc w:val="left"/>
            </w:pPr>
            <w:r/>
            <w:r>
              <w:rPr>
                <w:rFonts w:ascii="Calibri" w:hAnsi="Calibri" w:eastAsia="宋体"/>
                <w:b w:val="0"/>
                <w:sz w:val="21"/>
              </w:rPr>
              <w:t>诊断与评估</w:t>
            </w:r>
          </w:p>
        </w:tc>
        <w:tc>
          <w:tcPr>
            <w:tcW w:type="dxa" w:w="5688"/>
            <w:vAlign w:val="center"/>
          </w:tcPr>
          <w:p>
            <w:pPr>
              <w:spacing w:before="0" w:after="0" w:line="276" w:lineRule="auto"/>
              <w:jc w:val="left"/>
            </w:pPr>
            <w:r/>
            <w:r>
              <w:rPr>
                <w:rFonts w:ascii="Calibri" w:hAnsi="Calibri" w:eastAsia="宋体"/>
                <w:b w:val="0"/>
                <w:sz w:val="21"/>
              </w:rPr>
              <w:t>形成多模态融合故障诊断和环境设备耦合风险评估方法，支持隐性缺陷识别、故障定位和风险分级。</w:t>
            </w:r>
          </w:p>
        </w:tc>
        <w:tc>
          <w:tcPr>
            <w:tcW w:type="dxa" w:w="1872"/>
            <w:vAlign w:val="center"/>
          </w:tcPr>
          <w:p>
            <w:pPr>
              <w:spacing w:before="0" w:after="0" w:line="276" w:lineRule="auto"/>
              <w:jc w:val="left"/>
            </w:pPr>
            <w:r/>
            <w:r>
              <w:rPr>
                <w:rFonts w:ascii="Calibri" w:hAnsi="Calibri" w:eastAsia="宋体"/>
                <w:b w:val="0"/>
                <w:sz w:val="21"/>
              </w:rPr>
              <w:t>形成模型/方法</w:t>
            </w:r>
          </w:p>
        </w:tc>
      </w:tr>
      <w:tr>
        <w:tc>
          <w:tcPr>
            <w:tcW w:type="dxa" w:w="1800"/>
            <w:vAlign w:val="center"/>
          </w:tcPr>
          <w:p>
            <w:pPr>
              <w:spacing w:before="0" w:after="0" w:line="276" w:lineRule="auto"/>
              <w:jc w:val="left"/>
            </w:pPr>
            <w:r/>
            <w:r>
              <w:rPr>
                <w:rFonts w:ascii="Calibri" w:hAnsi="Calibri" w:eastAsia="宋体"/>
                <w:b w:val="0"/>
                <w:sz w:val="21"/>
              </w:rPr>
              <w:t>预警与决策</w:t>
            </w:r>
          </w:p>
        </w:tc>
        <w:tc>
          <w:tcPr>
            <w:tcW w:type="dxa" w:w="5688"/>
            <w:vAlign w:val="center"/>
          </w:tcPr>
          <w:p>
            <w:pPr>
              <w:spacing w:before="0" w:after="0" w:line="276" w:lineRule="auto"/>
              <w:jc w:val="left"/>
            </w:pPr>
            <w:r/>
            <w:r>
              <w:rPr>
                <w:rFonts w:ascii="Calibri" w:hAnsi="Calibri" w:eastAsia="宋体"/>
                <w:b w:val="0"/>
                <w:sz w:val="21"/>
              </w:rPr>
              <w:t>形成分级预警与运维辅助决策能力，支撑告警解释、风险排序和运维资源调度建议。</w:t>
            </w:r>
          </w:p>
        </w:tc>
        <w:tc>
          <w:tcPr>
            <w:tcW w:type="dxa" w:w="1872"/>
            <w:vAlign w:val="center"/>
          </w:tcPr>
          <w:p>
            <w:pPr>
              <w:spacing w:before="0" w:after="0" w:line="276" w:lineRule="auto"/>
              <w:jc w:val="left"/>
            </w:pPr>
            <w:r/>
            <w:r>
              <w:rPr>
                <w:rFonts w:ascii="Calibri" w:hAnsi="Calibri" w:eastAsia="宋体"/>
                <w:b w:val="0"/>
                <w:sz w:val="21"/>
              </w:rPr>
              <w:t>形成原型功能</w:t>
            </w:r>
          </w:p>
        </w:tc>
      </w:tr>
      <w:tr>
        <w:tc>
          <w:tcPr>
            <w:tcW w:type="dxa" w:w="1800"/>
            <w:vAlign w:val="center"/>
          </w:tcPr>
          <w:p>
            <w:pPr>
              <w:spacing w:before="0" w:after="0" w:line="276" w:lineRule="auto"/>
              <w:jc w:val="left"/>
            </w:pPr>
            <w:r/>
            <w:r>
              <w:rPr>
                <w:rFonts w:ascii="Calibri" w:hAnsi="Calibri" w:eastAsia="宋体"/>
                <w:b w:val="0"/>
                <w:sz w:val="21"/>
              </w:rPr>
              <w:t>系统与验证</w:t>
            </w:r>
          </w:p>
        </w:tc>
        <w:tc>
          <w:tcPr>
            <w:tcW w:type="dxa" w:w="5688"/>
            <w:vAlign w:val="center"/>
          </w:tcPr>
          <w:p>
            <w:pPr>
              <w:spacing w:before="0" w:after="0" w:line="276" w:lineRule="auto"/>
              <w:jc w:val="left"/>
            </w:pPr>
            <w:r/>
            <w:r>
              <w:rPr>
                <w:rFonts w:ascii="Calibri" w:hAnsi="Calibri" w:eastAsia="宋体"/>
                <w:b w:val="0"/>
                <w:sz w:val="21"/>
              </w:rPr>
              <w:t>完成原型系统或核心模块集成，并开展典型海况或设备异常场景验证。</w:t>
            </w:r>
          </w:p>
        </w:tc>
        <w:tc>
          <w:tcPr>
            <w:tcW w:type="dxa" w:w="1872"/>
            <w:vAlign w:val="center"/>
          </w:tcPr>
          <w:p>
            <w:pPr>
              <w:spacing w:before="0" w:after="0" w:line="276" w:lineRule="auto"/>
              <w:jc w:val="left"/>
            </w:pPr>
            <w:r/>
            <w:r>
              <w:rPr>
                <w:rFonts w:ascii="Calibri" w:hAnsi="Calibri" w:eastAsia="宋体"/>
                <w:b w:val="0"/>
                <w:sz w:val="21"/>
              </w:rPr>
              <w:t>形成验证报告</w:t>
            </w:r>
          </w:p>
        </w:tc>
      </w:tr>
      <w:tr>
        <w:tc>
          <w:tcPr>
            <w:tcW w:type="dxa" w:w="1800"/>
            <w:vAlign w:val="center"/>
          </w:tcPr>
          <w:p>
            <w:pPr>
              <w:spacing w:before="0" w:after="0" w:line="276" w:lineRule="auto"/>
              <w:jc w:val="left"/>
            </w:pPr>
            <w:r/>
            <w:r>
              <w:rPr>
                <w:rFonts w:ascii="Calibri" w:hAnsi="Calibri" w:eastAsia="宋体"/>
                <w:b w:val="0"/>
                <w:sz w:val="21"/>
              </w:rPr>
              <w:t>成果产出</w:t>
            </w:r>
          </w:p>
        </w:tc>
        <w:tc>
          <w:tcPr>
            <w:tcW w:type="dxa" w:w="5688"/>
            <w:vAlign w:val="center"/>
          </w:tcPr>
          <w:p>
            <w:pPr>
              <w:spacing w:before="0" w:after="0" w:line="276" w:lineRule="auto"/>
              <w:jc w:val="left"/>
            </w:pPr>
            <w:r/>
            <w:r>
              <w:rPr>
                <w:rFonts w:ascii="Calibri" w:hAnsi="Calibri" w:eastAsia="宋体"/>
                <w:b w:val="0"/>
                <w:sz w:val="21"/>
              </w:rPr>
              <w:t>形成软件著作权、专利、论文、技术报告或应用方案等成果。</w:t>
            </w:r>
          </w:p>
        </w:tc>
        <w:tc>
          <w:tcPr>
            <w:tcW w:type="dxa" w:w="1872"/>
            <w:vAlign w:val="center"/>
          </w:tcPr>
          <w:p>
            <w:pPr>
              <w:spacing w:before="0" w:after="0" w:line="276" w:lineRule="auto"/>
              <w:jc w:val="left"/>
            </w:pPr>
            <w:r/>
            <w:r>
              <w:rPr>
                <w:rFonts w:ascii="Calibri" w:hAnsi="Calibri" w:eastAsia="宋体"/>
                <w:b w:val="0"/>
                <w:sz w:val="21"/>
              </w:rPr>
              <w:t>2-4项</w:t>
            </w:r>
          </w:p>
        </w:tc>
      </w:tr>
    </w:tbl>
    <w:p>
      <w:pPr>
        <w:spacing w:after="80"/>
      </w:pPr>
    </w:p>
    <w:p>
      <w:pPr>
        <w:spacing w:before="320" w:after="160"/>
      </w:pPr>
      <w:r>
        <w:rPr>
          <w:rFonts w:ascii="Calibri" w:hAnsi="Calibri" w:eastAsia="黑体"/>
          <w:b/>
          <w:color w:val="000000"/>
          <w:sz w:val="32"/>
        </w:rPr>
        <w:t>四、主要研究内容</w:t>
      </w:r>
    </w:p>
    <w:p>
      <w:pPr>
        <w:spacing w:before="240" w:after="120"/>
      </w:pPr>
      <w:r>
        <w:rPr>
          <w:rFonts w:ascii="Calibri" w:hAnsi="Calibri" w:eastAsia="黑体"/>
          <w:b/>
          <w:color w:val="000000"/>
          <w:sz w:val="26"/>
        </w:rPr>
        <w:t>4.1 海洋环境自适应监测网络与稳定回传技术</w:t>
      </w:r>
    </w:p>
    <w:p>
      <w:pPr>
        <w:spacing w:before="0" w:after="120" w:line="300" w:lineRule="auto"/>
        <w:ind w:firstLine="420"/>
      </w:pPr>
      <w:r>
        <w:rPr>
          <w:rFonts w:ascii="Calibri" w:hAnsi="Calibri" w:eastAsia="宋体"/>
          <w:sz w:val="22"/>
        </w:rPr>
        <w:t>面向海上风电场机组分布广、通信链路长、环境扰动强的特点，研究自组网技术及多源数据融合方法，构建海洋环境自适应监测网络。通过边缘采集、链路质量评估、数据缓存补传、异常数据标识和多源时间同步等机制，实现台风、雷暴等恶劣天气下风机运行数据稳定回传，并支撑全域风-浪-流环境要素立体感知。</w:t>
      </w:r>
    </w:p>
    <w:p>
      <w:pPr>
        <w:pStyle w:val="ListBullet"/>
        <w:spacing w:after="80" w:line="290" w:lineRule="auto"/>
      </w:pPr>
      <w:r>
        <w:rPr>
          <w:rFonts w:ascii="Calibri" w:hAnsi="Calibri" w:eastAsia="宋体"/>
          <w:sz w:val="22"/>
        </w:rPr>
        <w:t>构建“机组端—机舱边缘节点—升压站—运维中心”的自组网与分层监测架构，支撑多类型传感器和运行系统数据统一接入。</w:t>
      </w:r>
    </w:p>
    <w:p>
      <w:pPr>
        <w:pStyle w:val="ListBullet"/>
        <w:spacing w:after="80" w:line="290" w:lineRule="auto"/>
      </w:pPr>
      <w:r>
        <w:rPr>
          <w:rFonts w:ascii="Calibri" w:hAnsi="Calibri" w:eastAsia="宋体"/>
          <w:sz w:val="22"/>
        </w:rPr>
        <w:t>研究面向台风、雷暴、强浪等场景的链路质量感知、数据缓存补传、断点续传和可信标记方法，提升风机运行数据稳定回传能力。</w:t>
      </w:r>
    </w:p>
    <w:p>
      <w:pPr>
        <w:pStyle w:val="ListBullet"/>
        <w:spacing w:after="80" w:line="290" w:lineRule="auto"/>
      </w:pPr>
      <w:r>
        <w:rPr>
          <w:rFonts w:ascii="Calibri" w:hAnsi="Calibri" w:eastAsia="宋体"/>
          <w:sz w:val="22"/>
        </w:rPr>
        <w:t>形成覆盖风、浪、流、温湿度、盐雾、雷电等环境要素与机组运行状态的统一数据组织方式，实现海洋环境要素全域立体感知。</w:t>
      </w:r>
    </w:p>
    <w:p>
      <w:pPr>
        <w:spacing w:before="160" w:after="80"/>
      </w:pPr>
      <w:r>
        <w:rPr>
          <w:rFonts w:ascii="Calibri" w:hAnsi="Calibri" w:eastAsia="黑体"/>
          <w:b/>
          <w:color w:val="000000"/>
          <w:sz w:val="24"/>
        </w:rPr>
        <w:t>4.1.1 传感器配置与数据采集链路</w:t>
      </w:r>
    </w:p>
    <w:p>
      <w:pPr>
        <w:spacing w:before="0" w:after="120" w:line="300" w:lineRule="auto"/>
        <w:ind w:firstLine="420"/>
      </w:pPr>
      <w:r>
        <w:rPr>
          <w:rFonts w:ascii="Calibri" w:hAnsi="Calibri" w:eastAsia="宋体"/>
          <w:sz w:val="22"/>
        </w:rPr>
        <w:t>结合团队前期在海上风机光纤传感监测、结构健康监测和传动链状态诊断方面开展的类似研究工作，本项目感知层拟采用光纤传感为核心、传动链振动工况监测和海洋环境感知为补充的多源传感体系。光纤传感器具有无源、抗电磁干扰、适应雷电和高湿盐雾环境等优势，适合部署于叶片、塔筒等海上风机关键结构部位。</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12"/>
            <w:shd w:fill="F2F2F2"/>
            <w:vAlign w:val="center"/>
          </w:tcPr>
          <w:p>
            <w:pPr>
              <w:spacing w:before="0" w:after="0" w:line="276" w:lineRule="auto"/>
              <w:jc w:val="center"/>
            </w:pPr>
            <w:r/>
            <w:r>
              <w:rPr>
                <w:rFonts w:ascii="Calibri" w:hAnsi="Calibri" w:eastAsia="宋体"/>
                <w:b/>
                <w:sz w:val="21"/>
              </w:rPr>
              <w:t>监测对象</w:t>
            </w:r>
          </w:p>
        </w:tc>
        <w:tc>
          <w:tcPr>
            <w:tcW w:type="dxa" w:w="2880"/>
            <w:shd w:fill="F2F2F2"/>
            <w:vAlign w:val="center"/>
          </w:tcPr>
          <w:p>
            <w:pPr>
              <w:spacing w:before="0" w:after="0" w:line="276" w:lineRule="auto"/>
              <w:jc w:val="center"/>
            </w:pPr>
            <w:r/>
            <w:r>
              <w:rPr>
                <w:rFonts w:ascii="Calibri" w:hAnsi="Calibri" w:eastAsia="宋体"/>
                <w:b/>
                <w:sz w:val="21"/>
              </w:rPr>
              <w:t>拟采用传感器/设备</w:t>
            </w:r>
          </w:p>
        </w:tc>
        <w:tc>
          <w:tcPr>
            <w:tcW w:type="dxa" w:w="2232"/>
            <w:shd w:fill="F2F2F2"/>
            <w:vAlign w:val="center"/>
          </w:tcPr>
          <w:p>
            <w:pPr>
              <w:spacing w:before="0" w:after="0" w:line="276" w:lineRule="auto"/>
              <w:jc w:val="center"/>
            </w:pPr>
            <w:r/>
            <w:r>
              <w:rPr>
                <w:rFonts w:ascii="Calibri" w:hAnsi="Calibri" w:eastAsia="宋体"/>
                <w:b/>
                <w:sz w:val="21"/>
              </w:rPr>
              <w:t>采集数据</w:t>
            </w:r>
          </w:p>
        </w:tc>
        <w:tc>
          <w:tcPr>
            <w:tcW w:type="dxa" w:w="2736"/>
            <w:shd w:fill="F2F2F2"/>
            <w:vAlign w:val="center"/>
          </w:tcPr>
          <w:p>
            <w:pPr>
              <w:spacing w:before="0" w:after="0" w:line="276" w:lineRule="auto"/>
              <w:jc w:val="center"/>
            </w:pPr>
            <w:r/>
            <w:r>
              <w:rPr>
                <w:rFonts w:ascii="Calibri" w:hAnsi="Calibri" w:eastAsia="宋体"/>
                <w:b/>
                <w:sz w:val="21"/>
              </w:rPr>
              <w:t>作用</w:t>
            </w:r>
          </w:p>
        </w:tc>
      </w:tr>
      <w:tr>
        <w:tc>
          <w:tcPr>
            <w:tcW w:type="dxa" w:w="1512"/>
            <w:vAlign w:val="center"/>
          </w:tcPr>
          <w:p>
            <w:pPr>
              <w:spacing w:before="0" w:after="0" w:line="276" w:lineRule="auto"/>
              <w:jc w:val="left"/>
            </w:pPr>
            <w:r/>
            <w:r>
              <w:rPr>
                <w:rFonts w:ascii="Calibri" w:hAnsi="Calibri" w:eastAsia="宋体"/>
                <w:b w:val="0"/>
                <w:sz w:val="21"/>
              </w:rPr>
              <w:t>叶片结构</w:t>
            </w:r>
          </w:p>
        </w:tc>
        <w:tc>
          <w:tcPr>
            <w:tcW w:type="dxa" w:w="2880"/>
            <w:vAlign w:val="center"/>
          </w:tcPr>
          <w:p>
            <w:pPr>
              <w:spacing w:before="0" w:after="0" w:line="276" w:lineRule="auto"/>
              <w:jc w:val="left"/>
            </w:pPr>
            <w:r/>
            <w:r>
              <w:rPr>
                <w:rFonts w:ascii="Calibri" w:hAnsi="Calibri" w:eastAsia="宋体"/>
                <w:b w:val="0"/>
                <w:sz w:val="21"/>
              </w:rPr>
              <w:t>FBG光纤加速度传感器；FBG应变/载荷传感器；叶片侧光纤光栅解调仪</w:t>
            </w:r>
          </w:p>
        </w:tc>
        <w:tc>
          <w:tcPr>
            <w:tcW w:type="dxa" w:w="2232"/>
            <w:vAlign w:val="center"/>
          </w:tcPr>
          <w:p>
            <w:pPr>
              <w:spacing w:before="0" w:after="0" w:line="276" w:lineRule="auto"/>
              <w:jc w:val="left"/>
            </w:pPr>
            <w:r/>
            <w:r>
              <w:rPr>
                <w:rFonts w:ascii="Calibri" w:hAnsi="Calibri" w:eastAsia="宋体"/>
                <w:b w:val="0"/>
                <w:sz w:val="21"/>
              </w:rPr>
              <w:t>叶片振动加速度、根部应变、载荷变化、模态响应</w:t>
            </w:r>
          </w:p>
        </w:tc>
        <w:tc>
          <w:tcPr>
            <w:tcW w:type="dxa" w:w="2736"/>
            <w:vAlign w:val="center"/>
          </w:tcPr>
          <w:p>
            <w:pPr>
              <w:spacing w:before="0" w:after="0" w:line="276" w:lineRule="auto"/>
              <w:jc w:val="left"/>
            </w:pPr>
            <w:r/>
            <w:r>
              <w:rPr>
                <w:rFonts w:ascii="Calibri" w:hAnsi="Calibri" w:eastAsia="宋体"/>
                <w:b w:val="0"/>
                <w:sz w:val="21"/>
              </w:rPr>
              <w:t>识别叶片结构损伤、异常振动、载荷突变和疲劳风险。</w:t>
            </w:r>
          </w:p>
        </w:tc>
      </w:tr>
      <w:tr>
        <w:tc>
          <w:tcPr>
            <w:tcW w:type="dxa" w:w="1512"/>
            <w:vAlign w:val="center"/>
          </w:tcPr>
          <w:p>
            <w:pPr>
              <w:spacing w:before="0" w:after="0" w:line="276" w:lineRule="auto"/>
              <w:jc w:val="left"/>
            </w:pPr>
            <w:r/>
            <w:r>
              <w:rPr>
                <w:rFonts w:ascii="Calibri" w:hAnsi="Calibri" w:eastAsia="宋体"/>
                <w:b w:val="0"/>
                <w:sz w:val="21"/>
              </w:rPr>
              <w:t>塔筒全域</w:t>
            </w:r>
          </w:p>
        </w:tc>
        <w:tc>
          <w:tcPr>
            <w:tcW w:type="dxa" w:w="2880"/>
            <w:vAlign w:val="center"/>
          </w:tcPr>
          <w:p>
            <w:pPr>
              <w:spacing w:before="0" w:after="0" w:line="276" w:lineRule="auto"/>
              <w:jc w:val="left"/>
            </w:pPr>
            <w:r/>
            <w:r>
              <w:rPr>
                <w:rFonts w:ascii="Calibri" w:hAnsi="Calibri" w:eastAsia="宋体"/>
                <w:b w:val="0"/>
                <w:sz w:val="21"/>
              </w:rPr>
              <w:t>BOTDA分布式光纤传感系统；传感光缆；BOTDA解调主机</w:t>
            </w:r>
          </w:p>
        </w:tc>
        <w:tc>
          <w:tcPr>
            <w:tcW w:type="dxa" w:w="2232"/>
            <w:vAlign w:val="center"/>
          </w:tcPr>
          <w:p>
            <w:pPr>
              <w:spacing w:before="0" w:after="0" w:line="276" w:lineRule="auto"/>
              <w:jc w:val="left"/>
            </w:pPr>
            <w:r/>
            <w:r>
              <w:rPr>
                <w:rFonts w:ascii="Calibri" w:hAnsi="Calibri" w:eastAsia="宋体"/>
                <w:b w:val="0"/>
                <w:sz w:val="21"/>
              </w:rPr>
              <w:t>塔筒全高度应变分布、温度分布、局部应变集中趋势</w:t>
            </w:r>
          </w:p>
        </w:tc>
        <w:tc>
          <w:tcPr>
            <w:tcW w:type="dxa" w:w="2736"/>
            <w:vAlign w:val="center"/>
          </w:tcPr>
          <w:p>
            <w:pPr>
              <w:spacing w:before="0" w:after="0" w:line="276" w:lineRule="auto"/>
              <w:jc w:val="left"/>
            </w:pPr>
            <w:r/>
            <w:r>
              <w:rPr>
                <w:rFonts w:ascii="Calibri" w:hAnsi="Calibri" w:eastAsia="宋体"/>
                <w:b w:val="0"/>
                <w:sz w:val="21"/>
              </w:rPr>
              <w:t>实现塔筒结构健康全域巡查，发现法兰、基础段和塔节连接处潜在风险。</w:t>
            </w:r>
          </w:p>
        </w:tc>
      </w:tr>
      <w:tr>
        <w:tc>
          <w:tcPr>
            <w:tcW w:type="dxa" w:w="1512"/>
            <w:vAlign w:val="center"/>
          </w:tcPr>
          <w:p>
            <w:pPr>
              <w:spacing w:before="0" w:after="0" w:line="276" w:lineRule="auto"/>
              <w:jc w:val="left"/>
            </w:pPr>
            <w:r/>
            <w:r>
              <w:rPr>
                <w:rFonts w:ascii="Calibri" w:hAnsi="Calibri" w:eastAsia="宋体"/>
                <w:b w:val="0"/>
                <w:sz w:val="21"/>
              </w:rPr>
              <w:t>塔筒关键测点</w:t>
            </w:r>
          </w:p>
        </w:tc>
        <w:tc>
          <w:tcPr>
            <w:tcW w:type="dxa" w:w="2880"/>
            <w:vAlign w:val="center"/>
          </w:tcPr>
          <w:p>
            <w:pPr>
              <w:spacing w:before="0" w:after="0" w:line="276" w:lineRule="auto"/>
              <w:jc w:val="left"/>
            </w:pPr>
            <w:r/>
            <w:r>
              <w:rPr>
                <w:rFonts w:ascii="Calibri" w:hAnsi="Calibri" w:eastAsia="宋体"/>
                <w:b w:val="0"/>
                <w:sz w:val="21"/>
              </w:rPr>
              <w:t>点式FBG应变传感器；FBG温度补偿传感器；塔筒光纤光栅解调仪</w:t>
            </w:r>
          </w:p>
        </w:tc>
        <w:tc>
          <w:tcPr>
            <w:tcW w:type="dxa" w:w="2232"/>
            <w:vAlign w:val="center"/>
          </w:tcPr>
          <w:p>
            <w:pPr>
              <w:spacing w:before="0" w:after="0" w:line="276" w:lineRule="auto"/>
              <w:jc w:val="left"/>
            </w:pPr>
            <w:r/>
            <w:r>
              <w:rPr>
                <w:rFonts w:ascii="Calibri" w:hAnsi="Calibri" w:eastAsia="宋体"/>
                <w:b w:val="0"/>
                <w:sz w:val="21"/>
              </w:rPr>
              <w:t>关键截面应变、温度补偿数据、局部载荷响应</w:t>
            </w:r>
          </w:p>
        </w:tc>
        <w:tc>
          <w:tcPr>
            <w:tcW w:type="dxa" w:w="2736"/>
            <w:vAlign w:val="center"/>
          </w:tcPr>
          <w:p>
            <w:pPr>
              <w:spacing w:before="0" w:after="0" w:line="276" w:lineRule="auto"/>
              <w:jc w:val="left"/>
            </w:pPr>
            <w:r/>
            <w:r>
              <w:rPr>
                <w:rFonts w:ascii="Calibri" w:hAnsi="Calibri" w:eastAsia="宋体"/>
                <w:b w:val="0"/>
                <w:sz w:val="21"/>
              </w:rPr>
              <w:t>补足分布式监测精度，支撑关键承载区高精度预警。</w:t>
            </w:r>
          </w:p>
        </w:tc>
      </w:tr>
      <w:tr>
        <w:tc>
          <w:tcPr>
            <w:tcW w:type="dxa" w:w="1512"/>
            <w:vAlign w:val="center"/>
          </w:tcPr>
          <w:p>
            <w:pPr>
              <w:spacing w:before="0" w:after="0" w:line="276" w:lineRule="auto"/>
              <w:jc w:val="left"/>
            </w:pPr>
            <w:r/>
            <w:r>
              <w:rPr>
                <w:rFonts w:ascii="Calibri" w:hAnsi="Calibri" w:eastAsia="宋体"/>
                <w:b w:val="0"/>
                <w:sz w:val="21"/>
              </w:rPr>
              <w:t>传动链与机舱</w:t>
            </w:r>
          </w:p>
        </w:tc>
        <w:tc>
          <w:tcPr>
            <w:tcW w:type="dxa" w:w="2880"/>
            <w:vAlign w:val="center"/>
          </w:tcPr>
          <w:p>
            <w:pPr>
              <w:spacing w:before="0" w:after="0" w:line="276" w:lineRule="auto"/>
              <w:jc w:val="left"/>
            </w:pPr>
            <w:r/>
            <w:r>
              <w:rPr>
                <w:rFonts w:ascii="Calibri" w:hAnsi="Calibri" w:eastAsia="宋体"/>
                <w:b w:val="0"/>
                <w:sz w:val="21"/>
              </w:rPr>
              <w:t>振动加速度传感器、转速/扭矩信号、温度信号、声学或噪声传感器、SCADA接口</w:t>
            </w:r>
          </w:p>
        </w:tc>
        <w:tc>
          <w:tcPr>
            <w:tcW w:type="dxa" w:w="2232"/>
            <w:vAlign w:val="center"/>
          </w:tcPr>
          <w:p>
            <w:pPr>
              <w:spacing w:before="0" w:after="0" w:line="276" w:lineRule="auto"/>
              <w:jc w:val="left"/>
            </w:pPr>
            <w:r/>
            <w:r>
              <w:rPr>
                <w:rFonts w:ascii="Calibri" w:hAnsi="Calibri" w:eastAsia="宋体"/>
                <w:b w:val="0"/>
                <w:sz w:val="21"/>
              </w:rPr>
              <w:t>轴承/齿轮箱振动、转速、扭矩、温度、声学异常、运行工况</w:t>
            </w:r>
          </w:p>
        </w:tc>
        <w:tc>
          <w:tcPr>
            <w:tcW w:type="dxa" w:w="2736"/>
            <w:vAlign w:val="center"/>
          </w:tcPr>
          <w:p>
            <w:pPr>
              <w:spacing w:before="0" w:after="0" w:line="276" w:lineRule="auto"/>
              <w:jc w:val="left"/>
            </w:pPr>
            <w:r/>
            <w:r>
              <w:rPr>
                <w:rFonts w:ascii="Calibri" w:hAnsi="Calibri" w:eastAsia="宋体"/>
                <w:b w:val="0"/>
                <w:sz w:val="21"/>
              </w:rPr>
              <w:t>支撑主轴承、齿轮箱、发电机等设备隐性缺陷识别与故障定位。</w:t>
            </w:r>
          </w:p>
        </w:tc>
      </w:tr>
      <w:tr>
        <w:tc>
          <w:tcPr>
            <w:tcW w:type="dxa" w:w="1512"/>
            <w:vAlign w:val="center"/>
          </w:tcPr>
          <w:p>
            <w:pPr>
              <w:spacing w:before="0" w:after="0" w:line="276" w:lineRule="auto"/>
              <w:jc w:val="left"/>
            </w:pPr>
            <w:r/>
            <w:r>
              <w:rPr>
                <w:rFonts w:ascii="Calibri" w:hAnsi="Calibri" w:eastAsia="宋体"/>
                <w:b w:val="0"/>
                <w:sz w:val="21"/>
              </w:rPr>
              <w:t>海洋环境</w:t>
            </w:r>
          </w:p>
        </w:tc>
        <w:tc>
          <w:tcPr>
            <w:tcW w:type="dxa" w:w="2880"/>
            <w:vAlign w:val="center"/>
          </w:tcPr>
          <w:p>
            <w:pPr>
              <w:spacing w:before="0" w:after="0" w:line="276" w:lineRule="auto"/>
              <w:jc w:val="left"/>
            </w:pPr>
            <w:r/>
            <w:r>
              <w:rPr>
                <w:rFonts w:ascii="Calibri" w:hAnsi="Calibri" w:eastAsia="宋体"/>
                <w:b w:val="0"/>
                <w:sz w:val="21"/>
              </w:rPr>
              <w:t>风速风向、浪高、流速、温湿度、盐雾、雷电或气象海况数据接口</w:t>
            </w:r>
          </w:p>
        </w:tc>
        <w:tc>
          <w:tcPr>
            <w:tcW w:type="dxa" w:w="2232"/>
            <w:vAlign w:val="center"/>
          </w:tcPr>
          <w:p>
            <w:pPr>
              <w:spacing w:before="0" w:after="0" w:line="276" w:lineRule="auto"/>
              <w:jc w:val="left"/>
            </w:pPr>
            <w:r/>
            <w:r>
              <w:rPr>
                <w:rFonts w:ascii="Calibri" w:hAnsi="Calibri" w:eastAsia="宋体"/>
                <w:b w:val="0"/>
                <w:sz w:val="21"/>
              </w:rPr>
              <w:t>风、浪、流、雷暴、盐雾、能见度和海况等级</w:t>
            </w:r>
          </w:p>
        </w:tc>
        <w:tc>
          <w:tcPr>
            <w:tcW w:type="dxa" w:w="2736"/>
            <w:vAlign w:val="center"/>
          </w:tcPr>
          <w:p>
            <w:pPr>
              <w:spacing w:before="0" w:after="0" w:line="276" w:lineRule="auto"/>
              <w:jc w:val="left"/>
            </w:pPr>
            <w:r/>
            <w:r>
              <w:rPr>
                <w:rFonts w:ascii="Calibri" w:hAnsi="Calibri" w:eastAsia="宋体"/>
                <w:b w:val="0"/>
                <w:sz w:val="21"/>
              </w:rPr>
              <w:t>支撑环境风险评估、台风雷暴场景预警和运维窗口判断。</w:t>
            </w:r>
          </w:p>
        </w:tc>
      </w:tr>
      <w:tr>
        <w:tc>
          <w:tcPr>
            <w:tcW w:type="dxa" w:w="1512"/>
            <w:vAlign w:val="center"/>
          </w:tcPr>
          <w:p>
            <w:pPr>
              <w:spacing w:before="0" w:after="0" w:line="276" w:lineRule="auto"/>
              <w:jc w:val="left"/>
            </w:pPr>
            <w:r/>
            <w:r>
              <w:rPr>
                <w:rFonts w:ascii="Calibri" w:hAnsi="Calibri" w:eastAsia="宋体"/>
                <w:b w:val="0"/>
                <w:sz w:val="21"/>
              </w:rPr>
              <w:t>边缘与回传</w:t>
            </w:r>
          </w:p>
        </w:tc>
        <w:tc>
          <w:tcPr>
            <w:tcW w:type="dxa" w:w="2880"/>
            <w:vAlign w:val="center"/>
          </w:tcPr>
          <w:p>
            <w:pPr>
              <w:spacing w:before="0" w:after="0" w:line="276" w:lineRule="auto"/>
              <w:jc w:val="left"/>
            </w:pPr>
            <w:r/>
            <w:r>
              <w:rPr>
                <w:rFonts w:ascii="Calibri" w:hAnsi="Calibri" w:eastAsia="宋体"/>
                <w:b w:val="0"/>
                <w:sz w:val="21"/>
              </w:rPr>
              <w:t>轮毂/机舱解调单元、工业交换机、边缘网关、主控系统接口</w:t>
            </w:r>
          </w:p>
        </w:tc>
        <w:tc>
          <w:tcPr>
            <w:tcW w:type="dxa" w:w="2232"/>
            <w:vAlign w:val="center"/>
          </w:tcPr>
          <w:p>
            <w:pPr>
              <w:spacing w:before="0" w:after="0" w:line="276" w:lineRule="auto"/>
              <w:jc w:val="left"/>
            </w:pPr>
            <w:r/>
            <w:r>
              <w:rPr>
                <w:rFonts w:ascii="Calibri" w:hAnsi="Calibri" w:eastAsia="宋体"/>
                <w:b w:val="0"/>
                <w:sz w:val="21"/>
              </w:rPr>
              <w:t>传感器解调数据、设备状态数据、告警数据和链路状态</w:t>
            </w:r>
          </w:p>
        </w:tc>
        <w:tc>
          <w:tcPr>
            <w:tcW w:type="dxa" w:w="2736"/>
            <w:vAlign w:val="center"/>
          </w:tcPr>
          <w:p>
            <w:pPr>
              <w:spacing w:before="0" w:after="0" w:line="276" w:lineRule="auto"/>
              <w:jc w:val="left"/>
            </w:pPr>
            <w:r/>
            <w:r>
              <w:rPr>
                <w:rFonts w:ascii="Calibri" w:hAnsi="Calibri" w:eastAsia="宋体"/>
                <w:b w:val="0"/>
                <w:sz w:val="21"/>
              </w:rPr>
              <w:t>实现多源数据汇聚、缓存补传、断点续传和远程运维中心接入。</w:t>
            </w:r>
          </w:p>
        </w:tc>
      </w:tr>
    </w:tbl>
    <w:p>
      <w:pPr>
        <w:spacing w:after="80"/>
      </w:pPr>
    </w:p>
    <w:p>
      <w:pPr>
        <w:spacing w:before="0" w:after="120" w:line="300" w:lineRule="auto"/>
        <w:ind w:firstLine="420"/>
      </w:pPr>
      <w:r>
        <w:rPr>
          <w:rFonts w:ascii="Calibri" w:hAnsi="Calibri" w:eastAsia="宋体"/>
          <w:sz w:val="22"/>
        </w:rPr>
        <w:t>数据链路上，叶片侧传感器通过专用铠装光缆连接至轮毂内光纤光栅解调仪，解调后经有线或无线方式接入机舱网络；塔筒点式FBG传感器和BOTDA分布式传感光缆接入机舱内解调主机，经中央机舱交换机上传至主控系统和边缘网关；环境与SCADA数据通过标准接口汇入统一数据平台，为后续诊断模型和风险评估提供同步数据源。</w:t>
      </w:r>
    </w:p>
    <w:p>
      <w:pPr>
        <w:spacing w:before="240" w:after="120"/>
      </w:pPr>
      <w:r>
        <w:rPr>
          <w:rFonts w:ascii="Calibri" w:hAnsi="Calibri" w:eastAsia="黑体"/>
          <w:b/>
          <w:color w:val="000000"/>
          <w:sz w:val="26"/>
        </w:rPr>
        <w:t>4.2 多模态融合故障诊断模型研发（重点）</w:t>
      </w:r>
    </w:p>
    <w:p>
      <w:pPr>
        <w:spacing w:before="0" w:after="120" w:line="300" w:lineRule="auto"/>
        <w:ind w:firstLine="420"/>
      </w:pPr>
      <w:r>
        <w:rPr>
          <w:rFonts w:ascii="Calibri" w:hAnsi="Calibri" w:eastAsia="宋体"/>
          <w:sz w:val="22"/>
        </w:rPr>
        <w:t>面向海上风电设备隐性缺陷预测与故障定位需求，项目构建“工况识别—特征提取—证据融合—故障判别—可解释输出”的诊断链条。模型以振动频谱、包络谱、阶次谱、声学特征、结构应变、转速、扭矩、SCADA运行参数和海洋环境载荷为核心输入，实现对主轴承、齿轮箱、发电机轴承、叶片和塔筒等关键对象异常状态的综合研判。</w:t>
      </w:r>
    </w:p>
    <w:p>
      <w:pPr>
        <w:spacing w:before="0" w:after="120" w:line="300" w:lineRule="auto"/>
        <w:ind w:firstLine="420"/>
      </w:pPr>
      <w:r>
        <w:rPr>
          <w:rFonts w:ascii="Calibri" w:hAnsi="Calibri" w:eastAsia="宋体"/>
          <w:sz w:val="22"/>
        </w:rPr>
        <w:t>算法总体上采用“机理约束+数据驱动+专家规则”的混合诊断路线。对于主轴承、齿轮箱和发电机轴承等旋转部件，优先利用转速、齿轮齿数、轴承几何参数和传动比计算故障特征频率，建立参考频率库；对于叶片、塔筒等结构部件，则结合光纤应变、加速度响应、温度补偿和载荷变化建立结构健康基线。模型训练和推理过程中，不直接把多源数据简单拼接，而是先建立工况、部件、测点和故障机理之间的对应关系，再开展特征提取、证据融合和风险分级。</w:t>
      </w:r>
    </w:p>
    <w:p>
      <w:pPr>
        <w:spacing w:before="0" w:after="120" w:line="300" w:lineRule="auto"/>
        <w:ind w:firstLine="420"/>
      </w:pPr>
      <w:r>
        <w:rPr>
          <w:rFonts w:ascii="Calibri" w:hAnsi="Calibri" w:eastAsia="宋体"/>
          <w:sz w:val="22"/>
        </w:rPr>
        <w:t>海上风机运行状态受风速、浪流、湍流、偏航、变桨、启停机和限功率策略影响明显，同一部件在不同工况下的振动幅值和频谱结构差异较大。因此，诊断模型首先建立面向工况的样本整理方法，对传感器数据、SCADA数据、光纤解调数据和环境数据进行统一时间戳管理、采样率匹配、缺失值标记、异常点剔除和质量分级。对高速振动和声学信号，保留原始波形及分段统计结果；对SCADA、风-浪-流和光纤应变等低频数据，采用滑动窗口和事件窗口方式与高频特征对齐。</w:t>
      </w:r>
    </w:p>
    <w:p>
      <w:pPr>
        <w:spacing w:before="0" w:after="120" w:line="300" w:lineRule="auto"/>
        <w:ind w:firstLine="420"/>
      </w:pPr>
      <w:r>
        <w:rPr>
          <w:rFonts w:ascii="Calibri" w:hAnsi="Calibri" w:eastAsia="宋体"/>
          <w:sz w:val="22"/>
        </w:rPr>
        <w:t>工况识别方面，拟根据转速、功率、风速、桨距角、偏航状态、发电机温度、机舱加速度和环境载荷等变量，将样本划分为并网稳定运行、变速变载、启停机、限功率、强风浪扰动和异常过渡等状态。后续频谱阈值、模型基线和告警规则均按工况自适应调整，避免把风浪扰动、启停冲击或控制策略变化误判为设备故障。对于缺少完整标注的数据，采用无监督聚类和专家规则相结合的方式形成工况标签，再由现场记录和检修记录进行校核。</w:t>
      </w:r>
    </w:p>
    <w:p>
      <w:pPr>
        <w:spacing w:before="0" w:after="120" w:line="300" w:lineRule="auto"/>
        <w:ind w:firstLine="420"/>
      </w:pPr>
      <w:r>
        <w:rPr>
          <w:rFonts w:ascii="Calibri" w:hAnsi="Calibri" w:eastAsia="宋体"/>
          <w:sz w:val="22"/>
        </w:rPr>
        <w:t>振动特征方面，项目拟从时域、频域和时频域三个层次提取诊断信息。时域特征包括均方根值、峰值、峭度、偏度、峰值因子、脉冲因子和裕度因子，用于识别冲击类异常和能量突变；频域特征包括主频、倍频、边频带、能量分布、谱峭度和特征频率幅值，用于识别轴承外圈、内圈、滚动体、保持架和齿轮啮合异常；时频特征可采用短时傅里叶、小波包或经验模态分解等方法刻画非平稳冲击，提升弱故障早期识别能力。</w:t>
      </w:r>
    </w:p>
    <w:p>
      <w:pPr>
        <w:spacing w:before="0" w:after="120" w:line="300" w:lineRule="auto"/>
        <w:ind w:firstLine="420"/>
      </w:pPr>
      <w:r>
        <w:rPr>
          <w:rFonts w:ascii="Calibri" w:hAnsi="Calibri" w:eastAsia="宋体"/>
          <w:sz w:val="22"/>
        </w:rPr>
        <w:t>声学特征方面，针对海上风机机舱环境噪声强、背景声源复杂的问题，拟采用带通滤波、谱减法、包络解调和梅尔频率倒谱系数等方法提取异常声纹特征，并与振动冲击和转速工况进行同步比对。声学数据不单独作为最终判据，而是作为振动和SCADA异常的辅助证据，用于增强齿轮啮合异常、轴承早期剥落、润滑不足和局部摩擦等故障场景的识别可信度。</w:t>
      </w:r>
    </w:p>
    <w:p>
      <w:pPr>
        <w:spacing w:before="0" w:after="120" w:line="300" w:lineRule="auto"/>
        <w:ind w:firstLine="420"/>
      </w:pPr>
      <w:r>
        <w:rPr>
          <w:rFonts w:ascii="Calibri" w:hAnsi="Calibri" w:eastAsia="宋体"/>
          <w:sz w:val="22"/>
        </w:rPr>
        <w:t>结构特征方面，叶片FBG加速度和应变载荷数据可用于提取模态频率变化、振型响应、根部载荷波动和疲劳累积趋势；塔筒BOTDA分布式光纤数据可用于提取沿高度方向的应变分布、温度分布和局部应变集中区域；点式FBG应变与温度补偿数据可用于校正关键截面的结构响应。通过将结构特征与风速、浪高、机组功率和偏航状态联合分析，可区分环境载荷引起的正常响应与结构损伤引起的异常响应。</w:t>
      </w:r>
    </w:p>
    <w:p>
      <w:pPr>
        <w:spacing w:before="0" w:after="120" w:line="300" w:lineRule="auto"/>
        <w:ind w:firstLine="420"/>
      </w:pPr>
      <w:r>
        <w:rPr>
          <w:rFonts w:ascii="Calibri" w:hAnsi="Calibri" w:eastAsia="宋体"/>
          <w:sz w:val="22"/>
        </w:rPr>
        <w:t>多模态融合拟分为特征层、证据层和决策层三个层次。特征层融合主要解决不同数据源尺度、采样率和物理含义不一致的问题，将振动冲击、声学声纹、应变趋势、温度补偿、SCADA工况和环境载荷统一映射到部件-测点-时间窗口的特征向量中。对于高频振动和声学数据，保留与故障频率相关的局部特征；对于低频工况和环境数据，重点保留趋势、均值、波动率和极值信息。</w:t>
      </w:r>
    </w:p>
    <w:p>
      <w:pPr>
        <w:spacing w:before="0" w:after="120" w:line="300" w:lineRule="auto"/>
        <w:ind w:firstLine="420"/>
      </w:pPr>
      <w:r>
        <w:rPr>
          <w:rFonts w:ascii="Calibri" w:hAnsi="Calibri" w:eastAsia="宋体"/>
          <w:sz w:val="22"/>
        </w:rPr>
        <w:t>证据层融合主要解决单一数据源误报漏报的问题。项目拟构建证据权重机制：当振动特征频率、声学异常、温升趋势和SCADA异常在同一部件、同一时间窗口内相互印证时，提高故障置信度；当异常只出现在单一通道且与风浪扰动、启停机或传感器质量下降高度相关时，降低告警等级或进入待复核状态。证据融合可采用贝叶斯更新、D-S证据理论、加权规则评分或可解释集成学习等方式实现，并保留每条证据对最终结论的贡献。</w:t>
      </w:r>
    </w:p>
    <w:p>
      <w:pPr>
        <w:spacing w:before="0" w:after="120" w:line="300" w:lineRule="auto"/>
        <w:ind w:firstLine="420"/>
      </w:pPr>
      <w:r>
        <w:rPr>
          <w:rFonts w:ascii="Calibri" w:hAnsi="Calibri" w:eastAsia="宋体"/>
          <w:sz w:val="22"/>
        </w:rPr>
        <w:t>决策层融合面向现场应用输出结果。模型不追求单一算法形式，而是建立“规则模型+机器学习模型+趋势预测模型”的组合框架：规则模型负责识别明确的频率匹配和阈值越限；机器学习模型负责识别多变量耦合异常和复杂模式；趋势预测模型负责评估异常发展速度和剩余风险窗口。三类模型结果通过置信度、严重度和可解释性进行统一评分，最终输出故障部件、故障类型、风险等级、证据链和处置建议。</w:t>
      </w:r>
    </w:p>
    <w:p>
      <w:pPr>
        <w:spacing w:before="0" w:after="120" w:line="300" w:lineRule="auto"/>
        <w:ind w:firstLine="420"/>
      </w:pPr>
      <w:r>
        <w:rPr>
          <w:rFonts w:ascii="Calibri" w:hAnsi="Calibri" w:eastAsia="宋体"/>
          <w:sz w:val="22"/>
        </w:rPr>
        <w:t>隐性缺陷预测重点关注尚未触发传统告警但已出现趋势性劣化的场景。项目拟建立基于健康基线的偏离度模型，对同一机组历史稳定工况、同场站相似机组和同类部件参考样本进行对比，形成部件健康指数。健康指数综合考虑频谱特征偏移、冲击能量增长、温度异常、应变集中、载荷波动和告警历史，当指标持续偏离基线且多源证据一致时，识别为早期隐性缺陷。</w:t>
      </w:r>
    </w:p>
    <w:p>
      <w:pPr>
        <w:spacing w:before="0" w:after="120" w:line="300" w:lineRule="auto"/>
        <w:ind w:firstLine="420"/>
      </w:pPr>
      <w:r>
        <w:rPr>
          <w:rFonts w:ascii="Calibri" w:hAnsi="Calibri" w:eastAsia="宋体"/>
          <w:sz w:val="22"/>
        </w:rPr>
        <w:t>故障定位方面，旋转部件通过参考频率匹配和传动链拓扑定位到主轴承、齿轮箱级次、发电机轴承等对象；结构部件通过测点空间位置、应变分布梯度和模态响应变化定位到叶片根部、塔筒法兰、塔节连接处或局部高应变区域。对于难以直接定位的复合异常，系统输出候选部件排序及支撑证据，给出需要人工复核的测点、频段和时间窗口，避免以过度确定的结论误导运维决策。</w:t>
      </w:r>
    </w:p>
    <w:p>
      <w:pPr>
        <w:spacing w:before="0" w:after="120" w:line="300" w:lineRule="auto"/>
        <w:ind w:firstLine="420"/>
      </w:pPr>
      <w:r>
        <w:rPr>
          <w:rFonts w:ascii="Calibri" w:hAnsi="Calibri" w:eastAsia="宋体"/>
          <w:sz w:val="22"/>
        </w:rPr>
        <w:t>可解释输出是本项目区别于一般黑盒诊断模型的重要要求。每次诊断结论均应附带异常发生时间、关联工况、主要异常特征、参考频率匹配结果、声学或结构证据、环境背景、模型置信度和建议处置措施。对于高等级风险，系统应能回溯原始波形、频谱图、包络谱、趋势曲线和相关测点数据，支撑运维人员复核和专家会商。</w:t>
      </w:r>
    </w:p>
    <w:p>
      <w:pPr>
        <w:spacing w:before="0" w:after="120" w:line="300" w:lineRule="auto"/>
        <w:ind w:firstLine="420"/>
      </w:pPr>
      <w:r>
        <w:rPr>
          <w:rFonts w:ascii="Calibri" w:hAnsi="Calibri" w:eastAsia="宋体"/>
          <w:sz w:val="22"/>
        </w:rPr>
        <w:t>模型验证采用离线样本验证、半实物仿真验证和现场试运行验证相结合的方式开展。离线阶段重点评价异常识别准确率、误报率、漏报率、提前预警时间和证据链完整性；半实物阶段通过模拟转速波动、载荷变化、通信丢包和环境扰动检验模型鲁棒性；现场阶段重点考察告警是否能够转化为巡检、复核、限功率、停机保护或灾后复检建议。通过“算法指标+运维效果”双重评价，保证模型不仅能识别异常，而且能服务于海上风电场实际运维。</w:t>
      </w:r>
    </w:p>
    <w:p>
      <w:pPr>
        <w:spacing w:before="240" w:after="120"/>
      </w:pPr>
      <w:r>
        <w:rPr>
          <w:rFonts w:ascii="Calibri" w:hAnsi="Calibri" w:eastAsia="黑体"/>
          <w:b/>
          <w:color w:val="000000"/>
          <w:sz w:val="26"/>
        </w:rPr>
        <w:t>4.3 环境与设备耦合风险评估技术</w:t>
      </w:r>
    </w:p>
    <w:p>
      <w:pPr>
        <w:spacing w:before="0" w:after="120" w:line="300" w:lineRule="auto"/>
        <w:ind w:firstLine="420"/>
      </w:pPr>
      <w:r>
        <w:rPr>
          <w:rFonts w:ascii="Calibri" w:hAnsi="Calibri" w:eastAsia="宋体"/>
          <w:sz w:val="22"/>
        </w:rPr>
        <w:t>研究台风、雷暴、大浪、强流、高盐雾等海洋环境风险与设备健康状态之间的耦合关系，建立面向海上风电机组和场站的动态风险评估模型。模型综合考虑实时环境、短临预报、设备健康指数、故障发展趋势和运维可达性，输出单机、场站和区域层面的风险等级与优先级排序，为多级告警信号生成提供依据。</w:t>
      </w:r>
    </w:p>
    <w:p>
      <w:pPr>
        <w:spacing w:before="0" w:after="120" w:line="300" w:lineRule="auto"/>
        <w:ind w:firstLine="420"/>
      </w:pPr>
      <w:r>
        <w:rPr>
          <w:rFonts w:ascii="Calibri" w:hAnsi="Calibri" w:eastAsia="宋体"/>
          <w:sz w:val="22"/>
        </w:rPr>
        <w:t>风险评估方法拟采用“设备健康指数+环境风险指数+运维可达性指数”的组合模型。设备健康指数来自多模态诊断模型，反映关键部件当前状态和劣化趋势；环境风险指数来自风速、阵风、浪高、流速、雷暴概率、能见度和气象海况预报，反映外部扰动强度；运维可达性指数综合船舶窗口、人员到场、备件准备、通信链路和停机损失等因素，反映风险处置的可执行程度。三类指数通过权重规则、风险矩阵或分层评分模型融合，形成可随时间更新的动态风险值。</w:t>
      </w:r>
    </w:p>
    <w:p>
      <w:pPr>
        <w:spacing w:before="0" w:after="120" w:line="300" w:lineRule="auto"/>
        <w:ind w:firstLine="420"/>
      </w:pPr>
      <w:r>
        <w:rPr>
          <w:rFonts w:ascii="Calibri" w:hAnsi="Calibri" w:eastAsia="宋体"/>
          <w:sz w:val="22"/>
        </w:rPr>
        <w:t>在极端天气场景下，风险并非单纯由设备异常决定，而是由设备亚健康状态与外部环境共同放大。例如，叶片载荷波动叠加强风切变、塔筒局部应变集中叠加强浪、传动链温升叠加限功率运行、通信链路质量下降叠加关键告警，均可能使原本中等等级的设备异常上升为需要提前处置的高风险事件。因此，项目将构建典型耦合场景库，将单点告警转化为场站级风险排序，为灾前排查、灾中保护和灾后复检提供依据。</w:t>
      </w:r>
    </w:p>
    <w:p>
      <w:pPr>
        <w:pStyle w:val="ListBullet"/>
        <w:spacing w:after="80" w:line="290" w:lineRule="auto"/>
      </w:pPr>
      <w:r>
        <w:rPr>
          <w:rFonts w:ascii="Calibri" w:hAnsi="Calibri" w:eastAsia="宋体"/>
          <w:sz w:val="22"/>
        </w:rPr>
        <w:t>建立设备健康指数，融合关键部件状态、运行工况、历史告警和检修记录。</w:t>
      </w:r>
    </w:p>
    <w:p>
      <w:pPr>
        <w:pStyle w:val="ListBullet"/>
        <w:spacing w:after="80" w:line="290" w:lineRule="auto"/>
      </w:pPr>
      <w:r>
        <w:rPr>
          <w:rFonts w:ascii="Calibri" w:hAnsi="Calibri" w:eastAsia="宋体"/>
          <w:sz w:val="22"/>
        </w:rPr>
        <w:t>建立环境风险指数，融合风速、阵风、浪高、流速、雷暴概率、能见度和海况等级。</w:t>
      </w:r>
    </w:p>
    <w:p>
      <w:pPr>
        <w:pStyle w:val="ListBullet"/>
        <w:spacing w:after="80" w:line="290" w:lineRule="auto"/>
      </w:pPr>
      <w:r>
        <w:rPr>
          <w:rFonts w:ascii="Calibri" w:hAnsi="Calibri" w:eastAsia="宋体"/>
          <w:sz w:val="22"/>
        </w:rPr>
        <w:t>构建耦合风险矩阵，识别设备亚健康叠加强天气、通信不稳定叠加关键告警等高优先级场景。</w:t>
      </w:r>
    </w:p>
    <w:p>
      <w:pPr>
        <w:spacing w:before="240" w:after="120"/>
      </w:pPr>
      <w:r>
        <w:rPr>
          <w:rFonts w:ascii="Calibri" w:hAnsi="Calibri" w:eastAsia="黑体"/>
          <w:b/>
          <w:color w:val="000000"/>
          <w:sz w:val="26"/>
        </w:rPr>
        <w:t>4.4 分级预警与运维资源动态调度技术</w:t>
      </w:r>
    </w:p>
    <w:p>
      <w:pPr>
        <w:spacing w:before="0" w:after="120" w:line="300" w:lineRule="auto"/>
        <w:ind w:firstLine="420"/>
      </w:pPr>
      <w:r>
        <w:rPr>
          <w:rFonts w:ascii="Calibri" w:hAnsi="Calibri" w:eastAsia="宋体"/>
          <w:sz w:val="22"/>
        </w:rPr>
        <w:t>开发分级预警体系和运维辅助决策方法，依据实时环境与设备数据生成多级告警信号，并联动备件、船机、人力、出海窗口和应急预案等运维资源，动态优化运维资源调度方案。系统可根据风险等级形成巡检优先级、限功率运行、停机保护、灾前排查和灾后复检等建议，提升海上风电场抗灾策略调整与应急预案执行效率，形成从风险感知到决策的闭环管理。</w:t>
      </w:r>
    </w:p>
    <w:p>
      <w:pPr>
        <w:spacing w:before="0" w:after="120" w:line="300" w:lineRule="auto"/>
        <w:ind w:firstLine="420"/>
      </w:pPr>
      <w:r>
        <w:rPr>
          <w:rFonts w:ascii="Calibri" w:hAnsi="Calibri" w:eastAsia="宋体"/>
          <w:sz w:val="22"/>
        </w:rPr>
        <w:t>预警等级拟按照“提示、关注、警戒、严重”四级设置。提示级用于记录轻微偏离和数据质量异常，主要触发持续跟踪；关注级用于提示部件健康指数下降或环境风险升高，建议安排远程复核；警戒级用于多源证据一致、故障趋势明显或恶劣天气临近的场景，建议安排检修窗口、备件准备和运行策略调整；严重级用于关键部件高风险、环境风险强烈或运维窗口即将关闭的场景，建议启动应急预案、限功率运行、停机保护或灾后专项复检。</w:t>
      </w:r>
    </w:p>
    <w:p>
      <w:pPr>
        <w:spacing w:before="0" w:after="120" w:line="300" w:lineRule="auto"/>
        <w:ind w:firstLine="420"/>
      </w:pPr>
      <w:r>
        <w:rPr>
          <w:rFonts w:ascii="Calibri" w:hAnsi="Calibri" w:eastAsia="宋体"/>
          <w:sz w:val="22"/>
        </w:rPr>
        <w:t>运维资源动态调度方面，项目拟将风险排序与资源约束结合起来，建立面向海上风电场的处置优先级模型。模型输入包括机组风险等级、故障发展速度、停机损失、备件库存、人员能力、船舶可用性、出海窗口和天气预报，输出巡检顺序、远程复核任务、现场检修建议、备件准备清单和应急处置策略。对于多个机组同时告警的场景，系统不只按照告警时间排序，而是综合风险后果和处置可达性给出优先级，提升有限运维资源的使用效率。</w:t>
      </w:r>
    </w:p>
    <w:p>
      <w:pPr>
        <w:spacing w:before="0" w:after="120" w:line="300" w:lineRule="auto"/>
        <w:ind w:firstLine="420"/>
      </w:pPr>
      <w:r>
        <w:rPr>
          <w:rFonts w:ascii="Calibri" w:hAnsi="Calibri" w:eastAsia="宋体"/>
          <w:sz w:val="22"/>
        </w:rPr>
        <w:t>闭环管理方面，系统将记录告警生成、人工确认、处置执行、结果反馈和模型修正的全过程。运维人员完成复核或检修后，可将处置结论、故障原因、备件更换情况和复测数据回写到知识库，用于修正阈值、优化模型权重和更新故障样本。通过这一闭环机制，项目成果能够从一次性算法模型逐步沉淀为可持续迭代的海上风电风险评估与运维决策能力。</w:t>
      </w:r>
    </w:p>
    <w:p>
      <w:pPr>
        <w:spacing w:before="320" w:after="160"/>
      </w:pPr>
      <w:r>
        <w:rPr>
          <w:rFonts w:ascii="Calibri" w:hAnsi="Calibri" w:eastAsia="黑体"/>
          <w:b/>
          <w:color w:val="000000"/>
          <w:sz w:val="32"/>
        </w:rPr>
        <w:t>五、技术路线与实施方案</w:t>
      </w:r>
    </w:p>
    <w:p>
      <w:pPr>
        <w:spacing w:before="0" w:after="120" w:line="300" w:lineRule="auto"/>
        <w:ind w:firstLine="420"/>
      </w:pPr>
      <w:r>
        <w:rPr>
          <w:rFonts w:ascii="Calibri" w:hAnsi="Calibri" w:eastAsia="宋体"/>
          <w:sz w:val="22"/>
        </w:rPr>
        <w:t>项目采用“自适应监测网络—多源数据融合—多模态诊断定位—分级预警决策—运维闭环验证”的总体技术路线。首先围绕台风、雷暴等恶劣天气下风机运行数据稳定回传和全域风-浪-流立体感知，构建海洋环境自适应监测网络；其次融合结构传感、振动频谱、声学特征、SCADA和海洋环境数据，研发多模态融合故障诊断模型；最后建立分级预警与运维资源动态优化方法，在典型海况扰动、设备异常和应急处置场景中完成验证。</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F2F2F2"/>
            <w:vAlign w:val="center"/>
          </w:tcPr>
          <w:p>
            <w:pPr>
              <w:spacing w:before="0" w:after="0" w:line="276" w:lineRule="auto"/>
              <w:jc w:val="center"/>
            </w:pPr>
            <w:r/>
            <w:r>
              <w:rPr>
                <w:rFonts w:ascii="Calibri" w:hAnsi="Calibri" w:eastAsia="宋体"/>
                <w:b/>
                <w:sz w:val="21"/>
              </w:rPr>
              <w:t>层级</w:t>
            </w:r>
          </w:p>
        </w:tc>
        <w:tc>
          <w:tcPr>
            <w:tcW w:type="dxa" w:w="5472"/>
            <w:shd w:fill="F2F2F2"/>
            <w:vAlign w:val="center"/>
          </w:tcPr>
          <w:p>
            <w:pPr>
              <w:spacing w:before="0" w:after="0" w:line="276" w:lineRule="auto"/>
              <w:jc w:val="center"/>
            </w:pPr>
            <w:r/>
            <w:r>
              <w:rPr>
                <w:rFonts w:ascii="Calibri" w:hAnsi="Calibri" w:eastAsia="宋体"/>
                <w:b/>
                <w:sz w:val="21"/>
              </w:rPr>
              <w:t>建设重点</w:t>
            </w:r>
          </w:p>
        </w:tc>
        <w:tc>
          <w:tcPr>
            <w:tcW w:type="dxa" w:w="2448"/>
            <w:shd w:fill="F2F2F2"/>
            <w:vAlign w:val="center"/>
          </w:tcPr>
          <w:p>
            <w:pPr>
              <w:spacing w:before="0" w:after="0" w:line="276" w:lineRule="auto"/>
              <w:jc w:val="center"/>
            </w:pPr>
            <w:r/>
            <w:r>
              <w:rPr>
                <w:rFonts w:ascii="Calibri" w:hAnsi="Calibri" w:eastAsia="宋体"/>
                <w:b/>
                <w:sz w:val="21"/>
              </w:rPr>
              <w:t>形成能力</w:t>
            </w:r>
          </w:p>
        </w:tc>
      </w:tr>
      <w:tr>
        <w:tc>
          <w:tcPr>
            <w:tcW w:type="dxa" w:w="1440"/>
            <w:vAlign w:val="center"/>
          </w:tcPr>
          <w:p>
            <w:pPr>
              <w:spacing w:before="0" w:after="0" w:line="276" w:lineRule="auto"/>
              <w:jc w:val="left"/>
            </w:pPr>
            <w:r/>
            <w:r>
              <w:rPr>
                <w:rFonts w:ascii="Calibri" w:hAnsi="Calibri" w:eastAsia="宋体"/>
                <w:b w:val="0"/>
                <w:sz w:val="21"/>
              </w:rPr>
              <w:t>感知层</w:t>
            </w:r>
          </w:p>
        </w:tc>
        <w:tc>
          <w:tcPr>
            <w:tcW w:type="dxa" w:w="5472"/>
            <w:vAlign w:val="center"/>
          </w:tcPr>
          <w:p>
            <w:pPr>
              <w:spacing w:before="0" w:after="0" w:line="276" w:lineRule="auto"/>
              <w:jc w:val="left"/>
            </w:pPr>
            <w:r/>
            <w:r>
              <w:rPr>
                <w:rFonts w:ascii="Calibri" w:hAnsi="Calibri" w:eastAsia="宋体"/>
                <w:b w:val="0"/>
                <w:sz w:val="21"/>
              </w:rPr>
              <w:t>部署叶片FBG加速度/应变载荷传感、塔筒BOTDA分布式光纤传感、点式FBG应变与温度补偿传感，并接入传动链振动、转速扭矩、SCADA、声学特征和风-浪-流海洋环境数据</w:t>
            </w:r>
          </w:p>
        </w:tc>
        <w:tc>
          <w:tcPr>
            <w:tcW w:type="dxa" w:w="2448"/>
            <w:vAlign w:val="center"/>
          </w:tcPr>
          <w:p>
            <w:pPr>
              <w:spacing w:before="0" w:after="0" w:line="276" w:lineRule="auto"/>
              <w:jc w:val="left"/>
            </w:pPr>
            <w:r/>
            <w:r>
              <w:rPr>
                <w:rFonts w:ascii="Calibri" w:hAnsi="Calibri" w:eastAsia="宋体"/>
                <w:b w:val="0"/>
                <w:sz w:val="21"/>
              </w:rPr>
              <w:t>结构-设备-环境一体化感知能力</w:t>
            </w:r>
          </w:p>
        </w:tc>
      </w:tr>
      <w:tr>
        <w:tc>
          <w:tcPr>
            <w:tcW w:type="dxa" w:w="1440"/>
            <w:vAlign w:val="center"/>
          </w:tcPr>
          <w:p>
            <w:pPr>
              <w:spacing w:before="0" w:after="0" w:line="276" w:lineRule="auto"/>
              <w:jc w:val="left"/>
            </w:pPr>
            <w:r/>
            <w:r>
              <w:rPr>
                <w:rFonts w:ascii="Calibri" w:hAnsi="Calibri" w:eastAsia="宋体"/>
                <w:b w:val="0"/>
                <w:sz w:val="21"/>
              </w:rPr>
              <w:t>网络层</w:t>
            </w:r>
          </w:p>
        </w:tc>
        <w:tc>
          <w:tcPr>
            <w:tcW w:type="dxa" w:w="5472"/>
            <w:vAlign w:val="center"/>
          </w:tcPr>
          <w:p>
            <w:pPr>
              <w:spacing w:before="0" w:after="0" w:line="276" w:lineRule="auto"/>
              <w:jc w:val="left"/>
            </w:pPr>
            <w:r/>
            <w:r>
              <w:rPr>
                <w:rFonts w:ascii="Calibri" w:hAnsi="Calibri" w:eastAsia="宋体"/>
                <w:b w:val="0"/>
                <w:sz w:val="21"/>
              </w:rPr>
              <w:t>通过自组网、轮毂/机舱解调单元、铠装光缆、工业交换机、边缘网关和主控系统接口，构建数据汇聚、缓存补传、断点续传和链路状态评估机制</w:t>
            </w:r>
          </w:p>
        </w:tc>
        <w:tc>
          <w:tcPr>
            <w:tcW w:type="dxa" w:w="2448"/>
            <w:vAlign w:val="center"/>
          </w:tcPr>
          <w:p>
            <w:pPr>
              <w:spacing w:before="0" w:after="0" w:line="276" w:lineRule="auto"/>
              <w:jc w:val="left"/>
            </w:pPr>
            <w:r/>
            <w:r>
              <w:rPr>
                <w:rFonts w:ascii="Calibri" w:hAnsi="Calibri" w:eastAsia="宋体"/>
                <w:b w:val="0"/>
                <w:sz w:val="21"/>
              </w:rPr>
              <w:t>台风雷暴场景稳定回传能力</w:t>
            </w:r>
          </w:p>
        </w:tc>
      </w:tr>
      <w:tr>
        <w:tc>
          <w:tcPr>
            <w:tcW w:type="dxa" w:w="1440"/>
            <w:vAlign w:val="center"/>
          </w:tcPr>
          <w:p>
            <w:pPr>
              <w:spacing w:before="0" w:after="0" w:line="276" w:lineRule="auto"/>
              <w:jc w:val="left"/>
            </w:pPr>
            <w:r/>
            <w:r>
              <w:rPr>
                <w:rFonts w:ascii="Calibri" w:hAnsi="Calibri" w:eastAsia="宋体"/>
                <w:b w:val="0"/>
                <w:sz w:val="21"/>
              </w:rPr>
              <w:t>融合层</w:t>
            </w:r>
          </w:p>
        </w:tc>
        <w:tc>
          <w:tcPr>
            <w:tcW w:type="dxa" w:w="5472"/>
            <w:vAlign w:val="center"/>
          </w:tcPr>
          <w:p>
            <w:pPr>
              <w:spacing w:before="0" w:after="0" w:line="276" w:lineRule="auto"/>
              <w:jc w:val="left"/>
            </w:pPr>
            <w:r/>
            <w:r>
              <w:rPr>
                <w:rFonts w:ascii="Calibri" w:hAnsi="Calibri" w:eastAsia="宋体"/>
                <w:b w:val="0"/>
                <w:sz w:val="21"/>
              </w:rPr>
              <w:t>开展多源数据清洗、时间同步、质量标记和特征对齐，建立风机运行数据与风-浪-流环境要素的融合表达</w:t>
            </w:r>
          </w:p>
        </w:tc>
        <w:tc>
          <w:tcPr>
            <w:tcW w:type="dxa" w:w="2448"/>
            <w:vAlign w:val="center"/>
          </w:tcPr>
          <w:p>
            <w:pPr>
              <w:spacing w:before="0" w:after="0" w:line="276" w:lineRule="auto"/>
              <w:jc w:val="left"/>
            </w:pPr>
            <w:r/>
            <w:r>
              <w:rPr>
                <w:rFonts w:ascii="Calibri" w:hAnsi="Calibri" w:eastAsia="宋体"/>
                <w:b w:val="0"/>
                <w:sz w:val="21"/>
              </w:rPr>
              <w:t>多源数据融合与立体感知能力</w:t>
            </w:r>
          </w:p>
        </w:tc>
      </w:tr>
      <w:tr>
        <w:tc>
          <w:tcPr>
            <w:tcW w:type="dxa" w:w="1440"/>
            <w:vAlign w:val="center"/>
          </w:tcPr>
          <w:p>
            <w:pPr>
              <w:spacing w:before="0" w:after="0" w:line="276" w:lineRule="auto"/>
              <w:jc w:val="left"/>
            </w:pPr>
            <w:r/>
            <w:r>
              <w:rPr>
                <w:rFonts w:ascii="Calibri" w:hAnsi="Calibri" w:eastAsia="宋体"/>
                <w:b w:val="0"/>
                <w:sz w:val="21"/>
              </w:rPr>
              <w:t>诊断层</w:t>
            </w:r>
          </w:p>
        </w:tc>
        <w:tc>
          <w:tcPr>
            <w:tcW w:type="dxa" w:w="5472"/>
            <w:vAlign w:val="center"/>
          </w:tcPr>
          <w:p>
            <w:pPr>
              <w:spacing w:before="0" w:after="0" w:line="276" w:lineRule="auto"/>
              <w:jc w:val="left"/>
            </w:pPr>
            <w:r/>
            <w:r>
              <w:rPr>
                <w:rFonts w:ascii="Calibri" w:hAnsi="Calibri" w:eastAsia="宋体"/>
                <w:b w:val="0"/>
                <w:sz w:val="21"/>
              </w:rPr>
              <w:t>融合振动频谱、声学特征、结构应变、工况参数、机理规则和数据驱动模型，开展隐性缺陷预测与故障定位</w:t>
            </w:r>
          </w:p>
        </w:tc>
        <w:tc>
          <w:tcPr>
            <w:tcW w:type="dxa" w:w="2448"/>
            <w:vAlign w:val="center"/>
          </w:tcPr>
          <w:p>
            <w:pPr>
              <w:spacing w:before="0" w:after="0" w:line="276" w:lineRule="auto"/>
              <w:jc w:val="left"/>
            </w:pPr>
            <w:r/>
            <w:r>
              <w:rPr>
                <w:rFonts w:ascii="Calibri" w:hAnsi="Calibri" w:eastAsia="宋体"/>
                <w:b w:val="0"/>
                <w:sz w:val="21"/>
              </w:rPr>
              <w:t>多模态诊断定位能力</w:t>
            </w:r>
          </w:p>
        </w:tc>
      </w:tr>
      <w:tr>
        <w:tc>
          <w:tcPr>
            <w:tcW w:type="dxa" w:w="1440"/>
            <w:vAlign w:val="center"/>
          </w:tcPr>
          <w:p>
            <w:pPr>
              <w:spacing w:before="0" w:after="0" w:line="276" w:lineRule="auto"/>
              <w:jc w:val="left"/>
            </w:pPr>
            <w:r/>
            <w:r>
              <w:rPr>
                <w:rFonts w:ascii="Calibri" w:hAnsi="Calibri" w:eastAsia="宋体"/>
                <w:b w:val="0"/>
                <w:sz w:val="21"/>
              </w:rPr>
              <w:t>决策层</w:t>
            </w:r>
          </w:p>
        </w:tc>
        <w:tc>
          <w:tcPr>
            <w:tcW w:type="dxa" w:w="5472"/>
            <w:vAlign w:val="center"/>
          </w:tcPr>
          <w:p>
            <w:pPr>
              <w:spacing w:before="0" w:after="0" w:line="276" w:lineRule="auto"/>
              <w:jc w:val="left"/>
            </w:pPr>
            <w:r/>
            <w:r>
              <w:rPr>
                <w:rFonts w:ascii="Calibri" w:hAnsi="Calibri" w:eastAsia="宋体"/>
                <w:b w:val="0"/>
                <w:sz w:val="21"/>
              </w:rPr>
              <w:t>融合设备健康、环境扰动、运维可达性和故障趋势，生成多级告警、风险排序和运维资源动态调度建议</w:t>
            </w:r>
          </w:p>
        </w:tc>
        <w:tc>
          <w:tcPr>
            <w:tcW w:type="dxa" w:w="2448"/>
            <w:vAlign w:val="center"/>
          </w:tcPr>
          <w:p>
            <w:pPr>
              <w:spacing w:before="0" w:after="0" w:line="276" w:lineRule="auto"/>
              <w:jc w:val="left"/>
            </w:pPr>
            <w:r/>
            <w:r>
              <w:rPr>
                <w:rFonts w:ascii="Calibri" w:hAnsi="Calibri" w:eastAsia="宋体"/>
                <w:b w:val="0"/>
                <w:sz w:val="21"/>
              </w:rPr>
              <w:t>分级预警与闭环决策能力</w:t>
            </w:r>
          </w:p>
        </w:tc>
      </w:tr>
    </w:tbl>
    <w:p>
      <w:pPr>
        <w:spacing w:after="80"/>
      </w:pPr>
    </w:p>
    <w:p>
      <w:pPr>
        <w:spacing w:before="0" w:after="120" w:line="300" w:lineRule="auto"/>
        <w:ind w:firstLine="420"/>
      </w:pPr>
      <w:r>
        <w:rPr>
          <w:rFonts w:ascii="Calibri" w:hAnsi="Calibri" w:eastAsia="宋体"/>
          <w:sz w:val="22"/>
        </w:rPr>
        <w:t>实施过程中，首先完成设备对象、测点对象、数据对象和故障对象的统一建模。设备对象包括机组、叶片、塔筒、主轴承、齿轮箱、发电机、变流器和升压站等；测点对象包括FBG应变、FBG加速度、BOTDA分布式光纤、振动通道、声学通道、温度通道和SCADA变量；故障对象包括轴承剥落、齿轮啮合异常、润滑不足、叶片载荷异常、塔筒局部应变集中、通信链路异常和环境风险事件等。通过统一对象模型，解决后续算法无法准确关联部件、测点、工况和证据的问题。</w:t>
      </w:r>
    </w:p>
    <w:p>
      <w:pPr>
        <w:spacing w:before="0" w:after="120" w:line="300" w:lineRule="auto"/>
        <w:ind w:firstLine="420"/>
      </w:pPr>
      <w:r>
        <w:rPr>
          <w:rFonts w:ascii="Calibri" w:hAnsi="Calibri" w:eastAsia="宋体"/>
          <w:sz w:val="22"/>
        </w:rPr>
        <w:t>其次建设多源数据治理流程。数据进入平台后，按照“采集校验—时间同步—质量标记—特征计算—样本入库”的流程处理。对于高频振动和声学数据，重点保留原始波形索引、频谱结果、包络谱结果和事件片段；对于SCADA和环境数据，重点形成与诊断窗口对应的工况背景；对于光纤结构数据，重点形成空间位置、温度补偿、应变趋势和异常区段。该流程既服务模型训练，也服务报告追溯和专家复核。</w:t>
      </w:r>
    </w:p>
    <w:p>
      <w:pPr>
        <w:spacing w:before="0" w:after="120" w:line="300" w:lineRule="auto"/>
        <w:ind w:firstLine="420"/>
      </w:pPr>
      <w:r>
        <w:rPr>
          <w:rFonts w:ascii="Calibri" w:hAnsi="Calibri" w:eastAsia="宋体"/>
          <w:sz w:val="22"/>
        </w:rPr>
        <w:t>再次开展模型训练和规则固化。项目初期可采用专家规则和参考频率匹配形成基础诊断能力，在真实样本不足时保证系统可用；随着运行数据、故障样本和检修反馈积累，逐步引入异常检测、分类识别、趋势预测和证据融合模型，提高对早期隐性缺陷和复合异常的识别能力。对于每次模型更新，需保留版本、训练样本、适用部件、适用工况和验证结果，避免模型迭代后结论不可追溯。</w:t>
      </w:r>
    </w:p>
    <w:p>
      <w:pPr>
        <w:spacing w:before="0" w:after="120" w:line="300" w:lineRule="auto"/>
        <w:ind w:firstLine="420"/>
      </w:pPr>
      <w:r>
        <w:rPr>
          <w:rFonts w:ascii="Calibri" w:hAnsi="Calibri" w:eastAsia="宋体"/>
          <w:sz w:val="22"/>
        </w:rPr>
        <w:t>最后进行场景化验证。验证场景包括稳定运行状态下的健康基线建立、强风浪环境下的数据稳定回传、传动链弱故障特征识别、叶片和塔筒结构响应异常识别、台风雷暴临近时的风险升级、多个机组同时告警时的资源调度等。通过这些场景验证，证明系统能够从数据接入走到诊断结论、从风险判断走到运维建议，而不是停留在单一算法指标层面。</w:t>
      </w:r>
    </w:p>
    <w:p>
      <w:pPr>
        <w:spacing w:before="320" w:after="160"/>
      </w:pPr>
      <w:r>
        <w:rPr>
          <w:rFonts w:ascii="Calibri" w:hAnsi="Calibri" w:eastAsia="黑体"/>
          <w:b/>
          <w:color w:val="000000"/>
          <w:sz w:val="32"/>
        </w:rPr>
        <w:t>六、关键技术与创新点</w:t>
      </w:r>
    </w:p>
    <w:p>
      <w:pPr>
        <w:pStyle w:val="ListNumber"/>
        <w:spacing w:after="80" w:line="290" w:lineRule="auto"/>
      </w:pPr>
      <w:r>
        <w:rPr>
          <w:rFonts w:ascii="Calibri" w:hAnsi="Calibri" w:eastAsia="宋体"/>
          <w:sz w:val="22"/>
        </w:rPr>
        <w:t>面向海上风电复杂环境的可信感知体系。针对海上通信链路波动和环境扰动强的问题，构建数据质量评估、边缘缓存和稳定回传机制，为远程诊断提供可信数据基础。</w:t>
      </w:r>
    </w:p>
    <w:p>
      <w:pPr>
        <w:pStyle w:val="ListNumber"/>
        <w:spacing w:after="80" w:line="290" w:lineRule="auto"/>
      </w:pPr>
      <w:r>
        <w:rPr>
          <w:rFonts w:ascii="Calibri" w:hAnsi="Calibri" w:eastAsia="宋体"/>
          <w:sz w:val="22"/>
        </w:rPr>
        <w:t>多模态融合的设备状态认知方法。将振动、声学、运行工况、SCADA和海洋环境数据纳入统一诊断框架，提升早期隐性缺陷和复合异常识别能力。</w:t>
      </w:r>
    </w:p>
    <w:p>
      <w:pPr>
        <w:pStyle w:val="ListNumber"/>
        <w:spacing w:after="80" w:line="290" w:lineRule="auto"/>
      </w:pPr>
      <w:r>
        <w:rPr>
          <w:rFonts w:ascii="Calibri" w:hAnsi="Calibri" w:eastAsia="宋体"/>
          <w:sz w:val="22"/>
        </w:rPr>
        <w:t>机理规则与数据驱动结合的可解释诊断框架。把设备故障机理、专家经验和模型推理结果融合，形成可追溯、可复核的诊断证据链。</w:t>
      </w:r>
    </w:p>
    <w:p>
      <w:pPr>
        <w:pStyle w:val="ListNumber"/>
        <w:spacing w:after="80" w:line="290" w:lineRule="auto"/>
      </w:pPr>
      <w:r>
        <w:rPr>
          <w:rFonts w:ascii="Calibri" w:hAnsi="Calibri" w:eastAsia="宋体"/>
          <w:sz w:val="22"/>
        </w:rPr>
        <w:t>环境风险与设备健康耦合的动态评估方法。把海洋气象、设备健康、故障趋势和运维可达性统一建模，支持从单机状态判断到场站级风险排序。</w:t>
      </w:r>
    </w:p>
    <w:p>
      <w:pPr>
        <w:pStyle w:val="ListNumber"/>
        <w:spacing w:after="80" w:line="290" w:lineRule="auto"/>
      </w:pPr>
      <w:r>
        <w:rPr>
          <w:rFonts w:ascii="Calibri" w:hAnsi="Calibri" w:eastAsia="宋体"/>
          <w:sz w:val="22"/>
        </w:rPr>
        <w:t>面向运维执行的预警决策闭环。将风险评估结果转化为巡检、限功率、停机保护、灾前排查和灾后复检建议，提升预警信息的执行价值。</w:t>
      </w:r>
    </w:p>
    <w:p>
      <w:pPr>
        <w:spacing w:before="320" w:after="160"/>
      </w:pPr>
      <w:r>
        <w:rPr>
          <w:rFonts w:ascii="Calibri" w:hAnsi="Calibri" w:eastAsia="黑体"/>
          <w:b/>
          <w:color w:val="000000"/>
          <w:sz w:val="32"/>
        </w:rPr>
        <w:t>七、实施进度安排</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F2F2F2"/>
            <w:vAlign w:val="center"/>
          </w:tcPr>
          <w:p>
            <w:pPr>
              <w:spacing w:before="0" w:after="0" w:line="276" w:lineRule="auto"/>
              <w:jc w:val="center"/>
            </w:pPr>
            <w:r/>
            <w:r>
              <w:rPr>
                <w:rFonts w:ascii="Calibri" w:hAnsi="Calibri" w:eastAsia="宋体"/>
                <w:b/>
                <w:sz w:val="21"/>
              </w:rPr>
              <w:t>时间</w:t>
            </w:r>
          </w:p>
        </w:tc>
        <w:tc>
          <w:tcPr>
            <w:tcW w:type="dxa" w:w="5328"/>
            <w:shd w:fill="F2F2F2"/>
            <w:vAlign w:val="center"/>
          </w:tcPr>
          <w:p>
            <w:pPr>
              <w:spacing w:before="0" w:after="0" w:line="276" w:lineRule="auto"/>
              <w:jc w:val="center"/>
            </w:pPr>
            <w:r/>
            <w:r>
              <w:rPr>
                <w:rFonts w:ascii="Calibri" w:hAnsi="Calibri" w:eastAsia="宋体"/>
                <w:b/>
                <w:sz w:val="21"/>
              </w:rPr>
              <w:t>研究任务</w:t>
            </w:r>
          </w:p>
        </w:tc>
        <w:tc>
          <w:tcPr>
            <w:tcW w:type="dxa" w:w="2304"/>
            <w:shd w:fill="F2F2F2"/>
            <w:vAlign w:val="center"/>
          </w:tcPr>
          <w:p>
            <w:pPr>
              <w:spacing w:before="0" w:after="0" w:line="276" w:lineRule="auto"/>
              <w:jc w:val="center"/>
            </w:pPr>
            <w:r/>
            <w:r>
              <w:rPr>
                <w:rFonts w:ascii="Calibri" w:hAnsi="Calibri" w:eastAsia="宋体"/>
                <w:b/>
                <w:sz w:val="21"/>
              </w:rPr>
              <w:t>阶段成果</w:t>
            </w:r>
          </w:p>
        </w:tc>
      </w:tr>
      <w:tr>
        <w:tc>
          <w:tcPr>
            <w:tcW w:type="dxa" w:w="1728"/>
            <w:vAlign w:val="center"/>
          </w:tcPr>
          <w:p>
            <w:pPr>
              <w:spacing w:before="0" w:after="0" w:line="276" w:lineRule="auto"/>
              <w:jc w:val="left"/>
            </w:pPr>
            <w:r/>
            <w:r>
              <w:rPr>
                <w:rFonts w:ascii="Calibri" w:hAnsi="Calibri" w:eastAsia="宋体"/>
                <w:b w:val="0"/>
                <w:sz w:val="21"/>
              </w:rPr>
              <w:t>第1-3个月</w:t>
            </w:r>
          </w:p>
        </w:tc>
        <w:tc>
          <w:tcPr>
            <w:tcW w:type="dxa" w:w="5328"/>
            <w:vAlign w:val="center"/>
          </w:tcPr>
          <w:p>
            <w:pPr>
              <w:spacing w:before="0" w:after="0" w:line="276" w:lineRule="auto"/>
              <w:jc w:val="left"/>
            </w:pPr>
            <w:r/>
            <w:r>
              <w:rPr>
                <w:rFonts w:ascii="Calibri" w:hAnsi="Calibri" w:eastAsia="宋体"/>
                <w:b w:val="0"/>
                <w:sz w:val="21"/>
              </w:rPr>
              <w:t>需求调研、数据规范设计、典型故障模式梳理、项目实施方案细化</w:t>
            </w:r>
          </w:p>
        </w:tc>
        <w:tc>
          <w:tcPr>
            <w:tcW w:type="dxa" w:w="2304"/>
            <w:vAlign w:val="center"/>
          </w:tcPr>
          <w:p>
            <w:pPr>
              <w:spacing w:before="0" w:after="0" w:line="276" w:lineRule="auto"/>
              <w:jc w:val="left"/>
            </w:pPr>
            <w:r/>
            <w:r>
              <w:rPr>
                <w:rFonts w:ascii="Calibri" w:hAnsi="Calibri" w:eastAsia="宋体"/>
                <w:b w:val="0"/>
                <w:sz w:val="21"/>
              </w:rPr>
              <w:t>需求说明书、数据字典、故障模式清单</w:t>
            </w:r>
          </w:p>
        </w:tc>
      </w:tr>
      <w:tr>
        <w:tc>
          <w:tcPr>
            <w:tcW w:type="dxa" w:w="1728"/>
            <w:vAlign w:val="center"/>
          </w:tcPr>
          <w:p>
            <w:pPr>
              <w:spacing w:before="0" w:after="0" w:line="276" w:lineRule="auto"/>
              <w:jc w:val="left"/>
            </w:pPr>
            <w:r/>
            <w:r>
              <w:rPr>
                <w:rFonts w:ascii="Calibri" w:hAnsi="Calibri" w:eastAsia="宋体"/>
                <w:b w:val="0"/>
                <w:sz w:val="21"/>
              </w:rPr>
              <w:t>第4-8个月</w:t>
            </w:r>
          </w:p>
        </w:tc>
        <w:tc>
          <w:tcPr>
            <w:tcW w:type="dxa" w:w="5328"/>
            <w:vAlign w:val="center"/>
          </w:tcPr>
          <w:p>
            <w:pPr>
              <w:spacing w:before="0" w:after="0" w:line="276" w:lineRule="auto"/>
              <w:jc w:val="left"/>
            </w:pPr>
            <w:r/>
            <w:r>
              <w:rPr>
                <w:rFonts w:ascii="Calibri" w:hAnsi="Calibri" w:eastAsia="宋体"/>
                <w:b w:val="0"/>
                <w:sz w:val="21"/>
              </w:rPr>
              <w:t>自适应监测网络与数据回传机制设计，完成多源数据接入与质量评估模块</w:t>
            </w:r>
          </w:p>
        </w:tc>
        <w:tc>
          <w:tcPr>
            <w:tcW w:type="dxa" w:w="2304"/>
            <w:vAlign w:val="center"/>
          </w:tcPr>
          <w:p>
            <w:pPr>
              <w:spacing w:before="0" w:after="0" w:line="276" w:lineRule="auto"/>
              <w:jc w:val="left"/>
            </w:pPr>
            <w:r/>
            <w:r>
              <w:rPr>
                <w:rFonts w:ascii="Calibri" w:hAnsi="Calibri" w:eastAsia="宋体"/>
                <w:b w:val="0"/>
                <w:sz w:val="21"/>
              </w:rPr>
              <w:t>数据接入模块、链路容错方案</w:t>
            </w:r>
          </w:p>
        </w:tc>
      </w:tr>
      <w:tr>
        <w:tc>
          <w:tcPr>
            <w:tcW w:type="dxa" w:w="1728"/>
            <w:vAlign w:val="center"/>
          </w:tcPr>
          <w:p>
            <w:pPr>
              <w:spacing w:before="0" w:after="0" w:line="276" w:lineRule="auto"/>
              <w:jc w:val="left"/>
            </w:pPr>
            <w:r/>
            <w:r>
              <w:rPr>
                <w:rFonts w:ascii="Calibri" w:hAnsi="Calibri" w:eastAsia="宋体"/>
                <w:b w:val="0"/>
                <w:sz w:val="21"/>
              </w:rPr>
              <w:t>第9-14个月</w:t>
            </w:r>
          </w:p>
        </w:tc>
        <w:tc>
          <w:tcPr>
            <w:tcW w:type="dxa" w:w="5328"/>
            <w:vAlign w:val="center"/>
          </w:tcPr>
          <w:p>
            <w:pPr>
              <w:spacing w:before="0" w:after="0" w:line="276" w:lineRule="auto"/>
              <w:jc w:val="left"/>
            </w:pPr>
            <w:r/>
            <w:r>
              <w:rPr>
                <w:rFonts w:ascii="Calibri" w:hAnsi="Calibri" w:eastAsia="宋体"/>
                <w:b w:val="0"/>
                <w:sz w:val="21"/>
              </w:rPr>
              <w:t>研发振动/声学/工况多模态融合故障诊断模型，完成典型部件故障特征库</w:t>
            </w:r>
          </w:p>
        </w:tc>
        <w:tc>
          <w:tcPr>
            <w:tcW w:type="dxa" w:w="2304"/>
            <w:vAlign w:val="center"/>
          </w:tcPr>
          <w:p>
            <w:pPr>
              <w:spacing w:before="0" w:after="0" w:line="276" w:lineRule="auto"/>
              <w:jc w:val="left"/>
            </w:pPr>
            <w:r/>
            <w:r>
              <w:rPr>
                <w:rFonts w:ascii="Calibri" w:hAnsi="Calibri" w:eastAsia="宋体"/>
                <w:b w:val="0"/>
                <w:sz w:val="21"/>
              </w:rPr>
              <w:t>诊断模型、特征库、阶段测试报告</w:t>
            </w:r>
          </w:p>
        </w:tc>
      </w:tr>
      <w:tr>
        <w:tc>
          <w:tcPr>
            <w:tcW w:type="dxa" w:w="1728"/>
            <w:vAlign w:val="center"/>
          </w:tcPr>
          <w:p>
            <w:pPr>
              <w:spacing w:before="0" w:after="0" w:line="276" w:lineRule="auto"/>
              <w:jc w:val="left"/>
            </w:pPr>
            <w:r/>
            <w:r>
              <w:rPr>
                <w:rFonts w:ascii="Calibri" w:hAnsi="Calibri" w:eastAsia="宋体"/>
                <w:b w:val="0"/>
                <w:sz w:val="21"/>
              </w:rPr>
              <w:t>第15-18个月</w:t>
            </w:r>
          </w:p>
        </w:tc>
        <w:tc>
          <w:tcPr>
            <w:tcW w:type="dxa" w:w="5328"/>
            <w:vAlign w:val="center"/>
          </w:tcPr>
          <w:p>
            <w:pPr>
              <w:spacing w:before="0" w:after="0" w:line="276" w:lineRule="auto"/>
              <w:jc w:val="left"/>
            </w:pPr>
            <w:r/>
            <w:r>
              <w:rPr>
                <w:rFonts w:ascii="Calibri" w:hAnsi="Calibri" w:eastAsia="宋体"/>
                <w:b w:val="0"/>
                <w:sz w:val="21"/>
              </w:rPr>
              <w:t>研发环境设备耦合风险评估模型和分级预警规则</w:t>
            </w:r>
          </w:p>
        </w:tc>
        <w:tc>
          <w:tcPr>
            <w:tcW w:type="dxa" w:w="2304"/>
            <w:vAlign w:val="center"/>
          </w:tcPr>
          <w:p>
            <w:pPr>
              <w:spacing w:before="0" w:after="0" w:line="276" w:lineRule="auto"/>
              <w:jc w:val="left"/>
            </w:pPr>
            <w:r/>
            <w:r>
              <w:rPr>
                <w:rFonts w:ascii="Calibri" w:hAnsi="Calibri" w:eastAsia="宋体"/>
                <w:b w:val="0"/>
                <w:sz w:val="21"/>
              </w:rPr>
              <w:t>风险评估模型、预警规则库</w:t>
            </w:r>
          </w:p>
        </w:tc>
      </w:tr>
      <w:tr>
        <w:tc>
          <w:tcPr>
            <w:tcW w:type="dxa" w:w="1728"/>
            <w:vAlign w:val="center"/>
          </w:tcPr>
          <w:p>
            <w:pPr>
              <w:spacing w:before="0" w:after="0" w:line="276" w:lineRule="auto"/>
              <w:jc w:val="left"/>
            </w:pPr>
            <w:r/>
            <w:r>
              <w:rPr>
                <w:rFonts w:ascii="Calibri" w:hAnsi="Calibri" w:eastAsia="宋体"/>
                <w:b w:val="0"/>
                <w:sz w:val="21"/>
              </w:rPr>
              <w:t>第19-22个月</w:t>
            </w:r>
          </w:p>
        </w:tc>
        <w:tc>
          <w:tcPr>
            <w:tcW w:type="dxa" w:w="5328"/>
            <w:vAlign w:val="center"/>
          </w:tcPr>
          <w:p>
            <w:pPr>
              <w:spacing w:before="0" w:after="0" w:line="276" w:lineRule="auto"/>
              <w:jc w:val="left"/>
            </w:pPr>
            <w:r/>
            <w:r>
              <w:rPr>
                <w:rFonts w:ascii="Calibri" w:hAnsi="Calibri" w:eastAsia="宋体"/>
                <w:b w:val="0"/>
                <w:sz w:val="21"/>
              </w:rPr>
              <w:t>集成原型系统，开展典型机组数据或仿真场景验证</w:t>
            </w:r>
          </w:p>
        </w:tc>
        <w:tc>
          <w:tcPr>
            <w:tcW w:type="dxa" w:w="2304"/>
            <w:vAlign w:val="center"/>
          </w:tcPr>
          <w:p>
            <w:pPr>
              <w:spacing w:before="0" w:after="0" w:line="276" w:lineRule="auto"/>
              <w:jc w:val="left"/>
            </w:pPr>
            <w:r/>
            <w:r>
              <w:rPr>
                <w:rFonts w:ascii="Calibri" w:hAnsi="Calibri" w:eastAsia="宋体"/>
                <w:b w:val="0"/>
                <w:sz w:val="21"/>
              </w:rPr>
              <w:t>原型系统、验证数据集、示范报告</w:t>
            </w:r>
          </w:p>
        </w:tc>
      </w:tr>
      <w:tr>
        <w:tc>
          <w:tcPr>
            <w:tcW w:type="dxa" w:w="1728"/>
            <w:vAlign w:val="center"/>
          </w:tcPr>
          <w:p>
            <w:pPr>
              <w:spacing w:before="0" w:after="0" w:line="276" w:lineRule="auto"/>
              <w:jc w:val="left"/>
            </w:pPr>
            <w:r/>
            <w:r>
              <w:rPr>
                <w:rFonts w:ascii="Calibri" w:hAnsi="Calibri" w:eastAsia="宋体"/>
                <w:b w:val="0"/>
                <w:sz w:val="21"/>
              </w:rPr>
              <w:t>第23-24个月</w:t>
            </w:r>
          </w:p>
        </w:tc>
        <w:tc>
          <w:tcPr>
            <w:tcW w:type="dxa" w:w="5328"/>
            <w:vAlign w:val="center"/>
          </w:tcPr>
          <w:p>
            <w:pPr>
              <w:spacing w:before="0" w:after="0" w:line="276" w:lineRule="auto"/>
              <w:jc w:val="left"/>
            </w:pPr>
            <w:r/>
            <w:r>
              <w:rPr>
                <w:rFonts w:ascii="Calibri" w:hAnsi="Calibri" w:eastAsia="宋体"/>
                <w:b w:val="0"/>
                <w:sz w:val="21"/>
              </w:rPr>
              <w:t>成果凝练、知识产权申请、结题材料编制和推广方案形成</w:t>
            </w:r>
          </w:p>
        </w:tc>
        <w:tc>
          <w:tcPr>
            <w:tcW w:type="dxa" w:w="2304"/>
            <w:vAlign w:val="center"/>
          </w:tcPr>
          <w:p>
            <w:pPr>
              <w:spacing w:before="0" w:after="0" w:line="276" w:lineRule="auto"/>
              <w:jc w:val="left"/>
            </w:pPr>
            <w:r/>
            <w:r>
              <w:rPr>
                <w:rFonts w:ascii="Calibri" w:hAnsi="Calibri" w:eastAsia="宋体"/>
                <w:b w:val="0"/>
                <w:sz w:val="21"/>
              </w:rPr>
              <w:t>结题报告、软著/专利、论文/技术报告</w:t>
            </w:r>
          </w:p>
        </w:tc>
      </w:tr>
    </w:tbl>
    <w:p>
      <w:pPr>
        <w:spacing w:after="80"/>
      </w:pPr>
    </w:p>
    <w:p>
      <w:pPr>
        <w:spacing w:before="320" w:after="160"/>
      </w:pPr>
      <w:r>
        <w:rPr>
          <w:rFonts w:ascii="Calibri" w:hAnsi="Calibri" w:eastAsia="黑体"/>
          <w:b/>
          <w:color w:val="000000"/>
          <w:sz w:val="32"/>
        </w:rPr>
        <w:t>八、预期成果与应用效益</w:t>
      </w:r>
    </w:p>
    <w:p>
      <w:pPr>
        <w:spacing w:before="240" w:after="120"/>
      </w:pPr>
      <w:r>
        <w:rPr>
          <w:rFonts w:ascii="Calibri" w:hAnsi="Calibri" w:eastAsia="黑体"/>
          <w:b/>
          <w:color w:val="000000"/>
          <w:sz w:val="26"/>
        </w:rPr>
        <w:t>8.1 预期成果</w:t>
      </w:r>
    </w:p>
    <w:p>
      <w:pPr>
        <w:pStyle w:val="ListBullet"/>
        <w:spacing w:after="80" w:line="290" w:lineRule="auto"/>
      </w:pPr>
      <w:r>
        <w:rPr>
          <w:rFonts w:ascii="Calibri" w:hAnsi="Calibri" w:eastAsia="宋体"/>
          <w:sz w:val="22"/>
        </w:rPr>
        <w:t>形成海上风电系统远程监测与风险评估总体技术方案1套。</w:t>
      </w:r>
    </w:p>
    <w:p>
      <w:pPr>
        <w:pStyle w:val="ListBullet"/>
        <w:spacing w:after="80" w:line="290" w:lineRule="auto"/>
      </w:pPr>
      <w:r>
        <w:rPr>
          <w:rFonts w:ascii="Calibri" w:hAnsi="Calibri" w:eastAsia="宋体"/>
          <w:sz w:val="22"/>
        </w:rPr>
        <w:t>形成面向海上风电运行状态、关键部件和海洋环境的多源数据治理方法。</w:t>
      </w:r>
    </w:p>
    <w:p>
      <w:pPr>
        <w:pStyle w:val="ListBullet"/>
        <w:spacing w:after="80" w:line="290" w:lineRule="auto"/>
      </w:pPr>
      <w:r>
        <w:rPr>
          <w:rFonts w:ascii="Calibri" w:hAnsi="Calibri" w:eastAsia="宋体"/>
          <w:sz w:val="22"/>
        </w:rPr>
        <w:t>形成多模态融合故障诊断模型1套，覆盖关键部件隐性缺陷识别和可解释证据输出。</w:t>
      </w:r>
    </w:p>
    <w:p>
      <w:pPr>
        <w:pStyle w:val="ListBullet"/>
        <w:spacing w:after="80" w:line="290" w:lineRule="auto"/>
      </w:pPr>
      <w:r>
        <w:rPr>
          <w:rFonts w:ascii="Calibri" w:hAnsi="Calibri" w:eastAsia="宋体"/>
          <w:sz w:val="22"/>
        </w:rPr>
        <w:t>形成环境与设备耦合风险评估方法和分级预警规则库。</w:t>
      </w:r>
    </w:p>
    <w:p>
      <w:pPr>
        <w:pStyle w:val="ListBullet"/>
        <w:spacing w:after="80" w:line="290" w:lineRule="auto"/>
      </w:pPr>
      <w:r>
        <w:rPr>
          <w:rFonts w:ascii="Calibri" w:hAnsi="Calibri" w:eastAsia="宋体"/>
          <w:sz w:val="22"/>
        </w:rPr>
        <w:t>形成原型系统或核心软件模块1套，具备风险排序、告警解释、运维建议和报告输出能力。</w:t>
      </w:r>
    </w:p>
    <w:p>
      <w:pPr>
        <w:pStyle w:val="ListBullet"/>
        <w:spacing w:after="80" w:line="290" w:lineRule="auto"/>
      </w:pPr>
      <w:r>
        <w:rPr>
          <w:rFonts w:ascii="Calibri" w:hAnsi="Calibri" w:eastAsia="宋体"/>
          <w:sz w:val="22"/>
        </w:rPr>
        <w:t>形成示范验证报告1份，申请软件著作权/专利1-2项，发表论文或形成技术报告1-2篇。</w:t>
      </w:r>
    </w:p>
    <w:p>
      <w:pPr>
        <w:spacing w:before="240" w:after="120"/>
      </w:pPr>
      <w:r>
        <w:rPr>
          <w:rFonts w:ascii="Calibri" w:hAnsi="Calibri" w:eastAsia="黑体"/>
          <w:b/>
          <w:color w:val="000000"/>
          <w:sz w:val="26"/>
        </w:rPr>
        <w:t>8.2 应用效益</w:t>
      </w:r>
    </w:p>
    <w:p>
      <w:pPr>
        <w:spacing w:before="0" w:after="120" w:line="300" w:lineRule="auto"/>
        <w:ind w:firstLine="420"/>
      </w:pPr>
      <w:r>
        <w:rPr>
          <w:rFonts w:ascii="Calibri" w:hAnsi="Calibri" w:eastAsia="宋体"/>
          <w:sz w:val="22"/>
        </w:rPr>
        <w:t>项目成果可服务于海上风电场运维中心、风机整机厂、运维服务商和能源企业数字化平台建设。通过提升设备状态识别、灾害风险研判和运维资源调度能力，可减少非计划停机，降低海上出海检修和重大部件故障损失，提高极端天气前后的主动防控水平。</w:t>
      </w:r>
    </w:p>
    <w:p>
      <w:pPr>
        <w:spacing w:before="0" w:after="120" w:line="300" w:lineRule="auto"/>
        <w:ind w:firstLine="420"/>
      </w:pPr>
      <w:r>
        <w:rPr>
          <w:rFonts w:ascii="Calibri" w:hAnsi="Calibri" w:eastAsia="宋体"/>
          <w:sz w:val="22"/>
        </w:rPr>
        <w:t>从行业推广角度看，项目成果可作为海上风电智慧运维平台的核心能力模块，支撑风电场由传统定期检修向状态检修、预测性维护和场站级风险管理转型。对于深远海风电规模化开发，本项目可为集中运维、远程集控和安全生产提供可复制的技术路径。</w:t>
      </w:r>
    </w:p>
    <w:p>
      <w:pPr>
        <w:spacing w:before="320" w:after="160"/>
      </w:pPr>
      <w:r>
        <w:rPr>
          <w:rFonts w:ascii="Calibri" w:hAnsi="Calibri" w:eastAsia="黑体"/>
          <w:b/>
          <w:color w:val="000000"/>
          <w:sz w:val="32"/>
        </w:rPr>
        <w:t>九、项目基础与可行性分析</w:t>
      </w:r>
    </w:p>
    <w:p>
      <w:pPr>
        <w:spacing w:before="0" w:after="120" w:line="300" w:lineRule="auto"/>
        <w:ind w:firstLine="420"/>
      </w:pPr>
      <w:r>
        <w:rPr>
          <w:rFonts w:ascii="Calibri" w:hAnsi="Calibri" w:eastAsia="宋体"/>
          <w:sz w:val="22"/>
        </w:rPr>
        <w:t>本项目具备较好的前期技术积累和工程化转化基础。申报团队已围绕海上风机光纤传感监测、结构健康监测、风机传动链状态诊断、振动数据解析、频谱特征提取、诊断规则沉淀和报告生成等方向开展过类似研究工作，初步形成了面向风机关键结构与关键部件异常识别的传感、算法、知识和软件基础。与一般从零开始的算法研究不同，本项目已有基础能够支撑从前端感知、数据接入、特征分析、规则解释到报告输出的完整研发链条，为进一步扩展到海上风电多源融合诊断和风险评估奠定基础。</w:t>
      </w:r>
    </w:p>
    <w:p>
      <w:pPr>
        <w:spacing w:before="0" w:after="120" w:line="300" w:lineRule="auto"/>
        <w:ind w:firstLine="420"/>
      </w:pPr>
      <w:r>
        <w:rPr>
          <w:rFonts w:ascii="Calibri" w:hAnsi="Calibri" w:eastAsia="宋体"/>
          <w:sz w:val="22"/>
        </w:rPr>
        <w:t>项目选题直接面向海上风电规模化、集群化和深远海化发展过程中最突出的安全运行与智能运维需求。海上风电场运行环境复杂、出海维护受限、设备故障影响大，天然需要远程监测、状态诊断和风险决策能力。本项目所研究的通信稳定回传、多模态故障诊断、环境设备耦合评估和分级预警，均对应明确的工程场景和运维痛点，具有较强应用牵引。</w:t>
      </w:r>
    </w:p>
    <w:p>
      <w:pPr>
        <w:spacing w:before="0" w:after="120" w:line="300" w:lineRule="auto"/>
        <w:ind w:firstLine="420"/>
      </w:pPr>
      <w:r>
        <w:rPr>
          <w:rFonts w:ascii="Calibri" w:hAnsi="Calibri" w:eastAsia="宋体"/>
          <w:sz w:val="22"/>
        </w:rPr>
        <w:t>前期类似研究工作已围绕风机关键结构健康监测和关键部件诊断建立了基础传感与数据处理能力。一方面，团队已在叶片FBG光纤加速度传感器、叶片FBG应变载荷传感器、光纤光栅解调仪、塔筒BOTDA分布式光纤监测系统、塔筒点式FBG应变与温度补偿传感器等方向形成技术积累，并设计过叶片侧、塔筒点式和塔筒分布式等多类数据传输链路；另一方面，已有软件基础具备振动数据解析、频域分析、包络分析、转速工况识别、参考频率匹配、诊断规则管理和结构化报告生成等能力。上述基础可为本项目缩短研发周期、降低工程实现风险提供支撑。</w:t>
      </w:r>
    </w:p>
    <w:p>
      <w:pPr>
        <w:spacing w:before="0" w:after="120" w:line="300" w:lineRule="auto"/>
        <w:ind w:firstLine="420"/>
      </w:pPr>
      <w:r>
        <w:rPr>
          <w:rFonts w:ascii="Calibri" w:hAnsi="Calibri" w:eastAsia="宋体"/>
          <w:sz w:val="22"/>
        </w:rPr>
        <w:t>项目已初步整理风机轴承参数、典型通道映射、关键部件参考频率、诊断阈值、光纤传感监测对象和报告证据结构等知识材料，可进一步扩展为面向海上风电的设备知识库、传感器配置库和诊断规则库。后续通过接入真实或脱敏的运行数据、结构传感数据、历史告警数据、检修记录和气象海况数据，可形成“设备机理知识+结构感知证据+运行数据证据+专家规则经验”的融合基础，提高模型训练和现场应用的可靠性。</w:t>
      </w:r>
    </w:p>
    <w:p>
      <w:pPr>
        <w:spacing w:before="0" w:after="120" w:line="300" w:lineRule="auto"/>
        <w:ind w:firstLine="420"/>
      </w:pPr>
      <w:r>
        <w:rPr>
          <w:rFonts w:ascii="Calibri" w:hAnsi="Calibri" w:eastAsia="宋体"/>
          <w:sz w:val="22"/>
        </w:rPr>
        <w:t>前期软件架构已具备任务管理、数据资产、参数知识、诊断报告和系统配置等业务化设计思路，便于将单点算法能力集成为面向运维人员的原型系统。项目后续可在既有软件基础上扩展多源数据接入、模型推理、风险排序、预警输出和运维建议模块，形成可演示、可验证、可迭代的应用平台。</w:t>
      </w:r>
    </w:p>
    <w:p>
      <w:pPr>
        <w:spacing w:before="0" w:after="120" w:line="300" w:lineRule="auto"/>
        <w:ind w:firstLine="420"/>
      </w:pPr>
      <w:r>
        <w:rPr>
          <w:rFonts w:ascii="Calibri" w:hAnsi="Calibri" w:eastAsia="宋体"/>
          <w:sz w:val="22"/>
        </w:rPr>
        <w:t>项目实施路径清晰，研发任务可分解为数据治理、诊断模型、风险评估、预警决策和系统集成五个相对独立又相互衔接的工作包，便于阶段验收和风险控制。项目成果可面向风电场运维中心、能源企业数字化平台、整机厂售后服务和第三方运维服务场景推广，具备较好的工程转化空间。后续申报需进一步补充合作风场、真实数据样本、团队代表性成果和示范应用证明，以增强评审可信度。</w:t>
      </w:r>
    </w:p>
    <w:p>
      <w:pPr>
        <w:spacing w:before="320" w:after="160"/>
      </w:pPr>
      <w:r>
        <w:rPr>
          <w:rFonts w:ascii="Calibri" w:hAnsi="Calibri" w:eastAsia="黑体"/>
          <w:b/>
          <w:color w:val="000000"/>
          <w:sz w:val="32"/>
        </w:rPr>
        <w:t>十、风险分析与应对措施</w:t>
      </w:r>
    </w:p>
    <w:tbl>
      <w:tblPr>
        <w:tblStyle w:val="TableGrid"/>
        <w:tblW w:type="auto" w:w="0"/>
        <w:jc w:val="center"/>
        <w:tblLook w:firstColumn="1" w:firstRow="1" w:lastColumn="0" w:lastRow="0" w:noHBand="0" w:noVBand="1" w:val="04A0"/>
      </w:tblPr>
      <w:tblGrid>
        <w:gridCol w:w="3120"/>
        <w:gridCol w:w="3120"/>
        <w:gridCol w:w="3120"/>
      </w:tblGrid>
      <w:tr>
        <w:tc>
          <w:tcPr>
            <w:tcW w:type="dxa" w:w="2232"/>
            <w:shd w:fill="F2F2F2"/>
            <w:vAlign w:val="center"/>
          </w:tcPr>
          <w:p>
            <w:pPr>
              <w:spacing w:before="0" w:after="0" w:line="276" w:lineRule="auto"/>
              <w:jc w:val="center"/>
            </w:pPr>
            <w:r/>
            <w:r>
              <w:rPr>
                <w:rFonts w:ascii="Calibri" w:hAnsi="Calibri" w:eastAsia="宋体"/>
                <w:b/>
                <w:sz w:val="21"/>
              </w:rPr>
              <w:t>风险点</w:t>
            </w:r>
          </w:p>
        </w:tc>
        <w:tc>
          <w:tcPr>
            <w:tcW w:type="dxa" w:w="3168"/>
            <w:shd w:fill="F2F2F2"/>
            <w:vAlign w:val="center"/>
          </w:tcPr>
          <w:p>
            <w:pPr>
              <w:spacing w:before="0" w:after="0" w:line="276" w:lineRule="auto"/>
              <w:jc w:val="center"/>
            </w:pPr>
            <w:r/>
            <w:r>
              <w:rPr>
                <w:rFonts w:ascii="Calibri" w:hAnsi="Calibri" w:eastAsia="宋体"/>
                <w:b/>
                <w:sz w:val="21"/>
              </w:rPr>
              <w:t>可能影响</w:t>
            </w:r>
          </w:p>
        </w:tc>
        <w:tc>
          <w:tcPr>
            <w:tcW w:type="dxa" w:w="3960"/>
            <w:shd w:fill="F2F2F2"/>
            <w:vAlign w:val="center"/>
          </w:tcPr>
          <w:p>
            <w:pPr>
              <w:spacing w:before="0" w:after="0" w:line="276" w:lineRule="auto"/>
              <w:jc w:val="center"/>
            </w:pPr>
            <w:r/>
            <w:r>
              <w:rPr>
                <w:rFonts w:ascii="Calibri" w:hAnsi="Calibri" w:eastAsia="宋体"/>
                <w:b/>
                <w:sz w:val="21"/>
              </w:rPr>
              <w:t>应对措施</w:t>
            </w:r>
          </w:p>
        </w:tc>
      </w:tr>
      <w:tr>
        <w:tc>
          <w:tcPr>
            <w:tcW w:type="dxa" w:w="2232"/>
            <w:vAlign w:val="center"/>
          </w:tcPr>
          <w:p>
            <w:pPr>
              <w:spacing w:before="0" w:after="0" w:line="276" w:lineRule="auto"/>
              <w:jc w:val="left"/>
            </w:pPr>
            <w:r/>
            <w:r>
              <w:rPr>
                <w:rFonts w:ascii="Calibri" w:hAnsi="Calibri" w:eastAsia="宋体"/>
                <w:b w:val="0"/>
                <w:sz w:val="21"/>
              </w:rPr>
              <w:t>真实海上数据获取不足</w:t>
            </w:r>
          </w:p>
        </w:tc>
        <w:tc>
          <w:tcPr>
            <w:tcW w:type="dxa" w:w="3168"/>
            <w:vAlign w:val="center"/>
          </w:tcPr>
          <w:p>
            <w:pPr>
              <w:spacing w:before="0" w:after="0" w:line="276" w:lineRule="auto"/>
              <w:jc w:val="left"/>
            </w:pPr>
            <w:r/>
            <w:r>
              <w:rPr>
                <w:rFonts w:ascii="Calibri" w:hAnsi="Calibri" w:eastAsia="宋体"/>
                <w:b w:val="0"/>
                <w:sz w:val="21"/>
              </w:rPr>
              <w:t>模型训练与验证样本有限</w:t>
            </w:r>
          </w:p>
        </w:tc>
        <w:tc>
          <w:tcPr>
            <w:tcW w:type="dxa" w:w="3960"/>
            <w:vAlign w:val="center"/>
          </w:tcPr>
          <w:p>
            <w:pPr>
              <w:spacing w:before="0" w:after="0" w:line="276" w:lineRule="auto"/>
              <w:jc w:val="left"/>
            </w:pPr>
            <w:r/>
            <w:r>
              <w:rPr>
                <w:rFonts w:ascii="Calibri" w:hAnsi="Calibri" w:eastAsia="宋体"/>
                <w:b w:val="0"/>
                <w:sz w:val="21"/>
              </w:rPr>
              <w:t>采用企业合作数据、历史运维数据、公开数据和仿真数据结合，建立小样本迁移和专家规则补强机制。</w:t>
            </w:r>
          </w:p>
        </w:tc>
      </w:tr>
      <w:tr>
        <w:tc>
          <w:tcPr>
            <w:tcW w:type="dxa" w:w="2232"/>
            <w:vAlign w:val="center"/>
          </w:tcPr>
          <w:p>
            <w:pPr>
              <w:spacing w:before="0" w:after="0" w:line="276" w:lineRule="auto"/>
              <w:jc w:val="left"/>
            </w:pPr>
            <w:r/>
            <w:r>
              <w:rPr>
                <w:rFonts w:ascii="Calibri" w:hAnsi="Calibri" w:eastAsia="宋体"/>
                <w:b w:val="0"/>
                <w:sz w:val="21"/>
              </w:rPr>
              <w:t>极端天气样本稀缺</w:t>
            </w:r>
          </w:p>
        </w:tc>
        <w:tc>
          <w:tcPr>
            <w:tcW w:type="dxa" w:w="3168"/>
            <w:vAlign w:val="center"/>
          </w:tcPr>
          <w:p>
            <w:pPr>
              <w:spacing w:before="0" w:after="0" w:line="276" w:lineRule="auto"/>
              <w:jc w:val="left"/>
            </w:pPr>
            <w:r/>
            <w:r>
              <w:rPr>
                <w:rFonts w:ascii="Calibri" w:hAnsi="Calibri" w:eastAsia="宋体"/>
                <w:b w:val="0"/>
                <w:sz w:val="21"/>
              </w:rPr>
              <w:t>灾害风险评估泛化不足</w:t>
            </w:r>
          </w:p>
        </w:tc>
        <w:tc>
          <w:tcPr>
            <w:tcW w:type="dxa" w:w="3960"/>
            <w:vAlign w:val="center"/>
          </w:tcPr>
          <w:p>
            <w:pPr>
              <w:spacing w:before="0" w:after="0" w:line="276" w:lineRule="auto"/>
              <w:jc w:val="left"/>
            </w:pPr>
            <w:r/>
            <w:r>
              <w:rPr>
                <w:rFonts w:ascii="Calibri" w:hAnsi="Calibri" w:eastAsia="宋体"/>
                <w:b w:val="0"/>
                <w:sz w:val="21"/>
              </w:rPr>
              <w:t>引入历史气象海况记录、台风路径数据和场景化仿真，构建典型风险场景库。</w:t>
            </w:r>
          </w:p>
        </w:tc>
      </w:tr>
      <w:tr>
        <w:tc>
          <w:tcPr>
            <w:tcW w:type="dxa" w:w="2232"/>
            <w:vAlign w:val="center"/>
          </w:tcPr>
          <w:p>
            <w:pPr>
              <w:spacing w:before="0" w:after="0" w:line="276" w:lineRule="auto"/>
              <w:jc w:val="left"/>
            </w:pPr>
            <w:r/>
            <w:r>
              <w:rPr>
                <w:rFonts w:ascii="Calibri" w:hAnsi="Calibri" w:eastAsia="宋体"/>
                <w:b w:val="0"/>
                <w:sz w:val="21"/>
              </w:rPr>
              <w:t>多源数据时间不同步</w:t>
            </w:r>
          </w:p>
        </w:tc>
        <w:tc>
          <w:tcPr>
            <w:tcW w:type="dxa" w:w="3168"/>
            <w:vAlign w:val="center"/>
          </w:tcPr>
          <w:p>
            <w:pPr>
              <w:spacing w:before="0" w:after="0" w:line="276" w:lineRule="auto"/>
              <w:jc w:val="left"/>
            </w:pPr>
            <w:r/>
            <w:r>
              <w:rPr>
                <w:rFonts w:ascii="Calibri" w:hAnsi="Calibri" w:eastAsia="宋体"/>
                <w:b w:val="0"/>
                <w:sz w:val="21"/>
              </w:rPr>
              <w:t>影响融合诊断准确性</w:t>
            </w:r>
          </w:p>
        </w:tc>
        <w:tc>
          <w:tcPr>
            <w:tcW w:type="dxa" w:w="3960"/>
            <w:vAlign w:val="center"/>
          </w:tcPr>
          <w:p>
            <w:pPr>
              <w:spacing w:before="0" w:after="0" w:line="276" w:lineRule="auto"/>
              <w:jc w:val="left"/>
            </w:pPr>
            <w:r/>
            <w:r>
              <w:rPr>
                <w:rFonts w:ascii="Calibri" w:hAnsi="Calibri" w:eastAsia="宋体"/>
                <w:b w:val="0"/>
                <w:sz w:val="21"/>
              </w:rPr>
              <w:t>建立统一时间戳、插值对齐、质量标记和异常数据剔除机制。</w:t>
            </w:r>
          </w:p>
        </w:tc>
      </w:tr>
      <w:tr>
        <w:tc>
          <w:tcPr>
            <w:tcW w:type="dxa" w:w="2232"/>
            <w:vAlign w:val="center"/>
          </w:tcPr>
          <w:p>
            <w:pPr>
              <w:spacing w:before="0" w:after="0" w:line="276" w:lineRule="auto"/>
              <w:jc w:val="left"/>
            </w:pPr>
            <w:r/>
            <w:r>
              <w:rPr>
                <w:rFonts w:ascii="Calibri" w:hAnsi="Calibri" w:eastAsia="宋体"/>
                <w:b w:val="0"/>
                <w:sz w:val="21"/>
              </w:rPr>
              <w:t>模型黑盒化</w:t>
            </w:r>
          </w:p>
        </w:tc>
        <w:tc>
          <w:tcPr>
            <w:tcW w:type="dxa" w:w="3168"/>
            <w:vAlign w:val="center"/>
          </w:tcPr>
          <w:p>
            <w:pPr>
              <w:spacing w:before="0" w:after="0" w:line="276" w:lineRule="auto"/>
              <w:jc w:val="left"/>
            </w:pPr>
            <w:r/>
            <w:r>
              <w:rPr>
                <w:rFonts w:ascii="Calibri" w:hAnsi="Calibri" w:eastAsia="宋体"/>
                <w:b w:val="0"/>
                <w:sz w:val="21"/>
              </w:rPr>
              <w:t>评审和现场运维人员难以信任</w:t>
            </w:r>
          </w:p>
        </w:tc>
        <w:tc>
          <w:tcPr>
            <w:tcW w:type="dxa" w:w="3960"/>
            <w:vAlign w:val="center"/>
          </w:tcPr>
          <w:p>
            <w:pPr>
              <w:spacing w:before="0" w:after="0" w:line="276" w:lineRule="auto"/>
              <w:jc w:val="left"/>
            </w:pPr>
            <w:r/>
            <w:r>
              <w:rPr>
                <w:rFonts w:ascii="Calibri" w:hAnsi="Calibri" w:eastAsia="宋体"/>
                <w:b w:val="0"/>
                <w:sz w:val="21"/>
              </w:rPr>
              <w:t>输出频谱峰值、参考频率匹配、规则依据、环境背景和置信度，增强可解释性。</w:t>
            </w:r>
          </w:p>
        </w:tc>
      </w:tr>
      <w:tr>
        <w:tc>
          <w:tcPr>
            <w:tcW w:type="dxa" w:w="2232"/>
            <w:vAlign w:val="center"/>
          </w:tcPr>
          <w:p>
            <w:pPr>
              <w:spacing w:before="0" w:after="0" w:line="276" w:lineRule="auto"/>
              <w:jc w:val="left"/>
            </w:pPr>
            <w:r/>
            <w:r>
              <w:rPr>
                <w:rFonts w:ascii="Calibri" w:hAnsi="Calibri" w:eastAsia="宋体"/>
                <w:b w:val="0"/>
                <w:sz w:val="21"/>
              </w:rPr>
              <w:t>系统集成周期紧</w:t>
            </w:r>
          </w:p>
        </w:tc>
        <w:tc>
          <w:tcPr>
            <w:tcW w:type="dxa" w:w="3168"/>
            <w:vAlign w:val="center"/>
          </w:tcPr>
          <w:p>
            <w:pPr>
              <w:spacing w:before="0" w:after="0" w:line="276" w:lineRule="auto"/>
              <w:jc w:val="left"/>
            </w:pPr>
            <w:r/>
            <w:r>
              <w:rPr>
                <w:rFonts w:ascii="Calibri" w:hAnsi="Calibri" w:eastAsia="宋体"/>
                <w:b w:val="0"/>
                <w:sz w:val="21"/>
              </w:rPr>
              <w:t>影响示范验收</w:t>
            </w:r>
          </w:p>
        </w:tc>
        <w:tc>
          <w:tcPr>
            <w:tcW w:type="dxa" w:w="3960"/>
            <w:vAlign w:val="center"/>
          </w:tcPr>
          <w:p>
            <w:pPr>
              <w:spacing w:before="0" w:after="0" w:line="276" w:lineRule="auto"/>
              <w:jc w:val="left"/>
            </w:pPr>
            <w:r/>
            <w:r>
              <w:rPr>
                <w:rFonts w:ascii="Calibri" w:hAnsi="Calibri" w:eastAsia="宋体"/>
                <w:b w:val="0"/>
                <w:sz w:val="21"/>
              </w:rPr>
              <w:t>采用模块化开发，优先保证数据接入、诊断模型、预警输出三个核心闭环。</w:t>
            </w:r>
          </w:p>
        </w:tc>
      </w:tr>
    </w:tbl>
    <w:p>
      <w:pPr>
        <w:spacing w:after="80"/>
      </w:pPr>
    </w:p>
    <w:p>
      <w:pPr>
        <w:spacing w:before="320" w:after="160"/>
      </w:pPr>
      <w:r>
        <w:rPr>
          <w:rFonts w:ascii="Calibri" w:hAnsi="Calibri" w:eastAsia="黑体"/>
          <w:b/>
          <w:color w:val="000000"/>
          <w:sz w:val="32"/>
        </w:rPr>
        <w:t>十一、经费预算建议</w:t>
      </w:r>
    </w:p>
    <w:p>
      <w:pPr>
        <w:spacing w:before="0" w:after="120" w:line="300" w:lineRule="auto"/>
        <w:ind w:firstLine="420"/>
      </w:pPr>
      <w:r>
        <w:rPr>
          <w:rFonts w:ascii="Calibri" w:hAnsi="Calibri" w:eastAsia="宋体"/>
          <w:sz w:val="22"/>
        </w:rPr>
        <w:t>项目申请经费按不超过150万元测算，预算应结合具体申报通知、预算编制口径和单位财务制度进一步调整。以下为本稿建议。</w:t>
      </w:r>
    </w:p>
    <w:tbl>
      <w:tblPr>
        <w:tblStyle w:val="TableGrid"/>
        <w:tblW w:type="auto" w:w="0"/>
        <w:jc w:val="center"/>
        <w:tblLook w:firstColumn="1" w:firstRow="1" w:lastColumn="0" w:lastRow="0" w:noHBand="0" w:noVBand="1" w:val="04A0"/>
      </w:tblPr>
      <w:tblGrid>
        <w:gridCol w:w="3120"/>
        <w:gridCol w:w="3120"/>
        <w:gridCol w:w="3120"/>
      </w:tblGrid>
      <w:tr>
        <w:tc>
          <w:tcPr>
            <w:tcW w:type="dxa" w:w="2376"/>
            <w:shd w:fill="F2F2F2"/>
            <w:vAlign w:val="center"/>
          </w:tcPr>
          <w:p>
            <w:pPr>
              <w:spacing w:before="0" w:after="0" w:line="276" w:lineRule="auto"/>
              <w:jc w:val="center"/>
            </w:pPr>
            <w:r/>
            <w:r>
              <w:rPr>
                <w:rFonts w:ascii="Calibri" w:hAnsi="Calibri" w:eastAsia="宋体"/>
                <w:b/>
                <w:sz w:val="21"/>
              </w:rPr>
              <w:t>科目</w:t>
            </w:r>
          </w:p>
        </w:tc>
        <w:tc>
          <w:tcPr>
            <w:tcW w:type="dxa" w:w="1584"/>
            <w:shd w:fill="F2F2F2"/>
            <w:vAlign w:val="center"/>
          </w:tcPr>
          <w:p>
            <w:pPr>
              <w:spacing w:before="0" w:after="0" w:line="276" w:lineRule="auto"/>
              <w:jc w:val="center"/>
            </w:pPr>
            <w:r/>
            <w:r>
              <w:rPr>
                <w:rFonts w:ascii="Calibri" w:hAnsi="Calibri" w:eastAsia="宋体"/>
                <w:b/>
                <w:sz w:val="21"/>
              </w:rPr>
              <w:t>金额（万元）</w:t>
            </w:r>
          </w:p>
        </w:tc>
        <w:tc>
          <w:tcPr>
            <w:tcW w:type="dxa" w:w="5400"/>
            <w:shd w:fill="F2F2F2"/>
            <w:vAlign w:val="center"/>
          </w:tcPr>
          <w:p>
            <w:pPr>
              <w:spacing w:before="0" w:after="0" w:line="276" w:lineRule="auto"/>
              <w:jc w:val="center"/>
            </w:pPr>
            <w:r/>
            <w:r>
              <w:rPr>
                <w:rFonts w:ascii="Calibri" w:hAnsi="Calibri" w:eastAsia="宋体"/>
                <w:b/>
                <w:sz w:val="21"/>
              </w:rPr>
              <w:t>主要用途</w:t>
            </w:r>
          </w:p>
        </w:tc>
      </w:tr>
      <w:tr>
        <w:tc>
          <w:tcPr>
            <w:tcW w:type="dxa" w:w="2376"/>
            <w:vAlign w:val="center"/>
          </w:tcPr>
          <w:p>
            <w:pPr>
              <w:spacing w:before="0" w:after="0" w:line="276" w:lineRule="auto"/>
              <w:jc w:val="left"/>
            </w:pPr>
            <w:r/>
            <w:r>
              <w:rPr>
                <w:rFonts w:ascii="Calibri" w:hAnsi="Calibri" w:eastAsia="宋体"/>
                <w:b w:val="0"/>
                <w:sz w:val="21"/>
              </w:rPr>
              <w:t>设备费/测试设备租赁</w:t>
            </w:r>
          </w:p>
        </w:tc>
        <w:tc>
          <w:tcPr>
            <w:tcW w:type="dxa" w:w="1584"/>
            <w:vAlign w:val="center"/>
          </w:tcPr>
          <w:p>
            <w:pPr>
              <w:spacing w:before="0" w:after="0" w:line="276" w:lineRule="auto"/>
              <w:jc w:val="left"/>
            </w:pPr>
            <w:r/>
            <w:r>
              <w:rPr>
                <w:rFonts w:ascii="Calibri" w:hAnsi="Calibri" w:eastAsia="宋体"/>
                <w:b w:val="0"/>
                <w:sz w:val="21"/>
              </w:rPr>
              <w:t>35</w:t>
            </w:r>
          </w:p>
        </w:tc>
        <w:tc>
          <w:tcPr>
            <w:tcW w:type="dxa" w:w="5400"/>
            <w:vAlign w:val="center"/>
          </w:tcPr>
          <w:p>
            <w:pPr>
              <w:spacing w:before="0" w:after="0" w:line="276" w:lineRule="auto"/>
              <w:jc w:val="left"/>
            </w:pPr>
            <w:r/>
            <w:r>
              <w:rPr>
                <w:rFonts w:ascii="Calibri" w:hAnsi="Calibri" w:eastAsia="宋体"/>
                <w:b w:val="0"/>
                <w:sz w:val="21"/>
              </w:rPr>
              <w:t>边缘计算节点、传感器接口、通信测试设备、数据采集与存储设备等。</w:t>
            </w:r>
          </w:p>
        </w:tc>
      </w:tr>
      <w:tr>
        <w:tc>
          <w:tcPr>
            <w:tcW w:type="dxa" w:w="2376"/>
            <w:vAlign w:val="center"/>
          </w:tcPr>
          <w:p>
            <w:pPr>
              <w:spacing w:before="0" w:after="0" w:line="276" w:lineRule="auto"/>
              <w:jc w:val="left"/>
            </w:pPr>
            <w:r/>
            <w:r>
              <w:rPr>
                <w:rFonts w:ascii="Calibri" w:hAnsi="Calibri" w:eastAsia="宋体"/>
                <w:b w:val="0"/>
                <w:sz w:val="21"/>
              </w:rPr>
              <w:t>材料与数据服务费</w:t>
            </w:r>
          </w:p>
        </w:tc>
        <w:tc>
          <w:tcPr>
            <w:tcW w:type="dxa" w:w="1584"/>
            <w:vAlign w:val="center"/>
          </w:tcPr>
          <w:p>
            <w:pPr>
              <w:spacing w:before="0" w:after="0" w:line="276" w:lineRule="auto"/>
              <w:jc w:val="left"/>
            </w:pPr>
            <w:r/>
            <w:r>
              <w:rPr>
                <w:rFonts w:ascii="Calibri" w:hAnsi="Calibri" w:eastAsia="宋体"/>
                <w:b w:val="0"/>
                <w:sz w:val="21"/>
              </w:rPr>
              <w:t>18</w:t>
            </w:r>
          </w:p>
        </w:tc>
        <w:tc>
          <w:tcPr>
            <w:tcW w:type="dxa" w:w="5400"/>
            <w:vAlign w:val="center"/>
          </w:tcPr>
          <w:p>
            <w:pPr>
              <w:spacing w:before="0" w:after="0" w:line="276" w:lineRule="auto"/>
              <w:jc w:val="left"/>
            </w:pPr>
            <w:r/>
            <w:r>
              <w:rPr>
                <w:rFonts w:ascii="Calibri" w:hAnsi="Calibri" w:eastAsia="宋体"/>
                <w:b w:val="0"/>
                <w:sz w:val="21"/>
              </w:rPr>
              <w:t>数据存储介质、传感器辅材、海况/气象数据服务、测试样本整理等。</w:t>
            </w:r>
          </w:p>
        </w:tc>
      </w:tr>
      <w:tr>
        <w:tc>
          <w:tcPr>
            <w:tcW w:type="dxa" w:w="2376"/>
            <w:vAlign w:val="center"/>
          </w:tcPr>
          <w:p>
            <w:pPr>
              <w:spacing w:before="0" w:after="0" w:line="276" w:lineRule="auto"/>
              <w:jc w:val="left"/>
            </w:pPr>
            <w:r/>
            <w:r>
              <w:rPr>
                <w:rFonts w:ascii="Calibri" w:hAnsi="Calibri" w:eastAsia="宋体"/>
                <w:b w:val="0"/>
                <w:sz w:val="21"/>
              </w:rPr>
              <w:t>测试化验加工费</w:t>
            </w:r>
          </w:p>
        </w:tc>
        <w:tc>
          <w:tcPr>
            <w:tcW w:type="dxa" w:w="1584"/>
            <w:vAlign w:val="center"/>
          </w:tcPr>
          <w:p>
            <w:pPr>
              <w:spacing w:before="0" w:after="0" w:line="276" w:lineRule="auto"/>
              <w:jc w:val="left"/>
            </w:pPr>
            <w:r/>
            <w:r>
              <w:rPr>
                <w:rFonts w:ascii="Calibri" w:hAnsi="Calibri" w:eastAsia="宋体"/>
                <w:b w:val="0"/>
                <w:sz w:val="21"/>
              </w:rPr>
              <w:t>22</w:t>
            </w:r>
          </w:p>
        </w:tc>
        <w:tc>
          <w:tcPr>
            <w:tcW w:type="dxa" w:w="5400"/>
            <w:vAlign w:val="center"/>
          </w:tcPr>
          <w:p>
            <w:pPr>
              <w:spacing w:before="0" w:after="0" w:line="276" w:lineRule="auto"/>
              <w:jc w:val="left"/>
            </w:pPr>
            <w:r/>
            <w:r>
              <w:rPr>
                <w:rFonts w:ascii="Calibri" w:hAnsi="Calibri" w:eastAsia="宋体"/>
                <w:b w:val="0"/>
                <w:sz w:val="21"/>
              </w:rPr>
              <w:t>振动/声学采集测试、半实物仿真、模型验证和第三方测试等。</w:t>
            </w:r>
          </w:p>
        </w:tc>
      </w:tr>
      <w:tr>
        <w:tc>
          <w:tcPr>
            <w:tcW w:type="dxa" w:w="2376"/>
            <w:vAlign w:val="center"/>
          </w:tcPr>
          <w:p>
            <w:pPr>
              <w:spacing w:before="0" w:after="0" w:line="276" w:lineRule="auto"/>
              <w:jc w:val="left"/>
            </w:pPr>
            <w:r/>
            <w:r>
              <w:rPr>
                <w:rFonts w:ascii="Calibri" w:hAnsi="Calibri" w:eastAsia="宋体"/>
                <w:b w:val="0"/>
                <w:sz w:val="21"/>
              </w:rPr>
              <w:t>软件与云资源费</w:t>
            </w:r>
          </w:p>
        </w:tc>
        <w:tc>
          <w:tcPr>
            <w:tcW w:type="dxa" w:w="1584"/>
            <w:vAlign w:val="center"/>
          </w:tcPr>
          <w:p>
            <w:pPr>
              <w:spacing w:before="0" w:after="0" w:line="276" w:lineRule="auto"/>
              <w:jc w:val="left"/>
            </w:pPr>
            <w:r/>
            <w:r>
              <w:rPr>
                <w:rFonts w:ascii="Calibri" w:hAnsi="Calibri" w:eastAsia="宋体"/>
                <w:b w:val="0"/>
                <w:sz w:val="21"/>
              </w:rPr>
              <w:t>20</w:t>
            </w:r>
          </w:p>
        </w:tc>
        <w:tc>
          <w:tcPr>
            <w:tcW w:type="dxa" w:w="5400"/>
            <w:vAlign w:val="center"/>
          </w:tcPr>
          <w:p>
            <w:pPr>
              <w:spacing w:before="0" w:after="0" w:line="276" w:lineRule="auto"/>
              <w:jc w:val="left"/>
            </w:pPr>
            <w:r/>
            <w:r>
              <w:rPr>
                <w:rFonts w:ascii="Calibri" w:hAnsi="Calibri" w:eastAsia="宋体"/>
                <w:b w:val="0"/>
                <w:sz w:val="21"/>
              </w:rPr>
              <w:t>算法训练算力、数据管理、模型部署、原型系统运行环境等。</w:t>
            </w:r>
          </w:p>
        </w:tc>
      </w:tr>
      <w:tr>
        <w:tc>
          <w:tcPr>
            <w:tcW w:type="dxa" w:w="2376"/>
            <w:vAlign w:val="center"/>
          </w:tcPr>
          <w:p>
            <w:pPr>
              <w:spacing w:before="0" w:after="0" w:line="276" w:lineRule="auto"/>
              <w:jc w:val="left"/>
            </w:pPr>
            <w:r/>
            <w:r>
              <w:rPr>
                <w:rFonts w:ascii="Calibri" w:hAnsi="Calibri" w:eastAsia="宋体"/>
                <w:b w:val="0"/>
                <w:sz w:val="21"/>
              </w:rPr>
              <w:t>劳务费</w:t>
            </w:r>
          </w:p>
        </w:tc>
        <w:tc>
          <w:tcPr>
            <w:tcW w:type="dxa" w:w="1584"/>
            <w:vAlign w:val="center"/>
          </w:tcPr>
          <w:p>
            <w:pPr>
              <w:spacing w:before="0" w:after="0" w:line="276" w:lineRule="auto"/>
              <w:jc w:val="left"/>
            </w:pPr>
            <w:r/>
            <w:r>
              <w:rPr>
                <w:rFonts w:ascii="Calibri" w:hAnsi="Calibri" w:eastAsia="宋体"/>
                <w:b w:val="0"/>
                <w:sz w:val="21"/>
              </w:rPr>
              <w:t>25</w:t>
            </w:r>
          </w:p>
        </w:tc>
        <w:tc>
          <w:tcPr>
            <w:tcW w:type="dxa" w:w="5400"/>
            <w:vAlign w:val="center"/>
          </w:tcPr>
          <w:p>
            <w:pPr>
              <w:spacing w:before="0" w:after="0" w:line="276" w:lineRule="auto"/>
              <w:jc w:val="left"/>
            </w:pPr>
            <w:r/>
            <w:r>
              <w:rPr>
                <w:rFonts w:ascii="Calibri" w:hAnsi="Calibri" w:eastAsia="宋体"/>
                <w:b w:val="0"/>
                <w:sz w:val="21"/>
              </w:rPr>
              <w:t>研究助理、数据标注、测试辅助和系统联调人员劳务。</w:t>
            </w:r>
          </w:p>
        </w:tc>
      </w:tr>
      <w:tr>
        <w:tc>
          <w:tcPr>
            <w:tcW w:type="dxa" w:w="2376"/>
            <w:vAlign w:val="center"/>
          </w:tcPr>
          <w:p>
            <w:pPr>
              <w:spacing w:before="0" w:after="0" w:line="276" w:lineRule="auto"/>
              <w:jc w:val="left"/>
            </w:pPr>
            <w:r/>
            <w:r>
              <w:rPr>
                <w:rFonts w:ascii="Calibri" w:hAnsi="Calibri" w:eastAsia="宋体"/>
                <w:b w:val="0"/>
                <w:sz w:val="21"/>
              </w:rPr>
              <w:t>差旅/会议/调研费</w:t>
            </w:r>
          </w:p>
        </w:tc>
        <w:tc>
          <w:tcPr>
            <w:tcW w:type="dxa" w:w="1584"/>
            <w:vAlign w:val="center"/>
          </w:tcPr>
          <w:p>
            <w:pPr>
              <w:spacing w:before="0" w:after="0" w:line="276" w:lineRule="auto"/>
              <w:jc w:val="left"/>
            </w:pPr>
            <w:r/>
            <w:r>
              <w:rPr>
                <w:rFonts w:ascii="Calibri" w:hAnsi="Calibri" w:eastAsia="宋体"/>
                <w:b w:val="0"/>
                <w:sz w:val="21"/>
              </w:rPr>
              <w:t>12</w:t>
            </w:r>
          </w:p>
        </w:tc>
        <w:tc>
          <w:tcPr>
            <w:tcW w:type="dxa" w:w="5400"/>
            <w:vAlign w:val="center"/>
          </w:tcPr>
          <w:p>
            <w:pPr>
              <w:spacing w:before="0" w:after="0" w:line="276" w:lineRule="auto"/>
              <w:jc w:val="left"/>
            </w:pPr>
            <w:r/>
            <w:r>
              <w:rPr>
                <w:rFonts w:ascii="Calibri" w:hAnsi="Calibri" w:eastAsia="宋体"/>
                <w:b w:val="0"/>
                <w:sz w:val="21"/>
              </w:rPr>
              <w:t>合作单位调研、风场现场沟通、项目评审和技术交流。</w:t>
            </w:r>
          </w:p>
        </w:tc>
      </w:tr>
      <w:tr>
        <w:tc>
          <w:tcPr>
            <w:tcW w:type="dxa" w:w="2376"/>
            <w:vAlign w:val="center"/>
          </w:tcPr>
          <w:p>
            <w:pPr>
              <w:spacing w:before="0" w:after="0" w:line="276" w:lineRule="auto"/>
              <w:jc w:val="left"/>
            </w:pPr>
            <w:r/>
            <w:r>
              <w:rPr>
                <w:rFonts w:ascii="Calibri" w:hAnsi="Calibri" w:eastAsia="宋体"/>
                <w:b w:val="0"/>
                <w:sz w:val="21"/>
              </w:rPr>
              <w:t>出版/文献/知识产权费</w:t>
            </w:r>
          </w:p>
        </w:tc>
        <w:tc>
          <w:tcPr>
            <w:tcW w:type="dxa" w:w="1584"/>
            <w:vAlign w:val="center"/>
          </w:tcPr>
          <w:p>
            <w:pPr>
              <w:spacing w:before="0" w:after="0" w:line="276" w:lineRule="auto"/>
              <w:jc w:val="left"/>
            </w:pPr>
            <w:r/>
            <w:r>
              <w:rPr>
                <w:rFonts w:ascii="Calibri" w:hAnsi="Calibri" w:eastAsia="宋体"/>
                <w:b w:val="0"/>
                <w:sz w:val="21"/>
              </w:rPr>
              <w:t>8</w:t>
            </w:r>
          </w:p>
        </w:tc>
        <w:tc>
          <w:tcPr>
            <w:tcW w:type="dxa" w:w="5400"/>
            <w:vAlign w:val="center"/>
          </w:tcPr>
          <w:p>
            <w:pPr>
              <w:spacing w:before="0" w:after="0" w:line="276" w:lineRule="auto"/>
              <w:jc w:val="left"/>
            </w:pPr>
            <w:r/>
            <w:r>
              <w:rPr>
                <w:rFonts w:ascii="Calibri" w:hAnsi="Calibri" w:eastAsia="宋体"/>
                <w:b w:val="0"/>
                <w:sz w:val="21"/>
              </w:rPr>
              <w:t>论文版面、专利/软著申请、文献资料和标准查新。</w:t>
            </w:r>
          </w:p>
        </w:tc>
      </w:tr>
      <w:tr>
        <w:tc>
          <w:tcPr>
            <w:tcW w:type="dxa" w:w="2376"/>
            <w:vAlign w:val="center"/>
          </w:tcPr>
          <w:p>
            <w:pPr>
              <w:spacing w:before="0" w:after="0" w:line="276" w:lineRule="auto"/>
              <w:jc w:val="left"/>
            </w:pPr>
            <w:r/>
            <w:r>
              <w:rPr>
                <w:rFonts w:ascii="Calibri" w:hAnsi="Calibri" w:eastAsia="宋体"/>
                <w:b w:val="0"/>
                <w:sz w:val="21"/>
              </w:rPr>
              <w:t>专家咨询及其他</w:t>
            </w:r>
          </w:p>
        </w:tc>
        <w:tc>
          <w:tcPr>
            <w:tcW w:type="dxa" w:w="1584"/>
            <w:vAlign w:val="center"/>
          </w:tcPr>
          <w:p>
            <w:pPr>
              <w:spacing w:before="0" w:after="0" w:line="276" w:lineRule="auto"/>
              <w:jc w:val="left"/>
            </w:pPr>
            <w:r/>
            <w:r>
              <w:rPr>
                <w:rFonts w:ascii="Calibri" w:hAnsi="Calibri" w:eastAsia="宋体"/>
                <w:b w:val="0"/>
                <w:sz w:val="21"/>
              </w:rPr>
              <w:t>10</w:t>
            </w:r>
          </w:p>
        </w:tc>
        <w:tc>
          <w:tcPr>
            <w:tcW w:type="dxa" w:w="5400"/>
            <w:vAlign w:val="center"/>
          </w:tcPr>
          <w:p>
            <w:pPr>
              <w:spacing w:before="0" w:after="0" w:line="276" w:lineRule="auto"/>
              <w:jc w:val="left"/>
            </w:pPr>
            <w:r/>
            <w:r>
              <w:rPr>
                <w:rFonts w:ascii="Calibri" w:hAnsi="Calibri" w:eastAsia="宋体"/>
                <w:b w:val="0"/>
                <w:sz w:val="21"/>
              </w:rPr>
              <w:t>领域专家咨询、方案论证、结题验收材料等。</w:t>
            </w:r>
          </w:p>
        </w:tc>
      </w:tr>
      <w:tr>
        <w:tc>
          <w:tcPr>
            <w:tcW w:type="dxa" w:w="2376"/>
            <w:vAlign w:val="center"/>
          </w:tcPr>
          <w:p>
            <w:pPr>
              <w:spacing w:before="0" w:after="0" w:line="276" w:lineRule="auto"/>
              <w:jc w:val="left"/>
            </w:pPr>
            <w:r/>
            <w:r>
              <w:rPr>
                <w:rFonts w:ascii="Calibri" w:hAnsi="Calibri" w:eastAsia="宋体"/>
                <w:b w:val="0"/>
                <w:sz w:val="21"/>
              </w:rPr>
              <w:t>合计</w:t>
            </w:r>
          </w:p>
        </w:tc>
        <w:tc>
          <w:tcPr>
            <w:tcW w:type="dxa" w:w="1584"/>
            <w:vAlign w:val="center"/>
          </w:tcPr>
          <w:p>
            <w:pPr>
              <w:spacing w:before="0" w:after="0" w:line="276" w:lineRule="auto"/>
              <w:jc w:val="left"/>
            </w:pPr>
            <w:r/>
            <w:r>
              <w:rPr>
                <w:rFonts w:ascii="Calibri" w:hAnsi="Calibri" w:eastAsia="宋体"/>
                <w:b w:val="0"/>
                <w:sz w:val="21"/>
              </w:rPr>
              <w:t>150</w:t>
            </w:r>
          </w:p>
        </w:tc>
        <w:tc>
          <w:tcPr>
            <w:tcW w:type="dxa" w:w="5400"/>
            <w:vAlign w:val="center"/>
          </w:tcPr>
          <w:p>
            <w:pPr>
              <w:spacing w:before="0" w:after="0" w:line="276" w:lineRule="auto"/>
              <w:jc w:val="left"/>
            </w:pPr>
            <w:r/>
            <w:r>
              <w:rPr>
                <w:rFonts w:ascii="Calibri" w:hAnsi="Calibri" w:eastAsia="宋体"/>
                <w:b w:val="0"/>
                <w:sz w:val="21"/>
              </w:rPr>
              <w:t>控制在150万元以内。</w:t>
            </w:r>
          </w:p>
        </w:tc>
      </w:tr>
    </w:tbl>
    <w:p>
      <w:pPr>
        <w:spacing w:after="80"/>
      </w:pPr>
    </w:p>
    <w:p>
      <w:pPr>
        <w:spacing w:before="320" w:after="160"/>
      </w:pPr>
      <w:r>
        <w:rPr>
          <w:rFonts w:ascii="Calibri" w:hAnsi="Calibri" w:eastAsia="黑体"/>
          <w:b/>
          <w:color w:val="000000"/>
          <w:sz w:val="32"/>
        </w:rPr>
        <w:t>十二、需进一步补充的材料</w:t>
      </w:r>
    </w:p>
    <w:p>
      <w:pPr>
        <w:pStyle w:val="ListBullet"/>
        <w:spacing w:after="80" w:line="290" w:lineRule="auto"/>
      </w:pPr>
      <w:r>
        <w:rPr>
          <w:rFonts w:ascii="Calibri" w:hAnsi="Calibri" w:eastAsia="宋体"/>
          <w:sz w:val="22"/>
        </w:rPr>
        <w:t>申报单位和负责人正式信息，包括团队成员分工、职称、学历、代表性成果。</w:t>
      </w:r>
    </w:p>
    <w:p>
      <w:pPr>
        <w:pStyle w:val="ListBullet"/>
        <w:spacing w:after="80" w:line="290" w:lineRule="auto"/>
      </w:pPr>
      <w:r>
        <w:rPr>
          <w:rFonts w:ascii="Calibri" w:hAnsi="Calibri" w:eastAsia="宋体"/>
          <w:sz w:val="22"/>
        </w:rPr>
        <w:t>拟合作海上风电场或企业证明材料，包括数据来源、示范场景和应用需求说明。</w:t>
      </w:r>
    </w:p>
    <w:p>
      <w:pPr>
        <w:pStyle w:val="ListBullet"/>
        <w:spacing w:after="80" w:line="290" w:lineRule="auto"/>
      </w:pPr>
      <w:r>
        <w:rPr>
          <w:rFonts w:ascii="Calibri" w:hAnsi="Calibri" w:eastAsia="宋体"/>
          <w:sz w:val="22"/>
        </w:rPr>
        <w:t>已有软件系统截图、功能清单、测试报告或演示材料。</w:t>
      </w:r>
    </w:p>
    <w:p>
      <w:pPr>
        <w:pStyle w:val="ListBullet"/>
        <w:spacing w:after="80" w:line="290" w:lineRule="auto"/>
      </w:pPr>
      <w:r>
        <w:rPr>
          <w:rFonts w:ascii="Calibri" w:hAnsi="Calibri" w:eastAsia="宋体"/>
          <w:sz w:val="22"/>
        </w:rPr>
        <w:t>真实或脱敏的风机振动、声学、SCADA、气象海况样例数据说明。</w:t>
      </w:r>
    </w:p>
    <w:p>
      <w:pPr>
        <w:pStyle w:val="ListBullet"/>
        <w:spacing w:after="80" w:line="290" w:lineRule="auto"/>
      </w:pPr>
      <w:r>
        <w:rPr>
          <w:rFonts w:ascii="Calibri" w:hAnsi="Calibri" w:eastAsia="宋体"/>
          <w:sz w:val="22"/>
        </w:rPr>
        <w:t>与申报指南对应的格式要求、字数限制、附件清单和预算科目限制。</w:t>
      </w:r>
    </w:p>
    <w:p>
      <w:pPr>
        <w:spacing w:before="320" w:after="160"/>
      </w:pPr>
      <w:r>
        <w:rPr>
          <w:rFonts w:ascii="Calibri" w:hAnsi="Calibri" w:eastAsia="黑体"/>
          <w:b/>
          <w:color w:val="000000"/>
          <w:sz w:val="32"/>
        </w:rPr>
        <w:t>参考依据</w:t>
      </w:r>
    </w:p>
    <w:p>
      <w:pPr>
        <w:pStyle w:val="ListBullet"/>
        <w:spacing w:after="80" w:line="290" w:lineRule="auto"/>
      </w:pPr>
      <w:r>
        <w:rPr>
          <w:rFonts w:ascii="Calibri" w:hAnsi="Calibri" w:eastAsia="宋体"/>
          <w:sz w:val="22"/>
        </w:rPr>
        <w:t>项目指南摘录：海上风电系统远程监测与风险评估技术，F0102 信息系统与系统安全，资助金额不超过150万元。</w:t>
      </w:r>
    </w:p>
    <w:p>
      <w:pPr>
        <w:pStyle w:val="ListBullet"/>
        <w:spacing w:after="80" w:line="290" w:lineRule="auto"/>
      </w:pPr>
      <w:r>
        <w:rPr>
          <w:rFonts w:ascii="Calibri" w:hAnsi="Calibri" w:eastAsia="宋体"/>
          <w:sz w:val="22"/>
        </w:rPr>
        <w:t>国家发展改革委、国家能源局等：《“十四五”可再生能源发展规划》，提出积极推进海上风电基地建设、推动深远海海上风电技术创新和示范应用、推动海上风电运维数字化智能化发展。</w:t>
      </w:r>
    </w:p>
    <w:p>
      <w:pPr>
        <w:pStyle w:val="ListBullet"/>
        <w:spacing w:after="80" w:line="290" w:lineRule="auto"/>
      </w:pPr>
      <w:r>
        <w:rPr>
          <w:rFonts w:ascii="Calibri" w:hAnsi="Calibri" w:eastAsia="宋体"/>
          <w:sz w:val="22"/>
        </w:rPr>
        <w:t>Lei Kou 等：Review on Monitoring, Operation and Maintenance of Smart Offshore Wind Farms，指出海上风电运维正向数字化、智能化方向发展，监测、运维和智慧风场建设对降低运维成本、提高发电效率和系统稳定性具有重要意义。</w:t>
      </w:r>
    </w:p>
    <w:p>
      <w:pPr>
        <w:pStyle w:val="ListBullet"/>
        <w:spacing w:after="80" w:line="290" w:lineRule="auto"/>
      </w:pPr>
      <w:r>
        <w:rPr>
          <w:rFonts w:ascii="Calibri" w:hAnsi="Calibri" w:eastAsia="宋体"/>
          <w:sz w:val="22"/>
        </w:rPr>
        <w:t>Joyjit Chatterjee、Nina Dethlefs：Scientometric Review of Artificial Intelligence for Operations &amp; Maintenance of Wind Turbines，指出风电智能运维面临数据质量、模型透明性和实时决策落地等关键挑战。</w:t>
      </w:r>
    </w:p>
    <w:p>
      <w:pPr>
        <w:pStyle w:val="ListBullet"/>
        <w:spacing w:after="80" w:line="290" w:lineRule="auto"/>
      </w:pPr>
      <w:r>
        <w:rPr>
          <w:rFonts w:ascii="Calibri" w:hAnsi="Calibri" w:eastAsia="宋体"/>
          <w:sz w:val="22"/>
        </w:rPr>
        <w:t>Florian Stadtman 等：Digital Twins in Wind Energy: Emerging Technologies and Industry-Informed Future Directions，梳理了风能数字孪生从描述、诊断、预测到自主决策的能力演进，为本项目平台化和决策化方向提供参考。</w:t>
      </w:r>
    </w:p>
    <w:p>
      <w:pPr>
        <w:pStyle w:val="ListBullet"/>
        <w:spacing w:after="80" w:line="290" w:lineRule="auto"/>
      </w:pPr>
      <w:r>
        <w:rPr>
          <w:rFonts w:ascii="Calibri" w:hAnsi="Calibri" w:eastAsia="宋体"/>
          <w:sz w:val="22"/>
        </w:rPr>
        <w:t>团队前期类似研究工作资料：已涉及叶片FBG光纤加速度/应变载荷传感器、塔筒BOTDA分布式光纤传感、点式FBG应变与温度补偿传感器、光纤光栅解调仪及分层数据传输链路等相关技术积累。</w:t>
      </w:r>
    </w:p>
    <w:p>
      <w:pPr>
        <w:pStyle w:val="ListBullet"/>
        <w:spacing w:after="80" w:line="290" w:lineRule="auto"/>
      </w:pPr>
      <w:r>
        <w:rPr>
          <w:rFonts w:ascii="Calibri" w:hAnsi="Calibri" w:eastAsia="宋体"/>
          <w:sz w:val="22"/>
        </w:rPr>
        <w:t>团队既有技术资料：风机轴承诊断参数、典型通道映射、分析需求、诊断规则架构和系统信息架构等。</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5A5A5A"/>
        <w:sz w:val="18"/>
      </w:rPr>
      <w:t>海上风电系统远程监测与风险评估技术项目申报书（结构优化稿）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宋体" w:hAnsi="宋体"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