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SA-CVA</w:t>
      </w:r>
      <w:r>
        <w:t xml:space="preserve"> </w:t>
      </w:r>
      <w:r>
        <w:t xml:space="preserve">effective</w:t>
      </w:r>
      <w:r>
        <w:t xml:space="preserve"> </w:t>
      </w:r>
      <w:r>
        <w:t xml:space="preserve">risk</w:t>
      </w:r>
      <w:r>
        <w:t xml:space="preserve"> </w:t>
      </w:r>
      <w:r>
        <w:t xml:space="preserve">weight</w:t>
      </w:r>
      <w:r>
        <w:t xml:space="preserve"> </w:t>
      </w:r>
      <w:r>
        <w:t xml:space="preserve">methodology</w:t>
      </w:r>
    </w:p>
    <w:p>
      <w:pPr>
        <w:pStyle w:val="Date"/>
      </w:pPr>
      <w:r>
        <w:t xml:space="preserve">20</w:t>
      </w:r>
      <w:r>
        <w:t xml:space="preserve"> </w:t>
      </w:r>
      <w:r>
        <w:t xml:space="preserve">October</w:t>
      </w:r>
      <w:r>
        <w:t xml:space="preserve"> </w:t>
      </w:r>
      <w:r>
        <w:t xml:space="preserve">2026</w:t>
      </w:r>
    </w:p>
    <w:p>
      <w:pPr>
        <w:pStyle w:val="FirstParagraph"/>
      </w:pPr>
      <w:r>
        <w:t xml:space="preserve">The CVA pricing charge per $1 CR01 should be the Euler slope of SA-CVA capital plus a size term evaluated at the actual trade CR01. A single fixed probe ($1 or $10k/bp) is accurate at only one end of the trade-size range and is inconsistent across buckets.</w:t>
      </w:r>
    </w:p>
    <w:bookmarkStart w:id="24" w:name="Xc34a509eb2357cec6b8f6f915d24fe8c2dbaf29"/>
    <w:p>
      <w:pPr>
        <w:pStyle w:val="Heading1"/>
      </w:pPr>
      <w:r>
        <w:t xml:space="preserve">1. Background: SA-CVA under OSFI CAR Chapter 8</w:t>
      </w:r>
    </w:p>
    <w:p>
      <w:pPr>
        <w:pStyle w:val="FirstParagraph"/>
      </w:pPr>
      <w:r>
        <w:t xml:space="preserve">SA-CVA capital (OSFI CAR Chapter 8, section 8.3, mirroring Basel MAR50) is a sensitivities-based charge on regulatory CVA and its eligible hedges. The 2026 and 2027 texts of sections 8.3.3 to 8.3.10 are identical.</w:t>
      </w:r>
    </w:p>
    <w:bookmarkStart w:id="20" w:name="sensitivities"/>
    <w:p>
      <w:pPr>
        <w:pStyle w:val="Heading2"/>
      </w:pPr>
      <w:r>
        <w:t xml:space="preserve">1.1 Sensitivities</w:t>
      </w:r>
    </w:p>
    <w:p>
      <w:pPr>
        <w:pStyle w:val="FirstParagraph"/>
      </w:pPr>
      <w:r>
        <w:t xml:space="preserve">Sensitivities are taken for regulatory CVA and for the market value of eligible hedges, per risk factor</w:t>
      </w:r>
      <w:r>
        <w:t xml:space="preserve"> </w:t>
      </w:r>
      <m:oMath>
        <m:r>
          <m:t>k</m:t>
        </m:r>
      </m:oMath>
      <w:r>
        <w:t xml:space="preserve">. They are normalised by the shift size:</w:t>
      </w:r>
    </w:p>
    <w:p>
      <w:pPr>
        <w:pStyle w:val="BodyText"/>
      </w:pPr>
      <m:oMathPara>
        <m:oMathParaPr>
          <m:jc m:val="center"/>
        </m:oMathParaPr>
        <m:oMath>
          <m:sSub>
            <m:e>
              <m:r>
                <m:t>s</m:t>
              </m:r>
            </m:e>
            <m:sub>
              <m:r>
                <m:t>k</m:t>
              </m:r>
            </m:sub>
          </m:sSub>
          <m:r>
            <m:rPr>
              <m:sty m:val="p"/>
            </m:rPr>
            <m:t>=</m:t>
          </m:r>
          <m:f>
            <m:fPr>
              <m:type m:val="bar"/>
            </m:fPr>
            <m:num>
              <m:r>
                <m:t>Δ</m:t>
              </m:r>
              <m:sSub>
                <m:e>
                  <m:r>
                    <m:t>V</m:t>
                  </m:r>
                </m:e>
                <m:sub>
                  <m:r>
                    <m:t>k</m:t>
                  </m:r>
                </m:sub>
              </m:sSub>
            </m:num>
            <m:den>
              <m:r>
                <m:t>0.0001</m:t>
              </m:r>
            </m:den>
          </m:f>
          <m:r>
            <m:t> </m:t>
          </m:r>
          <m:r>
            <m:rPr>
              <m:nor/>
              <m:sty m:val="p"/>
            </m:rPr>
            <m:t>(bp factors: CCS, IR, RCS delta)</m:t>
          </m:r>
          <m:r>
            <m:t>  </m:t>
          </m:r>
          <m:sSub>
            <m:e>
              <m:r>
                <m:t>s</m:t>
              </m:r>
            </m:e>
            <m:sub>
              <m:r>
                <m:t>k</m:t>
              </m:r>
            </m:sub>
          </m:sSub>
          <m:r>
            <m:rPr>
              <m:sty m:val="p"/>
            </m:rPr>
            <m:t>=</m:t>
          </m:r>
          <m:f>
            <m:fPr>
              <m:type m:val="bar"/>
            </m:fPr>
            <m:num>
              <m:r>
                <m:t>Δ</m:t>
              </m:r>
              <m:sSub>
                <m:e>
                  <m:r>
                    <m:t>V</m:t>
                  </m:r>
                </m:e>
                <m:sub>
                  <m:r>
                    <m:t>k</m:t>
                  </m:r>
                </m:sub>
              </m:sSub>
            </m:num>
            <m:den>
              <m:r>
                <m:t>0.01</m:t>
              </m:r>
            </m:den>
          </m:f>
          <m:r>
            <m:t> </m:t>
          </m:r>
          <m:r>
            <m:rPr>
              <m:nor/>
              <m:sty m:val="p"/>
            </m:rPr>
            <m:t>(1%relative factors: FX, EQ, CMDTY delta, all vega)</m:t>
          </m:r>
        </m:oMath>
      </m:oMathPara>
    </w:p>
    <w:p>
      <w:pPr>
        <w:pStyle w:val="FirstParagraph"/>
      </w:pPr>
      <w:r>
        <w:t xml:space="preserve">A $1/bp CR01 is therefore 10,000 normalised units. Counterparty credit spread (CCS) is delta only, on tenors 0.5Y, 1Y, 3Y, 5Y and 10Y per name.</w:t>
      </w:r>
    </w:p>
    <w:bookmarkEnd w:id="20"/>
    <w:bookmarkStart w:id="21" w:name="X7ad578fea32c9ac2c0496255cc6baae9d54caa7"/>
    <w:p>
      <w:pPr>
        <w:pStyle w:val="Heading2"/>
      </w:pPr>
      <w:r>
        <w:t xml:space="preserve">1.2 Weighted sensitivities and bucket capital</w:t>
      </w:r>
    </w:p>
    <w:p>
      <w:pPr>
        <w:pStyle w:val="FirstParagraph"/>
      </w:pPr>
      <w:r>
        <w:t xml:space="preserve">Each sensitivity is multiplied by its regulatory risk weight. Hedges offset CVA (MAR50.53):</w:t>
      </w:r>
    </w:p>
    <w:p>
      <w:pPr>
        <w:pStyle w:val="BodyText"/>
      </w:pPr>
      <m:oMathPara>
        <m:oMathParaPr>
          <m:jc m:val="center"/>
        </m:oMathParaPr>
        <m:oMath>
          <m:r>
            <m:t>W</m:t>
          </m:r>
          <m:sSub>
            <m:e>
              <m:r>
                <m:t>S</m:t>
              </m:r>
            </m:e>
            <m:sub>
              <m:r>
                <m:t>k</m:t>
              </m:r>
            </m:sub>
          </m:sSub>
          <m:r>
            <m:rPr>
              <m:sty m:val="p"/>
            </m:rPr>
            <m:t>=</m:t>
          </m:r>
          <m:r>
            <m:t>R</m:t>
          </m:r>
          <m:sSub>
            <m:e>
              <m:r>
                <m:t>W</m:t>
              </m:r>
            </m:e>
            <m:sub>
              <m:r>
                <m:t>k</m:t>
              </m:r>
            </m:sub>
          </m:sSub>
          <m:r>
            <m:t> </m:t>
          </m:r>
          <m:sSubSup>
            <m:e>
              <m:r>
                <m:t>s</m:t>
              </m:r>
            </m:e>
            <m:sub>
              <m:r>
                <m:t>k</m:t>
              </m:r>
            </m:sub>
            <m:sup>
              <m:r>
                <m:t>C</m:t>
              </m:r>
              <m:r>
                <m:t>V</m:t>
              </m:r>
              <m:r>
                <m:t>A</m:t>
              </m:r>
            </m:sup>
          </m:sSubSup>
          <m:r>
            <m:rPr>
              <m:sty m:val="p"/>
            </m:rPr>
            <m:t>−</m:t>
          </m:r>
          <m:r>
            <m:t>R</m:t>
          </m:r>
          <m:sSub>
            <m:e>
              <m:r>
                <m:t>W</m:t>
              </m:r>
            </m:e>
            <m:sub>
              <m:r>
                <m:t>k</m:t>
              </m:r>
            </m:sub>
          </m:sSub>
          <m:r>
            <m:t> </m:t>
          </m:r>
          <m:sSubSup>
            <m:e>
              <m:r>
                <m:t>s</m:t>
              </m:r>
            </m:e>
            <m:sub>
              <m:r>
                <m:t>k</m:t>
              </m:r>
            </m:sub>
            <m:sup>
              <m:r>
                <m:t>H</m:t>
              </m:r>
              <m:r>
                <m:t>d</m:t>
              </m:r>
              <m:r>
                <m:t>g</m:t>
              </m:r>
            </m:sup>
          </m:sSubSup>
        </m:oMath>
      </m:oMathPara>
    </w:p>
    <w:p>
      <w:pPr>
        <w:pStyle w:val="FirstParagraph"/>
      </w:pPr>
      <w:r>
        <w:t xml:space="preserve">Within a bucket</w:t>
      </w:r>
      <w:r>
        <w:t xml:space="preserve"> </w:t>
      </w:r>
      <m:oMath>
        <m:r>
          <m:t>b</m:t>
        </m:r>
      </m:oMath>
      <w:r>
        <w:t xml:space="preserve">, weighted sensitivities aggregate with prescribed correlations, plus a hedging disallowance</w:t>
      </w:r>
      <w:r>
        <w:t xml:space="preserve"> </w:t>
      </w:r>
      <m:oMath>
        <m:r>
          <m:t>R</m:t>
        </m:r>
        <m:r>
          <m:rPr>
            <m:sty m:val="p"/>
          </m:rPr>
          <m:t>=</m:t>
        </m:r>
        <m:r>
          <m:t>1</m:t>
        </m:r>
        <m:r>
          <m:rPr>
            <m:sty m:val="p"/>
          </m:rPr>
          <m:t>%</m:t>
        </m:r>
      </m:oMath>
      <w:r>
        <w:t xml:space="preserve">:</w:t>
      </w:r>
    </w:p>
    <w:p>
      <w:pPr>
        <w:pStyle w:val="BodyText"/>
      </w:pPr>
      <m:oMathPara>
        <m:oMathParaPr>
          <m:jc m:val="center"/>
        </m:oMathParaPr>
        <m:oMath>
          <m:sSub>
            <m:e>
              <m:r>
                <m:t>K</m:t>
              </m:r>
            </m:e>
            <m:sub>
              <m:r>
                <m:t>b</m:t>
              </m:r>
            </m:sub>
          </m:sSub>
          <m:r>
            <m:rPr>
              <m:sty m:val="p"/>
            </m:rPr>
            <m:t>=</m:t>
          </m:r>
          <m:rad>
            <m:radPr>
              <m:degHide m:val="1"/>
            </m:radPr>
            <m:deg/>
            <m:e>
              <m:nary>
                <m:naryPr>
                  <m:chr m:val="∑"/>
                  <m:limLoc m:val="undOvr"/>
                  <m:subHide m:val="0"/>
                  <m:supHide m:val="1"/>
                </m:naryPr>
                <m:sub>
                  <m:r>
                    <m:t>k</m:t>
                  </m:r>
                </m:sub>
                <m:sup>
                  <m:r>
                    <m:t>​</m:t>
                  </m:r>
                </m:sup>
                <m:e>
                  <m:r>
                    <m:t>W</m:t>
                  </m:r>
                </m:e>
              </m:nary>
              <m:sSubSup>
                <m:e>
                  <m:r>
                    <m:t>S</m:t>
                  </m:r>
                </m:e>
                <m:sub>
                  <m:r>
                    <m:t>k</m:t>
                  </m:r>
                </m:sub>
                <m:sup>
                  <m:r>
                    <m:t>2</m:t>
                  </m:r>
                </m:sup>
              </m:sSubSup>
              <m:r>
                <m:rPr>
                  <m:sty m:val="p"/>
                </m:rPr>
                <m:t>+</m:t>
              </m:r>
              <m:nary>
                <m:naryPr>
                  <m:chr m:val="∑"/>
                  <m:limLoc m:val="undOvr"/>
                  <m:subHide m:val="0"/>
                  <m:supHide m:val="1"/>
                </m:naryPr>
                <m:sub>
                  <m:r>
                    <m:t>k</m:t>
                  </m:r>
                </m:sub>
                <m:sup>
                  <m:r>
                    <m:t>​</m:t>
                  </m:r>
                </m:sup>
                <m:e>
                  <m:nary>
                    <m:naryPr>
                      <m:chr m:val="∑"/>
                      <m:limLoc m:val="undOvr"/>
                      <m:subHide m:val="0"/>
                      <m:supHide m:val="1"/>
                    </m:naryPr>
                    <m:sub>
                      <m:r>
                        <m:t>l</m:t>
                      </m:r>
                      <m:r>
                        <m:rPr>
                          <m:sty m:val="p"/>
                        </m:rPr>
                        <m:t>≠</m:t>
                      </m:r>
                      <m:r>
                        <m:t>k</m:t>
                      </m:r>
                    </m:sub>
                    <m:sup>
                      <m:r>
                        <m:t>​</m:t>
                      </m:r>
                    </m:sup>
                    <m:e>
                      <m:sSub>
                        <m:e>
                          <m:r>
                            <m:t>ρ</m:t>
                          </m:r>
                        </m:e>
                        <m:sub>
                          <m:r>
                            <m:t>k</m:t>
                          </m:r>
                          <m:r>
                            <m:t>l</m:t>
                          </m:r>
                        </m:sub>
                      </m:sSub>
                    </m:e>
                  </m:nary>
                </m:e>
              </m:nary>
              <m:r>
                <m:t> </m:t>
              </m:r>
              <m:r>
                <m:t>W</m:t>
              </m:r>
              <m:sSub>
                <m:e>
                  <m:r>
                    <m:t>S</m:t>
                  </m:r>
                </m:e>
                <m:sub>
                  <m:r>
                    <m:t>k</m:t>
                  </m:r>
                </m:sub>
              </m:sSub>
              <m:r>
                <m:t>W</m:t>
              </m:r>
              <m:sSub>
                <m:e>
                  <m:r>
                    <m:t>S</m:t>
                  </m:r>
                </m:e>
                <m:sub>
                  <m:r>
                    <m:t>l</m:t>
                  </m:r>
                </m:sub>
              </m:sSub>
              <m:r>
                <m:rPr>
                  <m:sty m:val="p"/>
                </m:rPr>
                <m:t>+</m:t>
              </m:r>
              <m:r>
                <m:t>R</m:t>
              </m:r>
              <m:nary>
                <m:naryPr>
                  <m:chr m:val="∑"/>
                  <m:limLoc m:val="undOvr"/>
                  <m:subHide m:val="0"/>
                  <m:supHide m:val="1"/>
                </m:naryPr>
                <m:sub>
                  <m:r>
                    <m:t>k</m:t>
                  </m:r>
                </m:sub>
                <m:sup>
                  <m:r>
                    <m:t>​</m:t>
                  </m:r>
                </m:sup>
                <m:e>
                  <m:sSup>
                    <m:e>
                      <m:d>
                        <m:dPr>
                          <m:begChr m:val="("/>
                          <m:endChr m:val=")"/>
                          <m:sepChr m:val=""/>
                          <m:grow/>
                        </m:dPr>
                        <m:e>
                          <m:r>
                            <m:t>W</m:t>
                          </m:r>
                          <m:sSubSup>
                            <m:e>
                              <m:r>
                                <m:t>S</m:t>
                              </m:r>
                            </m:e>
                            <m:sub>
                              <m:r>
                                <m:t>k</m:t>
                              </m:r>
                            </m:sub>
                            <m:sup>
                              <m:r>
                                <m:t>H</m:t>
                              </m:r>
                              <m:r>
                                <m:t>d</m:t>
                              </m:r>
                              <m:r>
                                <m:t>g</m:t>
                              </m:r>
                            </m:sup>
                          </m:sSubSup>
                        </m:e>
                      </m:d>
                    </m:e>
                    <m:sup>
                      <m:r>
                        <m:t>2</m:t>
                      </m:r>
                    </m:sup>
                  </m:sSup>
                </m:e>
              </m:nary>
            </m:e>
          </m:rad>
        </m:oMath>
      </m:oMathPara>
    </w:p>
    <w:p>
      <w:pPr>
        <w:pStyle w:val="FirstParagraph"/>
      </w:pPr>
      <w:r>
        <w:t xml:space="preserve">The</w:t>
      </w:r>
      <w:r>
        <w:t xml:space="preserve"> </w:t>
      </w:r>
      <m:oMath>
        <m:r>
          <m:t>R</m:t>
        </m:r>
      </m:oMath>
      <w:r>
        <w:t xml:space="preserve"> </w:t>
      </w:r>
      <w:r>
        <w:t xml:space="preserve">term stops a perfect hedge from reducing capital to zero. A 100% same-factor hedge leaves</w:t>
      </w:r>
      <w:r>
        <w:t xml:space="preserve"> </w:t>
      </w:r>
      <m:oMath>
        <m:rad>
          <m:radPr>
            <m:degHide m:val="1"/>
          </m:radPr>
          <m:deg/>
          <m:e>
            <m:r>
              <m:t>R</m:t>
            </m:r>
          </m:e>
        </m:rad>
        <m:r>
          <m:rPr>
            <m:sty m:val="p"/>
          </m:rPr>
          <m:t>×</m:t>
        </m:r>
        <m:r>
          <m:t>R</m:t>
        </m:r>
        <m:r>
          <m:t>W</m:t>
        </m:r>
      </m:oMath>
      <w:r>
        <w:t xml:space="preserve"> </w:t>
      </w:r>
      <w:r>
        <w:t xml:space="preserve">= 10% of the unhedged charge.</w:t>
      </w:r>
    </w:p>
    <w:bookmarkEnd w:id="21"/>
    <w:bookmarkStart w:id="22" w:name="X2baceb1233be33119521f502f13fae041128189"/>
    <w:p>
      <w:pPr>
        <w:pStyle w:val="Heading2"/>
      </w:pPr>
      <w:r>
        <w:t xml:space="preserve">1.3 Aggregation across buckets and risk types</w:t>
      </w:r>
    </w:p>
    <w:p>
      <w:pPr>
        <w:pStyle w:val="FirstParagraph"/>
      </w:pPr>
      <w:r>
        <w:t xml:space="preserve">Buckets aggregate with cross-bucket correlations</w:t>
      </w:r>
      <w:r>
        <w:t xml:space="preserve"> </w:t>
      </w:r>
      <m:oMath>
        <m:r>
          <m:t>γ</m:t>
        </m:r>
      </m:oMath>
      <w:r>
        <w:t xml:space="preserve">, using capped net sensitivities</w:t>
      </w:r>
      <w:r>
        <w:t xml:space="preserve"> </w:t>
      </w:r>
      <m:oMath>
        <m:sSub>
          <m:e>
            <m:r>
              <m:t>S</m:t>
            </m:r>
          </m:e>
          <m:sub>
            <m:r>
              <m:t>b</m:t>
            </m:r>
          </m:sub>
        </m:sSub>
      </m:oMath>
      <w:r>
        <w:t xml:space="preserve">:</w:t>
      </w:r>
    </w:p>
    <w:p>
      <w:pPr>
        <w:pStyle w:val="BodyText"/>
      </w:pPr>
      <m:oMathPara>
        <m:oMathParaPr>
          <m:jc m:val="center"/>
        </m:oMathParaPr>
        <m:oMath>
          <m:r>
            <m:t>K</m:t>
          </m:r>
          <m:r>
            <m:rPr>
              <m:sty m:val="p"/>
            </m:rPr>
            <m:t>=</m:t>
          </m:r>
          <m:sSub>
            <m:e>
              <m:r>
                <m:t>m</m:t>
              </m:r>
            </m:e>
            <m:sub>
              <m:r>
                <m:t>C</m:t>
              </m:r>
              <m:r>
                <m:t>V</m:t>
              </m:r>
              <m:r>
                <m:t>A</m:t>
              </m:r>
            </m:sub>
          </m:sSub>
          <m:rad>
            <m:radPr>
              <m:degHide m:val="1"/>
            </m:radPr>
            <m:deg/>
            <m:e>
              <m:nary>
                <m:naryPr>
                  <m:chr m:val="∑"/>
                  <m:limLoc m:val="undOvr"/>
                  <m:subHide m:val="0"/>
                  <m:supHide m:val="1"/>
                </m:naryPr>
                <m:sub>
                  <m:r>
                    <m:t>b</m:t>
                  </m:r>
                </m:sub>
                <m:sup>
                  <m:r>
                    <m:t>​</m:t>
                  </m:r>
                </m:sup>
                <m:e>
                  <m:sSubSup>
                    <m:e>
                      <m:r>
                        <m:t>K</m:t>
                      </m:r>
                    </m:e>
                    <m:sub>
                      <m:r>
                        <m:t>b</m:t>
                      </m:r>
                    </m:sub>
                    <m:sup>
                      <m:r>
                        <m:t>2</m:t>
                      </m:r>
                    </m:sup>
                  </m:sSubSup>
                </m:e>
              </m:nary>
              <m:r>
                <m:rPr>
                  <m:sty m:val="p"/>
                </m:rPr>
                <m:t>+</m:t>
              </m:r>
              <m:nary>
                <m:naryPr>
                  <m:chr m:val="∑"/>
                  <m:limLoc m:val="undOvr"/>
                  <m:subHide m:val="0"/>
                  <m:supHide m:val="1"/>
                </m:naryPr>
                <m:sub>
                  <m:r>
                    <m:t>b</m:t>
                  </m:r>
                </m:sub>
                <m:sup>
                  <m:r>
                    <m:t>​</m:t>
                  </m:r>
                </m:sup>
                <m:e>
                  <m:nary>
                    <m:naryPr>
                      <m:chr m:val="∑"/>
                      <m:limLoc m:val="undOvr"/>
                      <m:subHide m:val="0"/>
                      <m:supHide m:val="1"/>
                    </m:naryPr>
                    <m:sub>
                      <m:r>
                        <m:t>c</m:t>
                      </m:r>
                      <m:r>
                        <m:rPr>
                          <m:sty m:val="p"/>
                        </m:rPr>
                        <m:t>≠</m:t>
                      </m:r>
                      <m:r>
                        <m:t>b</m:t>
                      </m:r>
                    </m:sub>
                    <m:sup>
                      <m:r>
                        <m:t>​</m:t>
                      </m:r>
                    </m:sup>
                    <m:e>
                      <m:sSub>
                        <m:e>
                          <m:r>
                            <m:t>γ</m:t>
                          </m:r>
                        </m:e>
                        <m:sub>
                          <m:r>
                            <m:t>b</m:t>
                          </m:r>
                          <m:r>
                            <m:t>c</m:t>
                          </m:r>
                        </m:sub>
                      </m:sSub>
                    </m:e>
                  </m:nary>
                </m:e>
              </m:nary>
              <m:r>
                <m:t> </m:t>
              </m:r>
              <m:sSub>
                <m:e>
                  <m:r>
                    <m:t>S</m:t>
                  </m:r>
                </m:e>
                <m:sub>
                  <m:r>
                    <m:t>b</m:t>
                  </m:r>
                </m:sub>
              </m:sSub>
              <m:sSub>
                <m:e>
                  <m:r>
                    <m:t>S</m:t>
                  </m:r>
                </m:e>
                <m:sub>
                  <m:r>
                    <m:t>c</m:t>
                  </m:r>
                </m:sub>
              </m:sSub>
            </m:e>
          </m:rad>
          <m:r>
            <m:rPr>
              <m:sty m:val="p"/>
            </m:rPr>
            <m:t>,</m:t>
          </m:r>
          <m:r>
            <m:t>  </m:t>
          </m:r>
          <m:sSub>
            <m:e>
              <m:r>
                <m:t>S</m:t>
              </m:r>
            </m:e>
            <m:sub>
              <m:r>
                <m:t>b</m:t>
              </m:r>
            </m:sub>
          </m:sSub>
          <m:r>
            <m:rPr>
              <m:sty m:val="p"/>
            </m:rPr>
            <m:t>=</m:t>
          </m:r>
          <m:r>
            <m:rPr>
              <m:sty m:val="p"/>
            </m:rPr>
            <m:t>max</m:t>
          </m:r>
          <m:d>
            <m:dPr>
              <m:begChr m:val="("/>
              <m:endChr m:val=")"/>
              <m:sepChr m:val=""/>
              <m:grow/>
            </m:dPr>
            <m:e>
              <m:r>
                <m:rPr>
                  <m:sty m:val="p"/>
                </m:rPr>
                <m:t>min</m:t>
              </m:r>
              <m:d>
                <m:dPr>
                  <m:begChr m:val="("/>
                  <m:endChr m:val=")"/>
                  <m:sepChr m:val=""/>
                  <m:grow/>
                </m:dPr>
                <m:e>
                  <m:nary>
                    <m:naryPr>
                      <m:chr m:val="∑"/>
                      <m:limLoc m:val="undOvr"/>
                      <m:subHide m:val="0"/>
                      <m:supHide m:val="1"/>
                    </m:naryPr>
                    <m:sub>
                      <m:r>
                        <m:t>k</m:t>
                      </m:r>
                      <m:r>
                        <m:rPr>
                          <m:sty m:val="p"/>
                        </m:rPr>
                        <m:t>∈</m:t>
                      </m:r>
                      <m:r>
                        <m:t>b</m:t>
                      </m:r>
                    </m:sub>
                    <m:sup>
                      <m:r>
                        <m:t>​</m:t>
                      </m:r>
                    </m:sup>
                    <m:e>
                      <m:r>
                        <m:t>W</m:t>
                      </m:r>
                    </m:e>
                  </m:nary>
                  <m:sSub>
                    <m:e>
                      <m:r>
                        <m:t>S</m:t>
                      </m:r>
                    </m:e>
                    <m:sub>
                      <m:r>
                        <m:t>k</m:t>
                      </m:r>
                    </m:sub>
                  </m:sSub>
                  <m:r>
                    <m:rPr>
                      <m:sty m:val="p"/>
                    </m:rPr>
                    <m:t>,</m:t>
                  </m:r>
                  <m:r>
                    <m:t> </m:t>
                  </m:r>
                  <m:sSub>
                    <m:e>
                      <m:r>
                        <m:t>K</m:t>
                      </m:r>
                    </m:e>
                    <m:sub>
                      <m:r>
                        <m:t>b</m:t>
                      </m:r>
                    </m:sub>
                  </m:sSub>
                </m:e>
              </m:d>
              <m:r>
                <m:rPr>
                  <m:sty m:val="p"/>
                </m:rPr>
                <m:t>,</m:t>
              </m:r>
              <m:r>
                <m:t> </m:t>
              </m:r>
              <m:r>
                <m:rPr>
                  <m:sty m:val="p"/>
                </m:rPr>
                <m:t>−</m:t>
              </m:r>
              <m:sSub>
                <m:e>
                  <m:r>
                    <m:t>K</m:t>
                  </m:r>
                </m:e>
                <m:sub>
                  <m:r>
                    <m:t>b</m:t>
                  </m:r>
                </m:sub>
              </m:sSub>
            </m:e>
          </m:d>
        </m:oMath>
      </m:oMathPara>
    </w:p>
    <w:p>
      <w:pPr>
        <w:pStyle w:val="FirstParagraph"/>
      </w:pPr>
      <m:oMath>
        <m:sSub>
          <m:e>
            <m:r>
              <m:t>m</m:t>
            </m:r>
          </m:e>
          <m:sub>
            <m:r>
              <m:t>C</m:t>
            </m:r>
            <m:r>
              <m:t>V</m:t>
            </m:r>
            <m:r>
              <m:t>A</m:t>
            </m:r>
          </m:sub>
        </m:sSub>
        <m:r>
          <m:rPr>
            <m:sty m:val="p"/>
          </m:rPr>
          <m:t>=</m:t>
        </m:r>
        <m:r>
          <m:t>1</m:t>
        </m:r>
      </m:oMath>
      <w:r>
        <w:t xml:space="preserve"> </w:t>
      </w:r>
      <w:r>
        <w:t xml:space="preserve">(OSFI may set it higher). Total SA-CVA capital is the sum of</w:t>
      </w:r>
      <w:r>
        <w:t xml:space="preserve"> </w:t>
      </w:r>
      <m:oMath>
        <m:r>
          <m:t>K</m:t>
        </m:r>
      </m:oMath>
      <w:r>
        <w:t xml:space="preserve"> </w:t>
      </w:r>
      <w:r>
        <w:t xml:space="preserve">over the risk types: delta and vega for IR, FX, RCS, EQ and CMDTY, and delta only for CCS.</w:t>
      </w:r>
    </w:p>
    <w:bookmarkEnd w:id="22"/>
    <w:bookmarkStart w:id="23" w:name="ccs-parameters-used-in-this-memo"/>
    <w:p>
      <w:pPr>
        <w:pStyle w:val="Heading2"/>
      </w:pPr>
      <w:r>
        <w:t xml:space="preserve">1.4 CCS parameters used in this memo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CCS bucket (sector)</w:t>
            </w:r>
          </w:p>
        </w:tc>
        <w:tc>
          <w:tcPr/>
          <w:p>
            <w:pPr>
              <w:pStyle w:val="Compact"/>
              <w:jc w:val="left"/>
            </w:pPr>
            <w:r>
              <w:t xml:space="preserve">RW IG</w:t>
            </w:r>
          </w:p>
        </w:tc>
        <w:tc>
          <w:tcPr/>
          <w:p>
            <w:pPr>
              <w:pStyle w:val="Compact"/>
              <w:jc w:val="left"/>
            </w:pPr>
            <w:r>
              <w:t xml:space="preserve">RW HY/NR</w:t>
            </w:r>
          </w:p>
        </w:tc>
      </w:tr>
      <w:tr>
        <w:tc>
          <w:tcPr/>
          <w:p>
            <w:pPr>
              <w:pStyle w:val="Compact"/>
              <w:jc w:val="left"/>
            </w:pPr>
            <w:r>
              <w:t xml:space="preserve">1a Sovereigns, central banks, MDBs</w:t>
            </w:r>
          </w:p>
        </w:tc>
        <w:tc>
          <w:tcPr/>
          <w:p>
            <w:pPr>
              <w:pStyle w:val="Compact"/>
              <w:jc w:val="left"/>
            </w:pPr>
            <w:r>
              <w:t xml:space="preserve">0.5%</w:t>
            </w:r>
          </w:p>
        </w:tc>
        <w:tc>
          <w:tcPr/>
          <w:p>
            <w:pPr>
              <w:pStyle w:val="Compact"/>
              <w:jc w:val="left"/>
            </w:pPr>
            <w:r>
              <w:t xml:space="preserve">2.0%</w:t>
            </w:r>
          </w:p>
        </w:tc>
      </w:tr>
      <w:tr>
        <w:tc>
          <w:tcPr/>
          <w:p>
            <w:pPr>
              <w:pStyle w:val="Compact"/>
              <w:jc w:val="left"/>
            </w:pPr>
            <w:r>
              <w:t xml:space="preserve">1b Local government, agencies</w:t>
            </w:r>
          </w:p>
        </w:tc>
        <w:tc>
          <w:tcPr/>
          <w:p>
            <w:pPr>
              <w:pStyle w:val="Compact"/>
              <w:jc w:val="left"/>
            </w:pPr>
            <w:r>
              <w:t xml:space="preserve">1.0%</w:t>
            </w:r>
          </w:p>
        </w:tc>
        <w:tc>
          <w:tcPr/>
          <w:p>
            <w:pPr>
              <w:pStyle w:val="Compact"/>
              <w:jc w:val="left"/>
            </w:pPr>
            <w:r>
              <w:t xml:space="preserve">4.0%</w:t>
            </w:r>
          </w:p>
        </w:tc>
      </w:tr>
      <w:tr>
        <w:tc>
          <w:tcPr/>
          <w:p>
            <w:pPr>
              <w:pStyle w:val="Compact"/>
              <w:jc w:val="left"/>
            </w:pPr>
            <w:r>
              <w:t xml:space="preserve">2 Financials</w:t>
            </w:r>
          </w:p>
        </w:tc>
        <w:tc>
          <w:tcPr/>
          <w:p>
            <w:pPr>
              <w:pStyle w:val="Compact"/>
              <w:jc w:val="left"/>
            </w:pPr>
            <w:r>
              <w:t xml:space="preserve">5.0%</w:t>
            </w:r>
          </w:p>
        </w:tc>
        <w:tc>
          <w:tcPr/>
          <w:p>
            <w:pPr>
              <w:pStyle w:val="Compact"/>
              <w:jc w:val="left"/>
            </w:pPr>
            <w:r>
              <w:t xml:space="preserve">12.0%</w:t>
            </w:r>
          </w:p>
        </w:tc>
      </w:tr>
      <w:tr>
        <w:tc>
          <w:tcPr/>
          <w:p>
            <w:pPr>
              <w:pStyle w:val="Compact"/>
              <w:jc w:val="left"/>
            </w:pPr>
            <w:r>
              <w:t xml:space="preserve">3 Basic materials, energy, industrials</w:t>
            </w:r>
          </w:p>
        </w:tc>
        <w:tc>
          <w:tcPr/>
          <w:p>
            <w:pPr>
              <w:pStyle w:val="Compact"/>
              <w:jc w:val="left"/>
            </w:pPr>
            <w:r>
              <w:t xml:space="preserve">3.0%</w:t>
            </w:r>
          </w:p>
        </w:tc>
        <w:tc>
          <w:tcPr/>
          <w:p>
            <w:pPr>
              <w:pStyle w:val="Compact"/>
              <w:jc w:val="left"/>
            </w:pPr>
            <w:r>
              <w:t xml:space="preserve">7.0%</w:t>
            </w:r>
          </w:p>
        </w:tc>
      </w:tr>
      <w:tr>
        <w:tc>
          <w:tcPr/>
          <w:p>
            <w:pPr>
              <w:pStyle w:val="Compact"/>
              <w:jc w:val="left"/>
            </w:pPr>
            <w:r>
              <w:t xml:space="preserve">4 Consumer goods and services</w:t>
            </w:r>
          </w:p>
        </w:tc>
        <w:tc>
          <w:tcPr/>
          <w:p>
            <w:pPr>
              <w:pStyle w:val="Compact"/>
              <w:jc w:val="left"/>
            </w:pPr>
            <w:r>
              <w:t xml:space="preserve">3.0%</w:t>
            </w:r>
          </w:p>
        </w:tc>
        <w:tc>
          <w:tcPr/>
          <w:p>
            <w:pPr>
              <w:pStyle w:val="Compact"/>
              <w:jc w:val="left"/>
            </w:pPr>
            <w:r>
              <w:t xml:space="preserve">8.5%</w:t>
            </w:r>
          </w:p>
        </w:tc>
      </w:tr>
      <w:tr>
        <w:tc>
          <w:tcPr/>
          <w:p>
            <w:pPr>
              <w:pStyle w:val="Compact"/>
              <w:jc w:val="left"/>
            </w:pPr>
            <w:r>
              <w:t xml:space="preserve">5 Technology, telecom</w:t>
            </w:r>
          </w:p>
        </w:tc>
        <w:tc>
          <w:tcPr/>
          <w:p>
            <w:pPr>
              <w:pStyle w:val="Compact"/>
              <w:jc w:val="left"/>
            </w:pPr>
            <w:r>
              <w:t xml:space="preserve">2.0%</w:t>
            </w:r>
          </w:p>
        </w:tc>
        <w:tc>
          <w:tcPr/>
          <w:p>
            <w:pPr>
              <w:pStyle w:val="Compact"/>
              <w:jc w:val="left"/>
            </w:pPr>
            <w:r>
              <w:t xml:space="preserve">5.5%</w:t>
            </w:r>
          </w:p>
        </w:tc>
      </w:tr>
      <w:tr>
        <w:tc>
          <w:tcPr/>
          <w:p>
            <w:pPr>
              <w:pStyle w:val="Compact"/>
              <w:jc w:val="left"/>
            </w:pPr>
            <w:r>
              <w:t xml:space="preserve">6 Health care, utilities</w:t>
            </w:r>
          </w:p>
        </w:tc>
        <w:tc>
          <w:tcPr/>
          <w:p>
            <w:pPr>
              <w:pStyle w:val="Compact"/>
              <w:jc w:val="left"/>
            </w:pPr>
            <w:r>
              <w:t xml:space="preserve">1.5%</w:t>
            </w:r>
          </w:p>
        </w:tc>
        <w:tc>
          <w:tcPr/>
          <w:p>
            <w:pPr>
              <w:pStyle w:val="Compact"/>
              <w:jc w:val="left"/>
            </w:pPr>
            <w:r>
              <w:t xml:space="preserve">5.0%</w:t>
            </w:r>
          </w:p>
        </w:tc>
      </w:tr>
      <w:tr>
        <w:tc>
          <w:tcPr/>
          <w:p>
            <w:pPr>
              <w:pStyle w:val="Compact"/>
              <w:jc w:val="left"/>
            </w:pPr>
            <w:r>
              <w:t xml:space="preserve">7 Other</w:t>
            </w:r>
          </w:p>
        </w:tc>
        <w:tc>
          <w:tcPr/>
          <w:p>
            <w:pPr>
              <w:pStyle w:val="Compact"/>
              <w:jc w:val="left"/>
            </w:pPr>
            <w:r>
              <w:t xml:space="preserve">5.0%</w:t>
            </w:r>
          </w:p>
        </w:tc>
        <w:tc>
          <w:tcPr/>
          <w:p>
            <w:pPr>
              <w:pStyle w:val="Compact"/>
              <w:jc w:val="left"/>
            </w:pPr>
            <w:r>
              <w:t xml:space="preserve">12.0%</w:t>
            </w:r>
          </w:p>
        </w:tc>
      </w:tr>
      <w:tr>
        <w:tc>
          <w:tcPr/>
          <w:p>
            <w:pPr>
              <w:pStyle w:val="Compact"/>
              <w:jc w:val="left"/>
            </w:pPr>
            <w:r>
              <w:t xml:space="preserve">8 Qualified indices</w:t>
            </w:r>
          </w:p>
        </w:tc>
        <w:tc>
          <w:tcPr/>
          <w:p>
            <w:pPr>
              <w:pStyle w:val="Compact"/>
              <w:jc w:val="left"/>
            </w:pPr>
            <w:r>
              <w:t xml:space="preserve">1.5%</w:t>
            </w:r>
          </w:p>
        </w:tc>
        <w:tc>
          <w:tcPr/>
          <w:p>
            <w:pPr>
              <w:pStyle w:val="Compact"/>
              <w:jc w:val="left"/>
            </w:pPr>
            <w:r>
              <w:t xml:space="preserve">5.0%</w:t>
            </w:r>
          </w:p>
        </w:tc>
      </w:tr>
    </w:tbl>
    <w:p>
      <w:pPr>
        <w:pStyle w:val="BodyText"/>
      </w:pPr>
      <w:r>
        <w:t xml:space="preserve">Within a CCS bucket the correlation is a product of three terms (MAR50.65):</w:t>
      </w:r>
    </w:p>
    <w:p>
      <w:pPr>
        <w:numPr>
          <w:ilvl w:val="0"/>
          <w:numId w:val="1001"/>
        </w:numPr>
        <w:pStyle w:val="Compact"/>
      </w:pPr>
      <w:r>
        <w:t xml:space="preserve">tenor: 100% for the same tenor, 90% otherwise;</w:t>
      </w:r>
    </w:p>
    <w:p>
      <w:pPr>
        <w:numPr>
          <w:ilvl w:val="0"/>
          <w:numId w:val="1001"/>
        </w:numPr>
        <w:pStyle w:val="Compact"/>
      </w:pPr>
      <w:r>
        <w:t xml:space="preserve">name: 100% for the same name, 90% for legally related names, 50% otherwise;</w:t>
      </w:r>
    </w:p>
    <w:p>
      <w:pPr>
        <w:numPr>
          <w:ilvl w:val="0"/>
          <w:numId w:val="1001"/>
        </w:numPr>
        <w:pStyle w:val="Compact"/>
      </w:pPr>
      <w:r>
        <w:t xml:space="preserve">quality: 100% for the same IG/HY grade, 80% otherwise.</w:t>
      </w:r>
    </w:p>
    <w:p>
      <w:pPr>
        <w:pStyle w:val="FirstParagraph"/>
      </w:pPr>
      <w:r>
        <w:t xml:space="preserve">Cross-bucket</w:t>
      </w:r>
      <w:r>
        <w:t xml:space="preserve"> </w:t>
      </w:r>
      <m:oMath>
        <m:r>
          <m:t>γ</m:t>
        </m:r>
      </m:oMath>
      <w:r>
        <w:t xml:space="preserve"> </w:t>
      </w:r>
      <w:r>
        <w:t xml:space="preserve">ranges from 0% (bucket 7) to 45% (bucket 8 against any sector). Buckets 1a and 1b aggregate as one bucket for</w:t>
      </w:r>
      <w:r>
        <w:t xml:space="preserve"> </w:t>
      </w:r>
      <m:oMath>
        <m:r>
          <m:t>γ</m:t>
        </m:r>
      </m:oMath>
      <w:r>
        <w:t xml:space="preserve">. All parameters are in</w:t>
      </w:r>
      <w:r>
        <w:t xml:space="preserve"> </w:t>
      </w:r>
      <w:r>
        <w:rPr>
          <w:rStyle w:val="VerbatimChar"/>
        </w:rPr>
        <w:t xml:space="preserve">sacva/config/osfi_car_ch8.yaml</w:t>
      </w:r>
      <w:r>
        <w:t xml:space="preserve"> </w:t>
      </w:r>
      <w:r>
        <w:t xml:space="preserve">with MAR references.</w:t>
      </w:r>
    </w:p>
    <w:bookmarkEnd w:id="23"/>
    <w:bookmarkEnd w:id="24"/>
    <w:bookmarkStart w:id="28" w:name="risk-weight-calculation-in-sacva"/>
    <w:p>
      <w:pPr>
        <w:pStyle w:val="Heading1"/>
      </w:pPr>
      <w:r>
        <w:t xml:space="preserve">2. Risk-weight calculation in sacva</w:t>
      </w:r>
    </w:p>
    <w:p>
      <w:pPr>
        <w:pStyle w:val="FirstParagraph"/>
      </w:pPr>
      <w:r>
        <w:t xml:space="preserve">The</w:t>
      </w:r>
      <w:r>
        <w:t xml:space="preserve"> </w:t>
      </w:r>
      <w:r>
        <w:rPr>
          <w:rStyle w:val="VerbatimChar"/>
        </w:rPr>
        <w:t xml:space="preserve">sacva</w:t>
      </w:r>
      <w:r>
        <w:t xml:space="preserve"> </w:t>
      </w:r>
      <w:r>
        <w:t xml:space="preserve">tool prices a hypothetical trade (a CVA sensitivity plus the hedge its policy implies) against today’s book. The effective RW is the change in SA-CVA capital per $1 of sensitivity.</w:t>
      </w:r>
    </w:p>
    <w:bookmarkStart w:id="25" w:name="the-trade"/>
    <w:p>
      <w:pPr>
        <w:pStyle w:val="Heading2"/>
      </w:pPr>
      <w:r>
        <w:t xml:space="preserve">2.1 The trade</w:t>
      </w:r>
    </w:p>
    <w:p>
      <w:pPr>
        <w:pStyle w:val="FirstParagraph"/>
      </w:pPr>
      <w:r>
        <w:t xml:space="preserve">A trade</w:t>
      </w:r>
      <w:r>
        <w:t xml:space="preserve"> </w:t>
      </w:r>
      <m:oMath>
        <m:r>
          <m:t>T</m:t>
        </m:r>
      </m:oMath>
      <w:r>
        <w:t xml:space="preserve"> </w:t>
      </w:r>
      <w:r>
        <w:t xml:space="preserve">is a CVA sensitivity of one user unit plus hedge legs set by the counterparty’s hedging policy (</w:t>
      </w:r>
      <w:r>
        <w:rPr>
          <w:rStyle w:val="VerbatimChar"/>
        </w:rPr>
        <w:t xml:space="preserve">sacva/config/hedging_policy.yaml</w:t>
      </w:r>
      <w:r>
        <w:t xml:space="preserve">). The user unit is $1/bp for CCS, IR and RCS delta, and $1 per 1% for other deltas and all vega. For CCS the CVA leg is spread across tenors by a profile: 100% 5Y for the new-name grid, or the counterparty’s own profile.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Policy</w:t>
            </w:r>
          </w:p>
        </w:tc>
        <w:tc>
          <w:tcPr/>
          <w:p>
            <w:pPr>
              <w:pStyle w:val="Compact"/>
              <w:jc w:val="left"/>
            </w:pPr>
            <w:r>
              <w:t xml:space="preserve">Market delta</w:t>
            </w:r>
          </w:p>
        </w:tc>
        <w:tc>
          <w:tcPr/>
          <w:p>
            <w:pPr>
              <w:pStyle w:val="Compact"/>
              <w:jc w:val="left"/>
            </w:pPr>
            <w:r>
              <w:t xml:space="preserve">Market vega</w:t>
            </w:r>
          </w:p>
        </w:tc>
        <w:tc>
          <w:tcPr/>
          <w:p>
            <w:pPr>
              <w:pStyle w:val="Compact"/>
              <w:jc w:val="left"/>
            </w:pPr>
            <w:r>
              <w:t xml:space="preserve">CCS hedge</w:t>
            </w:r>
          </w:p>
        </w:tc>
      </w:tr>
      <w:tr>
        <w:tc>
          <w:tcPr/>
          <w:p>
            <w:pPr>
              <w:pStyle w:val="Compact"/>
              <w:jc w:val="left"/>
            </w:pPr>
            <w:r>
              <w:rPr>
                <w:rStyle w:val="VerbatimChar"/>
              </w:rPr>
              <w:t xml:space="preserve">name_hedge</w:t>
            </w:r>
            <w:r>
              <w:t xml:space="preserve"> </w:t>
            </w:r>
            <w:r>
              <w:t xml:space="preserve">(e.g. IPL)</w:t>
            </w:r>
          </w:p>
        </w:tc>
        <w:tc>
          <w:tcPr/>
          <w:p>
            <w:pPr>
              <w:pStyle w:val="Compact"/>
              <w:jc w:val="left"/>
            </w:pPr>
            <w:r>
              <w:t xml:space="preserve">100%</w:t>
            </w:r>
          </w:p>
        </w:tc>
        <w:tc>
          <w:tcPr/>
          <w:p>
            <w:pPr>
              <w:pStyle w:val="Compact"/>
              <w:jc w:val="left"/>
            </w:pPr>
            <w:r>
              <w:t xml:space="preserve">90%</w:t>
            </w:r>
          </w:p>
        </w:tc>
        <w:tc>
          <w:tcPr/>
          <w:p>
            <w:pPr>
              <w:pStyle w:val="Compact"/>
              <w:jc w:val="left"/>
            </w:pPr>
            <w:r>
              <w:t xml:space="preserve">80% CR01, own name (</w:t>
            </w:r>
            <m:oMath>
              <m:sSub>
                <m:e>
                  <m:r>
                    <m:t>ρ</m:t>
                  </m:r>
                </m:e>
                <m:sub>
                  <m:r>
                    <m:t>n</m:t>
                  </m:r>
                  <m:r>
                    <m:t>a</m:t>
                  </m:r>
                  <m:r>
                    <m:t>m</m:t>
                  </m:r>
                  <m:r>
                    <m:t>e</m:t>
                  </m:r>
                </m:sub>
              </m:sSub>
            </m:oMath>
            <w:r>
              <w:t xml:space="preserve"> </w:t>
            </w:r>
            <w:r>
              <w:t xml:space="preserve">100%)</w:t>
            </w:r>
          </w:p>
        </w:tc>
      </w:tr>
      <w:tr>
        <w:tc>
          <w:tcPr/>
          <w:p>
            <w:pPr>
              <w:pStyle w:val="Compact"/>
              <w:jc w:val="left"/>
            </w:pPr>
            <w:r>
              <w:rPr>
                <w:rStyle w:val="VerbatimChar"/>
              </w:rPr>
              <w:t xml:space="preserve">sector_hedge</w:t>
            </w:r>
            <w:r>
              <w:t xml:space="preserve"> </w:t>
            </w:r>
            <w:r>
              <w:t xml:space="preserve">(default population)</w:t>
            </w:r>
          </w:p>
        </w:tc>
        <w:tc>
          <w:tcPr/>
          <w:p>
            <w:pPr>
              <w:pStyle w:val="Compact"/>
              <w:jc w:val="left"/>
            </w:pPr>
            <w:r>
              <w:t xml:space="preserve">100%</w:t>
            </w:r>
          </w:p>
        </w:tc>
        <w:tc>
          <w:tcPr/>
          <w:p>
            <w:pPr>
              <w:pStyle w:val="Compact"/>
              <w:jc w:val="left"/>
            </w:pPr>
            <w:r>
              <w:t xml:space="preserve">90%</w:t>
            </w:r>
          </w:p>
        </w:tc>
        <w:tc>
          <w:tcPr/>
          <w:p>
            <w:pPr>
              <w:pStyle w:val="Compact"/>
              <w:jc w:val="left"/>
            </w:pPr>
            <w:r>
              <w:t xml:space="preserve">80% CR01, dummy name in the same sector and IG/HY (</w:t>
            </w:r>
            <m:oMath>
              <m:sSub>
                <m:e>
                  <m:r>
                    <m:t>ρ</m:t>
                  </m:r>
                </m:e>
                <m:sub>
                  <m:r>
                    <m:t>n</m:t>
                  </m:r>
                  <m:r>
                    <m:t>a</m:t>
                  </m:r>
                  <m:r>
                    <m:t>m</m:t>
                  </m:r>
                  <m:r>
                    <m:t>e</m:t>
                  </m:r>
                </m:sub>
              </m:sSub>
            </m:oMath>
            <w:r>
              <w:t xml:space="preserve"> </w:t>
            </w:r>
            <w:r>
              <w:t xml:space="preserve">50%)</w:t>
            </w:r>
          </w:p>
        </w:tc>
      </w:tr>
      <w:tr>
        <w:tc>
          <w:tcPr/>
          <w:p>
            <w:pPr>
              <w:pStyle w:val="Compact"/>
              <w:jc w:val="left"/>
            </w:pPr>
            <w:r>
              <w:rPr>
                <w:rStyle w:val="VerbatimChar"/>
              </w:rPr>
              <w:t xml:space="preserve">specific_hedge</w:t>
            </w:r>
            <w:r>
              <w:t xml:space="preserve"> </w:t>
            </w:r>
            <w:r>
              <w:t xml:space="preserve">(SSA/MDB, bucket 1a)</w:t>
            </w:r>
          </w:p>
        </w:tc>
        <w:tc>
          <w:tcPr/>
          <w:p>
            <w:pPr>
              <w:pStyle w:val="Compact"/>
              <w:jc w:val="left"/>
            </w:pPr>
            <w:r>
              <w:t xml:space="preserve">100%</w:t>
            </w:r>
          </w:p>
        </w:tc>
        <w:tc>
          <w:tcPr/>
          <w:p>
            <w:pPr>
              <w:pStyle w:val="Compact"/>
              <w:jc w:val="left"/>
            </w:pPr>
            <w:r>
              <w:t xml:space="preserve">0%</w:t>
            </w:r>
          </w:p>
        </w:tc>
        <w:tc>
          <w:tcPr/>
          <w:p>
            <w:pPr>
              <w:pStyle w:val="Compact"/>
              <w:jc w:val="left"/>
            </w:pPr>
            <w:r>
              <w:t xml:space="preserve">80% CR01, dummy name in the same sector and IG/HY</w:t>
            </w:r>
          </w:p>
        </w:tc>
      </w:tr>
      <w:tr>
        <w:tc>
          <w:tcPr/>
          <w:p>
            <w:pPr>
              <w:pStyle w:val="Compact"/>
              <w:jc w:val="left"/>
            </w:pPr>
            <w:r>
              <w:rPr>
                <w:rStyle w:val="VerbatimChar"/>
              </w:rPr>
              <w:t xml:space="preserve">unhedged_delta</w:t>
            </w:r>
          </w:p>
        </w:tc>
        <w:tc>
          <w:tcPr/>
          <w:p>
            <w:pPr>
              <w:pStyle w:val="Compact"/>
              <w:jc w:val="left"/>
            </w:pPr>
            <w:r>
              <w:t xml:space="preserve">100%</w:t>
            </w:r>
          </w:p>
        </w:tc>
        <w:tc>
          <w:tcPr/>
          <w:p>
            <w:pPr>
              <w:pStyle w:val="Compact"/>
              <w:jc w:val="left"/>
            </w:pPr>
            <w:r>
              <w:t xml:space="preserve">0%</w:t>
            </w:r>
          </w:p>
        </w:tc>
        <w:tc>
          <w:tcPr/>
          <w:p>
            <w:pPr>
              <w:pStyle w:val="Compact"/>
              <w:jc w:val="left"/>
            </w:pPr>
            <w:r>
              <w:t xml:space="preserve">none</w:t>
            </w:r>
          </w:p>
        </w:tc>
      </w:tr>
      <w:tr>
        <w:tc>
          <w:tcPr/>
          <w:p>
            <w:pPr>
              <w:pStyle w:val="Compact"/>
              <w:jc w:val="left"/>
            </w:pPr>
            <w:r>
              <w:rPr>
                <w:rStyle w:val="VerbatimChar"/>
              </w:rPr>
              <w:t xml:space="preserve">unhedged</w:t>
            </w:r>
          </w:p>
        </w:tc>
        <w:tc>
          <w:tcPr/>
          <w:p>
            <w:pPr>
              <w:pStyle w:val="Compact"/>
              <w:jc w:val="left"/>
            </w:pPr>
            <w:r>
              <w:t xml:space="preserve">0%</w:t>
            </w:r>
          </w:p>
        </w:tc>
        <w:tc>
          <w:tcPr/>
          <w:p>
            <w:pPr>
              <w:pStyle w:val="Compact"/>
              <w:jc w:val="left"/>
            </w:pPr>
            <w:r>
              <w:t xml:space="preserve">0%</w:t>
            </w:r>
          </w:p>
        </w:tc>
        <w:tc>
          <w:tcPr/>
          <w:p>
            <w:pPr>
              <w:pStyle w:val="Compact"/>
              <w:jc w:val="left"/>
            </w:pPr>
            <w:r>
              <w:t xml:space="preserve">none</w:t>
            </w:r>
          </w:p>
        </w:tc>
      </w:tr>
    </w:tbl>
    <w:p>
      <w:pPr>
        <w:pStyle w:val="BodyText"/>
      </w:pPr>
      <w:r>
        <w:t xml:space="preserve">Hedge sensitivities are sized as ratio</w:t>
      </w:r>
      <w:r>
        <w:t xml:space="preserve"> </w:t>
      </w:r>
      <m:oMath>
        <m:r>
          <m:rPr>
            <m:sty m:val="p"/>
          </m:rPr>
          <m:t>×</m:t>
        </m:r>
        <m:r>
          <m:t> </m:t>
        </m:r>
        <m:sSup>
          <m:e>
            <m:r>
              <m:t>s</m:t>
            </m:r>
          </m:e>
          <m:sup>
            <m:r>
              <m:t>C</m:t>
            </m:r>
            <m:r>
              <m:t>V</m:t>
            </m:r>
            <m:r>
              <m:t>A</m:t>
            </m:r>
          </m:sup>
        </m:sSup>
      </m:oMath>
      <w:r>
        <w:t xml:space="preserve"> </w:t>
      </w:r>
      <w:r>
        <w:t xml:space="preserve">(CR01 sizing). RW-matched sizing (ratio</w:t>
      </w:r>
      <w:r>
        <w:t xml:space="preserve"> </w:t>
      </w:r>
      <m:oMath>
        <m:r>
          <m:rPr>
            <m:sty m:val="p"/>
          </m:rPr>
          <m:t>×</m:t>
        </m:r>
        <m:r>
          <m:t> </m:t>
        </m:r>
        <m:sSup>
          <m:e>
            <m:r>
              <m:t>s</m:t>
            </m:r>
          </m:e>
          <m:sup>
            <m:r>
              <m:t>C</m:t>
            </m:r>
            <m:r>
              <m:t>V</m:t>
            </m:r>
            <m:r>
              <m:t>A</m:t>
            </m:r>
          </m:sup>
        </m:sSup>
        <m:r>
          <m:rPr>
            <m:sty m:val="p"/>
          </m:rPr>
          <m:t>×</m:t>
        </m:r>
        <m:r>
          <m:t>R</m:t>
        </m:r>
        <m:sSub>
          <m:e>
            <m:r>
              <m:t>W</m:t>
            </m:r>
          </m:e>
          <m:sub>
            <m:r>
              <m:t>c</m:t>
            </m:r>
            <m:r>
              <m:t>p</m:t>
            </m:r>
            <m:r>
              <m:t>t</m:t>
            </m:r>
            <m:r>
              <m:t>y</m:t>
            </m:r>
          </m:sub>
        </m:sSub>
        <m:r>
          <m:rPr>
            <m:sty m:val="p"/>
          </m:rPr>
          <m:t>/</m:t>
        </m:r>
        <m:r>
          <m:t>R</m:t>
        </m:r>
        <m:sSub>
          <m:e>
            <m:r>
              <m:t>W</m:t>
            </m:r>
          </m:e>
          <m:sub>
            <m:r>
              <m:t>h</m:t>
            </m:r>
            <m:r>
              <m:t>e</m:t>
            </m:r>
            <m:r>
              <m:t>d</m:t>
            </m:r>
            <m:r>
              <m:t>g</m:t>
            </m:r>
            <m:r>
              <m:t>e</m:t>
            </m:r>
          </m:sub>
        </m:sSub>
      </m:oMath>
      <w:r>
        <w:t xml:space="preserve">) and qualified-index hedges in bucket 8 remain available in the config.</w:t>
      </w:r>
    </w:p>
    <w:bookmarkEnd w:id="25"/>
    <w:bookmarkStart w:id="26" w:name="three-marginal-measures"/>
    <w:p>
      <w:pPr>
        <w:pStyle w:val="Heading2"/>
      </w:pPr>
      <w:r>
        <w:t xml:space="preserve">2.2 Three marginal measures</w:t>
      </w:r>
    </w:p>
    <w:p>
      <w:pPr>
        <w:pStyle w:val="FirstParagraph"/>
      </w:pPr>
      <w:r>
        <w:t xml:space="preserve">With</w:t>
      </w:r>
      <w:r>
        <w:t xml:space="preserve"> </w:t>
      </w:r>
      <m:oMath>
        <m:r>
          <m:t>B</m:t>
        </m:r>
      </m:oMath>
      <w:r>
        <w:t xml:space="preserve"> </w:t>
      </w:r>
      <w:r>
        <w:t xml:space="preserve">the book,</w:t>
      </w:r>
      <w:r>
        <w:t xml:space="preserve"> </w:t>
      </w:r>
      <m:oMath>
        <m:r>
          <m:t>T</m:t>
        </m:r>
      </m:oMath>
      <w:r>
        <w:t xml:space="preserve"> </w:t>
      </w:r>
      <w:r>
        <w:t xml:space="preserve">the unit trade and</w:t>
      </w:r>
      <w:r>
        <w:t xml:space="preserve"> </w:t>
      </w:r>
      <m:oMath>
        <m:r>
          <m:t>x</m:t>
        </m:r>
      </m:oMath>
      <w:r>
        <w:t xml:space="preserve"> </w:t>
      </w:r>
      <w:r>
        <w:t xml:space="preserve">the probe size in user units (default</w:t>
      </w:r>
      <w:r>
        <w:t xml:space="preserve"> </w:t>
      </w:r>
      <m:oMath>
        <m:r>
          <m:t>x</m:t>
        </m:r>
        <m:r>
          <m:rPr>
            <m:sty m:val="p"/>
          </m:rPr>
          <m:t>=</m:t>
        </m:r>
        <m:r>
          <m:t>1</m:t>
        </m:r>
      </m:oMath>
      <w:r>
        <w:t xml:space="preserve">):</w:t>
      </w:r>
    </w:p>
    <w:p>
      <w:pPr>
        <w:pStyle w:val="BodyText"/>
      </w:pPr>
      <m:oMathPara>
        <m:oMathParaPr>
          <m:jc m:val="center"/>
        </m:oMathParaPr>
        <m:oMath>
          <m:r>
            <m:rPr>
              <m:nor/>
              <m:sty m:val="p"/>
            </m:rPr>
            <m:t>incremental</m:t>
          </m:r>
          <m:d>
            <m:dPr>
              <m:begChr m:val="("/>
              <m:endChr m:val=")"/>
              <m:sepChr m:val=""/>
              <m:grow/>
            </m:dPr>
            <m:e>
              <m:r>
                <m:t>x</m:t>
              </m:r>
            </m:e>
          </m:d>
          <m:r>
            <m:rPr>
              <m:sty m:val="p"/>
            </m:rPr>
            <m:t>=</m:t>
          </m:r>
          <m:f>
            <m:fPr>
              <m:type m:val="bar"/>
            </m:fPr>
            <m:num>
              <m:r>
                <m:t>K</m:t>
              </m:r>
              <m:d>
                <m:dPr>
                  <m:begChr m:val="("/>
                  <m:endChr m:val=")"/>
                  <m:sepChr m:val=""/>
                  <m:grow/>
                </m:dPr>
                <m:e>
                  <m:r>
                    <m:t>B</m:t>
                  </m:r>
                  <m:r>
                    <m:rPr>
                      <m:sty m:val="p"/>
                    </m:rPr>
                    <m:t>+</m:t>
                  </m:r>
                  <m:r>
                    <m:t>x</m:t>
                  </m:r>
                  <m:r>
                    <m:t> </m:t>
                  </m:r>
                  <m:r>
                    <m:t>T</m:t>
                  </m:r>
                </m:e>
              </m:d>
              <m:r>
                <m:rPr>
                  <m:sty m:val="p"/>
                </m:rPr>
                <m:t>−</m:t>
              </m:r>
              <m:r>
                <m:t>K</m:t>
              </m:r>
              <m:d>
                <m:dPr>
                  <m:begChr m:val="("/>
                  <m:endChr m:val=")"/>
                  <m:sepChr m:val=""/>
                  <m:grow/>
                </m:dPr>
                <m:e>
                  <m:r>
                    <m:t>B</m:t>
                  </m:r>
                </m:e>
              </m:d>
            </m:num>
            <m:den>
              <m:r>
                <m:t>x</m:t>
              </m:r>
            </m:den>
          </m:f>
          <m:r>
            <m:t>  </m:t>
          </m:r>
          <m:r>
            <m:rPr>
              <m:nor/>
              <m:sty m:val="p"/>
            </m:rPr>
            <m:t>Euler</m:t>
          </m:r>
          <m:r>
            <m:rPr>
              <m:sty m:val="p"/>
            </m:rPr>
            <m:t>=</m:t>
          </m:r>
          <m:r>
            <m:rPr>
              <m:sty m:val="p"/>
            </m:rPr>
            <m:t>∇</m:t>
          </m:r>
          <m:r>
            <m:t>K</m:t>
          </m:r>
          <m:d>
            <m:dPr>
              <m:begChr m:val="("/>
              <m:endChr m:val=")"/>
              <m:sepChr m:val=""/>
              <m:grow/>
            </m:dPr>
            <m:e>
              <m:r>
                <m:t>B</m:t>
              </m:r>
            </m:e>
          </m:d>
          <m:r>
            <m:rPr>
              <m:sty m:val="p"/>
            </m:rPr>
            <m:t>⋅</m:t>
          </m:r>
          <m:r>
            <m:t>T</m:t>
          </m:r>
          <m:r>
            <m:t>  </m:t>
          </m:r>
          <m:r>
            <m:rPr>
              <m:nor/>
              <m:sty m:val="p"/>
            </m:rPr>
            <m:t>stand-alone</m:t>
          </m:r>
          <m:r>
            <m:rPr>
              <m:sty m:val="p"/>
            </m:rPr>
            <m:t>=</m:t>
          </m:r>
          <m:r>
            <m:t>K</m:t>
          </m:r>
          <m:d>
            <m:dPr>
              <m:begChr m:val="("/>
              <m:endChr m:val=")"/>
              <m:sepChr m:val=""/>
              <m:grow/>
            </m:dPr>
            <m:e>
              <m:r>
                <m:t>T</m:t>
              </m:r>
            </m:e>
          </m:d>
        </m:oMath>
      </m:oMathPara>
    </w:p>
    <w:p>
      <w:pPr>
        <w:numPr>
          <w:ilvl w:val="0"/>
          <w:numId w:val="1002"/>
        </w:numPr>
        <w:pStyle w:val="Compact"/>
      </w:pPr>
      <w:r>
        <w:rPr>
          <w:bCs/>
          <w:b/>
        </w:rPr>
        <w:t xml:space="preserve">Incremental</w:t>
      </w:r>
      <w:r>
        <w:t xml:space="preserve"> </w:t>
      </w:r>
      <w:r>
        <w:t xml:space="preserve">(</w:t>
      </w:r>
      <w:r>
        <w:rPr>
          <w:rStyle w:val="VerbatimChar"/>
        </w:rPr>
        <w:t xml:space="preserve">incremental_rw</w:t>
      </w:r>
      <w:r>
        <w:t xml:space="preserve">) is a full recalculation of capital with the trade added (</w:t>
      </w:r>
      <w:r>
        <w:rPr>
          <w:rStyle w:val="VerbatimChar"/>
        </w:rPr>
        <w:t xml:space="preserve">sacva/marginal.py</w:t>
      </w:r>
      <w:r>
        <w:t xml:space="preserve">). It is exact for that size but order-dependent: incrementals do not sum to</w:t>
      </w:r>
      <w:r>
        <w:t xml:space="preserve"> </w:t>
      </w:r>
      <m:oMath>
        <m:r>
          <m:t>K</m:t>
        </m:r>
      </m:oMath>
      <w:r>
        <w:t xml:space="preserve">.</w:t>
      </w:r>
    </w:p>
    <w:p>
      <w:pPr>
        <w:numPr>
          <w:ilvl w:val="0"/>
          <w:numId w:val="1002"/>
        </w:numPr>
        <w:pStyle w:val="Compact"/>
      </w:pPr>
      <w:r>
        <w:rPr>
          <w:bCs/>
          <w:b/>
        </w:rPr>
        <w:t xml:space="preserve">Euler</w:t>
      </w:r>
      <w:r>
        <w:t xml:space="preserve"> </w:t>
      </w:r>
      <w:r>
        <w:t xml:space="preserve">(</w:t>
      </w:r>
      <w:r>
        <w:rPr>
          <w:rStyle w:val="VerbatimChar"/>
        </w:rPr>
        <w:t xml:space="preserve">euler_rw</w:t>
      </w:r>
      <w:r>
        <w:t xml:space="preserve">) uses a closed-form gradient. It is the incremental RW in the limit</w:t>
      </w:r>
      <w:r>
        <w:t xml:space="preserve"> </w:t>
      </w:r>
      <m:oMath>
        <m:r>
          <m:t>x</m:t>
        </m:r>
        <m:r>
          <m:rPr>
            <m:sty m:val="p"/>
          </m:rPr>
          <m:t>→</m:t>
        </m:r>
        <m:r>
          <m:t>0</m:t>
        </m:r>
      </m:oMath>
      <w:r>
        <w:t xml:space="preserve">, and Euler allocations sum to</w:t>
      </w:r>
      <w:r>
        <w:t xml:space="preserve"> </w:t>
      </w:r>
      <m:oMath>
        <m:r>
          <m:t>K</m:t>
        </m:r>
      </m:oMath>
      <w:r>
        <w:t xml:space="preserve">. It omits the</w:t>
      </w:r>
      <w:r>
        <w:t xml:space="preserve"> </w:t>
      </w:r>
      <m:oMath>
        <m:r>
          <m:t>R</m:t>
        </m:r>
      </m:oMath>
      <w:r>
        <w:t xml:space="preserve"> </w:t>
      </w:r>
      <w:r>
        <w:t xml:space="preserve">term of hedge factors new to the book, which is second order.</w:t>
      </w:r>
    </w:p>
    <w:p>
      <w:pPr>
        <w:numPr>
          <w:ilvl w:val="0"/>
          <w:numId w:val="1002"/>
        </w:numPr>
        <w:pStyle w:val="Compact"/>
      </w:pPr>
      <w:r>
        <w:rPr>
          <w:bCs/>
          <w:b/>
        </w:rPr>
        <w:t xml:space="preserve">Stand-alone</w:t>
      </w:r>
      <w:r>
        <w:t xml:space="preserve"> </w:t>
      </w:r>
      <w:r>
        <w:t xml:space="preserve">(</w:t>
      </w:r>
      <w:r>
        <w:rPr>
          <w:rStyle w:val="VerbatimChar"/>
        </w:rPr>
        <w:t xml:space="preserve">standalone_rw</w:t>
      </w:r>
      <w:r>
        <w:t xml:space="preserve">) ignores the book. An unhedged single-factor trade returns its regulatory RW.</w:t>
      </w:r>
    </w:p>
    <w:p>
      <w:pPr>
        <w:pStyle w:val="FirstParagraph"/>
      </w:pPr>
      <w:r>
        <w:t xml:space="preserve">RWs are quoted per $1 of user-unit sensitivity (</w:t>
      </w:r>
      <w:r>
        <w:rPr>
          <w:rStyle w:val="VerbatimChar"/>
        </w:rPr>
        <w:t xml:space="preserve">*_rw</w:t>
      </w:r>
      <w:r>
        <w:t xml:space="preserve">), so capital</w:t>
      </w:r>
      <w:r>
        <w:t xml:space="preserve"> </w:t>
      </w:r>
      <m:oMath>
        <m:r>
          <m:rPr>
            <m:sty m:val="p"/>
          </m:rPr>
          <m:t>≈</m:t>
        </m:r>
      </m:oMath>
      <w:r>
        <w:t xml:space="preserve"> </w:t>
      </w:r>
      <w:r>
        <w:t xml:space="preserve">RW</w:t>
      </w:r>
      <w:r>
        <w:t xml:space="preserve"> </w:t>
      </w:r>
      <m:oMath>
        <m:r>
          <m:rPr>
            <m:sty m:val="p"/>
          </m:rPr>
          <m:t>×</m:t>
        </m:r>
      </m:oMath>
      <w:r>
        <w:t xml:space="preserve"> </w:t>
      </w:r>
      <w:r>
        <w:t xml:space="preserve">$ CR01. Dividing by 10,000 (bp factors) or 100 (1% factors) gives the effective RW per normalised unit (</w:t>
      </w:r>
      <w:r>
        <w:rPr>
          <w:rStyle w:val="VerbatimChar"/>
        </w:rPr>
        <w:t xml:space="preserve">*_eff_rw</w:t>
      </w:r>
      <w:r>
        <w:t xml:space="preserve">), comparable with the regulatory RW.</w:t>
      </w:r>
    </w:p>
    <w:bookmarkEnd w:id="26"/>
    <w:bookmarkStart w:id="27" w:name="who-the-trade-is-with"/>
    <w:p>
      <w:pPr>
        <w:pStyle w:val="Heading2"/>
      </w:pPr>
      <w:r>
        <w:t xml:space="preserve">2.3 Who the trade is with</w:t>
      </w:r>
    </w:p>
    <w:p>
      <w:pPr>
        <w:pStyle w:val="FirstParagraph"/>
      </w:pPr>
      <w:r>
        <w:t xml:space="preserve">The tool computes RWs for two kinds of probe:</w:t>
      </w:r>
    </w:p>
    <w:p>
      <w:pPr>
        <w:numPr>
          <w:ilvl w:val="0"/>
          <w:numId w:val="1003"/>
        </w:numPr>
        <w:pStyle w:val="Compact"/>
      </w:pPr>
      <w:r>
        <w:rPr>
          <w:bCs/>
          <w:b/>
        </w:rPr>
        <w:t xml:space="preserve">New-name grid</w:t>
      </w:r>
      <w:r>
        <w:t xml:space="preserve"> </w:t>
      </w:r>
      <w:r>
        <w:t xml:space="preserve">(</w:t>
      </w:r>
      <w:r>
        <w:rPr>
          <w:rStyle w:val="VerbatimChar"/>
        </w:rPr>
        <w:t xml:space="preserve">CCS_*_RW</w:t>
      </w:r>
      <w:r>
        <w:t xml:space="preserve"> </w:t>
      </w:r>
      <w:r>
        <w:t xml:space="preserve">sheets). A dummy counterparty is placed in each policy × sector × IG/HY cell. It has</w:t>
      </w:r>
      <w:r>
        <w:t xml:space="preserve"> </w:t>
      </w:r>
      <m:oMath>
        <m:sSub>
          <m:e>
            <m:r>
              <m:t>ρ</m:t>
            </m:r>
          </m:e>
          <m:sub>
            <m:r>
              <m:t>n</m:t>
            </m:r>
            <m:r>
              <m:t>a</m:t>
            </m:r>
            <m:r>
              <m:t>m</m:t>
            </m:r>
            <m:r>
              <m:t>e</m:t>
            </m:r>
          </m:sub>
        </m:sSub>
      </m:oMath>
      <w:r>
        <w:t xml:space="preserve"> </w:t>
      </w:r>
      <w:r>
        <w:t xml:space="preserve">50% to every book name, so it never carries concentration.</w:t>
      </w:r>
    </w:p>
    <w:p>
      <w:pPr>
        <w:numPr>
          <w:ilvl w:val="0"/>
          <w:numId w:val="1003"/>
        </w:numPr>
        <w:pStyle w:val="Compact"/>
      </w:pPr>
      <w:r>
        <w:rPr>
          <w:bCs/>
          <w:b/>
        </w:rPr>
        <w:t xml:space="preserve">Counterparty RWs</w:t>
      </w:r>
      <w:r>
        <w:t xml:space="preserve"> </w:t>
      </w:r>
      <w:r>
        <w:t xml:space="preserve">(</w:t>
      </w:r>
      <w:r>
        <w:rPr>
          <w:rStyle w:val="VerbatimChar"/>
        </w:rPr>
        <w:t xml:space="preserve">CPTY_RW</w:t>
      </w:r>
      <w:r>
        <w:t xml:space="preserve">). For each counterparty</w:t>
      </w:r>
      <w:r>
        <w:t xml:space="preserve"> </w:t>
      </w:r>
      <m:oMath>
        <m:r>
          <m:t>c</m:t>
        </m:r>
      </m:oMath>
      <w:r>
        <w:t xml:space="preserve"> </w:t>
      </w:r>
      <w:r>
        <w:t xml:space="preserve">and risk type, its own net CVA sensitivities are scaled to a gross size of $1, and its policy hedge is added. Its existing exposure enters at</w:t>
      </w:r>
      <w:r>
        <w:t xml:space="preserve"> </w:t>
      </w:r>
      <m:oMath>
        <m:sSub>
          <m:e>
            <m:r>
              <m:t>ρ</m:t>
            </m:r>
          </m:e>
          <m:sub>
            <m:r>
              <m:t>n</m:t>
            </m:r>
            <m:r>
              <m:t>a</m:t>
            </m:r>
            <m:r>
              <m:t>m</m:t>
            </m:r>
            <m:r>
              <m:t>e</m:t>
            </m:r>
          </m:sub>
        </m:sSub>
      </m:oMath>
      <w:r>
        <w:t xml:space="preserve"> </w:t>
      </w:r>
      <w:r>
        <w:t xml:space="preserve">100% (90% for related names), so concentration is priced.</w:t>
      </w:r>
    </w:p>
    <w:p>
      <w:pPr>
        <w:pStyle w:val="FirstParagraph"/>
      </w:pPr>
      <w:r>
        <w:t xml:space="preserve">The production weight file (</w:t>
      </w:r>
      <w:r>
        <w:rPr>
          <w:rStyle w:val="VerbatimChar"/>
        </w:rPr>
        <w:t xml:space="preserve">sacva weights</w:t>
      </w:r>
      <w:r>
        <w:t xml:space="preserve">, SACVAWeights.csv) takes the counterparty incremental RWs and averages them per hedge type × sector × IG/HY, weighted by gross CR01:</w:t>
      </w:r>
    </w:p>
    <w:p>
      <w:pPr>
        <w:pStyle w:val="BodyText"/>
      </w:pPr>
      <m:oMathPara>
        <m:oMathParaPr>
          <m:jc m:val="center"/>
        </m:oMathParaPr>
        <m:oMath>
          <m:r>
            <m:t>R</m:t>
          </m:r>
          <m:sSub>
            <m:e>
              <m:r>
                <m:t>W</m:t>
              </m:r>
            </m:e>
            <m:sub>
              <m:r>
                <m:t>c</m:t>
              </m:r>
              <m:r>
                <m:t>e</m:t>
              </m:r>
              <m:r>
                <m:t>l</m:t>
              </m:r>
              <m:r>
                <m:t>l</m:t>
              </m:r>
            </m:sub>
          </m:sSub>
          <m:r>
            <m:rPr>
              <m:sty m:val="p"/>
            </m:rPr>
            <m:t>=</m:t>
          </m:r>
          <m:f>
            <m:fPr>
              <m:type m:val="bar"/>
            </m:fPr>
            <m:num>
              <m:nary>
                <m:naryPr>
                  <m:chr m:val="∑"/>
                  <m:limLoc m:val="undOvr"/>
                  <m:subHide m:val="0"/>
                  <m:supHide m:val="1"/>
                </m:naryPr>
                <m:sub>
                  <m:r>
                    <m:t>c</m:t>
                  </m:r>
                  <m:r>
                    <m:rPr>
                      <m:sty m:val="p"/>
                    </m:rPr>
                    <m:t>∈</m:t>
                  </m:r>
                  <m:r>
                    <m:t>c</m:t>
                  </m:r>
                  <m:r>
                    <m:t>e</m:t>
                  </m:r>
                  <m:r>
                    <m:t>l</m:t>
                  </m:r>
                  <m:r>
                    <m:t>l</m:t>
                  </m:r>
                </m:sub>
                <m:sup>
                  <m:r>
                    <m:t>​</m:t>
                  </m:r>
                </m:sup>
                <m:e>
                  <m:r>
                    <m:t>R</m:t>
                  </m:r>
                </m:e>
              </m:nary>
              <m:sSub>
                <m:e>
                  <m:r>
                    <m:t>W</m:t>
                  </m:r>
                </m:e>
                <m:sub>
                  <m:r>
                    <m:t>c</m:t>
                  </m:r>
                </m:sub>
              </m:sSub>
              <m:r>
                <m:t> </m:t>
              </m:r>
              <m:sSub>
                <m:e>
                  <m:r>
                    <m:t>G</m:t>
                  </m:r>
                </m:e>
                <m:sub>
                  <m:r>
                    <m:t>c</m:t>
                  </m:r>
                </m:sub>
              </m:sSub>
            </m:num>
            <m:den>
              <m:nary>
                <m:naryPr>
                  <m:chr m:val="∑"/>
                  <m:limLoc m:val="undOvr"/>
                  <m:subHide m:val="0"/>
                  <m:supHide m:val="1"/>
                </m:naryPr>
                <m:sub>
                  <m:r>
                    <m:t>c</m:t>
                  </m:r>
                  <m:r>
                    <m:rPr>
                      <m:sty m:val="p"/>
                    </m:rPr>
                    <m:t>∈</m:t>
                  </m:r>
                  <m:r>
                    <m:t>c</m:t>
                  </m:r>
                  <m:r>
                    <m:t>e</m:t>
                  </m:r>
                  <m:r>
                    <m:t>l</m:t>
                  </m:r>
                  <m:r>
                    <m:t>l</m:t>
                  </m:r>
                </m:sub>
                <m:sup>
                  <m:r>
                    <m:t>​</m:t>
                  </m:r>
                </m:sup>
                <m:e>
                  <m:sSub>
                    <m:e>
                      <m:r>
                        <m:t>G</m:t>
                      </m:r>
                    </m:e>
                    <m:sub>
                      <m:r>
                        <m:t>c</m:t>
                      </m:r>
                    </m:sub>
                  </m:sSub>
                </m:e>
              </m:nary>
            </m:den>
          </m:f>
          <m:r>
            <m:rPr>
              <m:sty m:val="p"/>
            </m:rPr>
            <m:t>,</m:t>
          </m:r>
          <m:r>
            <m:t>  </m:t>
          </m:r>
          <m:sSub>
            <m:e>
              <m:r>
                <m:t>G</m:t>
              </m:r>
            </m:e>
            <m:sub>
              <m:r>
                <m:t>c</m:t>
              </m:r>
            </m:sub>
          </m:sSub>
          <m:r>
            <m:rPr>
              <m:sty m:val="p"/>
            </m:rPr>
            <m:t>=</m:t>
          </m:r>
          <m:nary>
            <m:naryPr>
              <m:chr m:val="∑"/>
              <m:limLoc m:val="undOvr"/>
              <m:subHide m:val="0"/>
              <m:supHide m:val="1"/>
            </m:naryPr>
            <m:sub>
              <m:r>
                <m:t>k</m:t>
              </m:r>
            </m:sub>
            <m:sup>
              <m:r>
                <m:t>​</m:t>
              </m:r>
            </m:sup>
            <m:e>
              <m:d>
                <m:dPr>
                  <m:begChr m:val="|"/>
                  <m:endChr m:val="|"/>
                  <m:sepChr m:val=""/>
                  <m:grow/>
                </m:dPr>
                <m:e>
                  <m:sSubSup>
                    <m:e>
                      <m:r>
                        <m:t>s</m:t>
                      </m:r>
                    </m:e>
                    <m:sub>
                      <m:r>
                        <m:t>c</m:t>
                      </m:r>
                      <m:r>
                        <m:rPr>
                          <m:sty m:val="p"/>
                        </m:rPr>
                        <m:t>,</m:t>
                      </m:r>
                      <m:r>
                        <m:t>k</m:t>
                      </m:r>
                    </m:sub>
                    <m:sup>
                      <m:r>
                        <m:t>C</m:t>
                      </m:r>
                      <m:r>
                        <m:t>V</m:t>
                      </m:r>
                      <m:r>
                        <m:t>A</m:t>
                      </m:r>
                    </m:sup>
                  </m:sSubSup>
                </m:e>
              </m:d>
            </m:e>
          </m:nary>
        </m:oMath>
      </m:oMathPara>
    </w:p>
    <w:p>
      <w:pPr>
        <w:pStyle w:val="FirstParagraph"/>
      </w:pPr>
      <w:r>
        <w:rPr>
          <w:rStyle w:val="VerbatimChar"/>
        </w:rPr>
        <w:t xml:space="preserve">vegaCost</w:t>
      </w:r>
      <w:r>
        <w:t xml:space="preserve"> </w:t>
      </w:r>
      <w:r>
        <w:t xml:space="preserve">is the same average over all vega risk types. Empty cells fall back to the new-name grid. Names listed in</w:t>
      </w:r>
      <w:r>
        <w:t xml:space="preserve"> </w:t>
      </w:r>
      <w:r>
        <w:rPr>
          <w:rStyle w:val="VerbatimChar"/>
        </w:rPr>
        <w:t xml:space="preserve">sacva_weights.own_lines</w:t>
      </w:r>
      <w:r>
        <w:t xml:space="preserve"> </w:t>
      </w:r>
      <w:r>
        <w:t xml:space="preserve">also get their own line.</w:t>
      </w:r>
    </w:p>
    <w:bookmarkEnd w:id="27"/>
    <w:bookmarkEnd w:id="28"/>
    <w:bookmarkStart w:id="39" w:name="choice-of-cr01-probe-size-and-its-impact"/>
    <w:p>
      <w:pPr>
        <w:pStyle w:val="Heading1"/>
      </w:pPr>
      <w:r>
        <w:t xml:space="preserve">3. Choice of CR01 probe size and its impact</w:t>
      </w:r>
    </w:p>
    <w:p>
      <w:pPr>
        <w:pStyle w:val="FirstParagraph"/>
      </w:pPr>
      <w:r>
        <w:t xml:space="preserve">The incremental RW per $1 depends strongly on the probe size. It rises from the Euler slope at</w:t>
      </w:r>
      <w:r>
        <w:t xml:space="preserve"> </w:t>
      </w:r>
      <m:oMath>
        <m:r>
          <m:t>x</m:t>
        </m:r>
        <m:r>
          <m:rPr>
            <m:sty m:val="p"/>
          </m:rPr>
          <m:t>→</m:t>
        </m:r>
        <m:r>
          <m:t>0</m:t>
        </m:r>
      </m:oMath>
      <w:r>
        <w:t xml:space="preserve"> </w:t>
      </w:r>
      <w:r>
        <w:t xml:space="preserve">to the stand-alone RW as</w:t>
      </w:r>
      <w:r>
        <w:t xml:space="preserve"> </w:t>
      </w:r>
      <m:oMath>
        <m:r>
          <m:t>x</m:t>
        </m:r>
        <m:r>
          <m:rPr>
            <m:sty m:val="p"/>
          </m:rPr>
          <m:t>→</m:t>
        </m:r>
        <m:r>
          <m:rPr>
            <m:sty m:val="p"/>
          </m:rPr>
          <m:t>∞</m:t>
        </m:r>
      </m:oMath>
      <w:r>
        <w:t xml:space="preserve">. A $1 probe and a $10k/bp probe are two points on the same curve.</w:t>
      </w:r>
    </w:p>
    <w:bookmarkStart w:id="29" w:name="two-approaches-compared"/>
    <w:p>
      <w:pPr>
        <w:pStyle w:val="Heading2"/>
      </w:pPr>
      <w:r>
        <w:t xml:space="preserve">3.1 Two approaches compared</w:t>
      </w:r>
    </w:p>
    <w:p>
      <w:pPr>
        <w:pStyle w:val="FirstParagraph"/>
      </w:pPr>
      <w:r>
        <w:t xml:space="preserve">The current production RW uses a dummy new name with a CR01 of $10k/bp (SK_CVA = 10,000 × 10,000 = 100mm normalised), with the hedge policy applied, per sector × IG/HY × hedge type. The repo’s weight file uses each counterparty’s own profile at $1. The two differ on two separate axes: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Dummy new name</w:t>
            </w:r>
          </w:p>
        </w:tc>
        <w:tc>
          <w:tcPr/>
          <w:p>
            <w:pPr>
              <w:pStyle w:val="Compact"/>
              <w:jc w:val="left"/>
            </w:pPr>
            <w:r>
              <w:t xml:space="preserve">Actual counterparties, averaged per cell</w:t>
            </w:r>
          </w:p>
        </w:tc>
      </w:tr>
      <w:tr>
        <w:tc>
          <w:tcPr/>
          <w:p>
            <w:pPr>
              <w:pStyle w:val="Compact"/>
              <w:jc w:val="left"/>
            </w:pPr>
            <w:r>
              <w:t xml:space="preserve">$1 probe (≈ Euler)</w:t>
            </w:r>
          </w:p>
        </w:tc>
        <w:tc>
          <w:tcPr/>
          <w:p>
            <w:pPr>
              <w:pStyle w:val="Compact"/>
              <w:jc w:val="left"/>
            </w:pPr>
            <w:r>
              <w:t xml:space="preserve">New-name grid (repo fallback)</w:t>
            </w:r>
          </w:p>
        </w:tc>
        <w:tc>
          <w:tcPr/>
          <w:p>
            <w:pPr>
              <w:pStyle w:val="Compact"/>
              <w:jc w:val="left"/>
            </w:pPr>
            <w:r>
              <w:t xml:space="preserve">Repo weight file (</w:t>
            </w:r>
            <w:r>
              <w:rPr>
                <w:rStyle w:val="VerbatimChar"/>
              </w:rPr>
              <w:t xml:space="preserve">sacva weights</w:t>
            </w:r>
            <w:r>
              <w:t xml:space="preserve">)</w:t>
            </w:r>
          </w:p>
        </w:tc>
      </w:tr>
      <w:tr>
        <w:tc>
          <w:tcPr/>
          <w:p>
            <w:pPr>
              <w:pStyle w:val="Compact"/>
              <w:jc w:val="left"/>
            </w:pPr>
            <w:r>
              <w:t xml:space="preserve">$10k/bp probe</w:t>
            </w:r>
          </w:p>
        </w:tc>
        <w:tc>
          <w:tcPr/>
          <w:p>
            <w:pPr>
              <w:pStyle w:val="Compact"/>
              <w:jc w:val="left"/>
            </w:pPr>
            <w:r>
              <w:t xml:space="preserve">Current production</w:t>
            </w:r>
          </w:p>
        </w:tc>
        <w:tc>
          <w:tcPr/>
          <w:p>
            <w:pPr>
              <w:pStyle w:val="Compact"/>
              <w:jc w:val="left"/>
            </w:pPr>
            <w:r>
              <w:t xml:space="preserve">Not built</w:t>
            </w:r>
          </w:p>
        </w:tc>
      </w:tr>
    </w:tbl>
    <w:p>
      <w:pPr>
        <w:pStyle w:val="BodyText"/>
      </w:pPr>
      <w:r>
        <w:t xml:space="preserve">This memo assumes production matches the repo’s new-name grid run at</w:t>
      </w:r>
      <w:r>
        <w:t xml:space="preserve"> </w:t>
      </w:r>
      <m:oMath>
        <m:r>
          <m:t>x</m:t>
        </m:r>
      </m:oMath>
      <w:r>
        <w:t xml:space="preserve"> </w:t>
      </w:r>
      <w:r>
        <w:t xml:space="preserve">= 10,000:</w:t>
      </w:r>
      <w:r>
        <w:t xml:space="preserve"> </w:t>
      </w:r>
      <m:oMath>
        <m:sSub>
          <m:e>
            <m:r>
              <m:t>ρ</m:t>
            </m:r>
          </m:e>
          <m:sub>
            <m:r>
              <m:t>n</m:t>
            </m:r>
            <m:r>
              <m:t>a</m:t>
            </m:r>
            <m:r>
              <m:t>m</m:t>
            </m:r>
            <m:r>
              <m:t>e</m:t>
            </m:r>
          </m:sub>
        </m:sSub>
      </m:oMath>
      <w:r>
        <w:t xml:space="preserve"> </w:t>
      </w:r>
      <w:r>
        <w:t xml:space="preserve">50% to book names, a 5Y profile, incremental on today’s book divided by 10,000.</w:t>
      </w:r>
    </w:p>
    <w:bookmarkEnd w:id="29"/>
    <w:bookmarkStart w:id="30" w:name="X83b2e4553678cdb8956d08fa68f806bc0a483fd"/>
    <w:p>
      <w:pPr>
        <w:pStyle w:val="Heading2"/>
      </w:pPr>
      <w:r>
        <w:t xml:space="preserve">3.2 Why the curve runs from Euler to stand-alone</w:t>
      </w:r>
    </w:p>
    <w:p>
      <w:pPr>
        <w:pStyle w:val="FirstParagraph"/>
      </w:pPr>
      <w:r>
        <w:t xml:space="preserve">SA-CVA capital is positively homogeneous of degree one:</w:t>
      </w:r>
      <w:r>
        <w:t xml:space="preserve"> </w:t>
      </w:r>
      <m:oMath>
        <m:r>
          <m:t>K</m:t>
        </m:r>
        <m:d>
          <m:dPr>
            <m:begChr m:val="("/>
            <m:endChr m:val=")"/>
            <m:sepChr m:val=""/>
            <m:grow/>
          </m:dPr>
          <m:e>
            <m:r>
              <m:t>λ</m:t>
            </m:r>
            <m:r>
              <m:t>X</m:t>
            </m:r>
          </m:e>
        </m:d>
        <m:r>
          <m:rPr>
            <m:sty m:val="p"/>
          </m:rPr>
          <m:t>=</m:t>
        </m:r>
        <m:r>
          <m:t>λ</m:t>
        </m:r>
        <m:r>
          <m:t>K</m:t>
        </m:r>
        <m:d>
          <m:dPr>
            <m:begChr m:val="("/>
            <m:endChr m:val=")"/>
            <m:sepChr m:val=""/>
            <m:grow/>
          </m:dPr>
          <m:e>
            <m:r>
              <m:t>X</m:t>
            </m:r>
          </m:e>
        </m:d>
      </m:oMath>
      <w:r>
        <w:t xml:space="preserve"> </w:t>
      </w:r>
      <w:r>
        <w:t xml:space="preserve">for</w:t>
      </w:r>
      <w:r>
        <w:t xml:space="preserve"> </w:t>
      </w:r>
      <m:oMath>
        <m:r>
          <m:t>λ</m:t>
        </m:r>
        <m:r>
          <m:rPr>
            <m:sty m:val="p"/>
          </m:rPr>
          <m:t>&gt;</m:t>
        </m:r>
        <m:r>
          <m:t>0</m:t>
        </m:r>
      </m:oMath>
      <w:r>
        <w:t xml:space="preserve">. Dividing inside the bracket by</w:t>
      </w:r>
      <w:r>
        <w:t xml:space="preserve"> </w:t>
      </w:r>
      <m:oMath>
        <m:r>
          <m:t>x</m:t>
        </m:r>
      </m:oMath>
      <w:r>
        <w:t xml:space="preserve"> </w:t>
      </w:r>
      <w:r>
        <w:t xml:space="preserve">gives</w:t>
      </w:r>
    </w:p>
    <w:p>
      <w:pPr>
        <w:pStyle w:val="BodyText"/>
      </w:pPr>
      <m:oMathPara>
        <m:oMathParaPr>
          <m:jc m:val="center"/>
        </m:oMathParaPr>
        <m:oMath>
          <m:f>
            <m:fPr>
              <m:type m:val="bar"/>
            </m:fPr>
            <m:num>
              <m:r>
                <m:t>K</m:t>
              </m:r>
              <m:d>
                <m:dPr>
                  <m:begChr m:val="("/>
                  <m:endChr m:val=")"/>
                  <m:sepChr m:val=""/>
                  <m:grow/>
                </m:dPr>
                <m:e>
                  <m:r>
                    <m:t>B</m:t>
                  </m:r>
                  <m:r>
                    <m:rPr>
                      <m:sty m:val="p"/>
                    </m:rPr>
                    <m:t>+</m:t>
                  </m:r>
                  <m:r>
                    <m:t>x</m:t>
                  </m:r>
                  <m:r>
                    <m:t>T</m:t>
                  </m:r>
                </m:e>
              </m:d>
              <m:r>
                <m:rPr>
                  <m:sty m:val="p"/>
                </m:rPr>
                <m:t>−</m:t>
              </m:r>
              <m:r>
                <m:t>K</m:t>
              </m:r>
              <m:d>
                <m:dPr>
                  <m:begChr m:val="("/>
                  <m:endChr m:val=")"/>
                  <m:sepChr m:val=""/>
                  <m:grow/>
                </m:dPr>
                <m:e>
                  <m:r>
                    <m:t>B</m:t>
                  </m:r>
                </m:e>
              </m:d>
            </m:num>
            <m:den>
              <m:r>
                <m:t>x</m:t>
              </m:r>
            </m:den>
          </m:f>
          <m:r>
            <m:rPr>
              <m:sty m:val="p"/>
            </m:rPr>
            <m:t>=</m:t>
          </m:r>
          <m:r>
            <m:t>K</m:t>
          </m:r>
          <m:d>
            <m:dPr>
              <m:begChr m:val="("/>
              <m:endChr m:val=")"/>
              <m:sepChr m:val=""/>
              <m:grow/>
            </m:dPr>
            <m:e>
              <m:f>
                <m:fPr>
                  <m:type m:val="bar"/>
                </m:fPr>
                <m:num>
                  <m:r>
                    <m:t>B</m:t>
                  </m:r>
                </m:num>
                <m:den>
                  <m:r>
                    <m:t>x</m:t>
                  </m:r>
                </m:den>
              </m:f>
              <m:r>
                <m:rPr>
                  <m:sty m:val="p"/>
                </m:rPr>
                <m:t>+</m:t>
              </m:r>
              <m:r>
                <m:t>T</m:t>
              </m:r>
            </m:e>
          </m:d>
          <m:r>
            <m:rPr>
              <m:sty m:val="p"/>
            </m:rPr>
            <m:t>−</m:t>
          </m:r>
          <m:f>
            <m:fPr>
              <m:type m:val="bar"/>
            </m:fPr>
            <m:num>
              <m:r>
                <m:t>K</m:t>
              </m:r>
              <m:d>
                <m:dPr>
                  <m:begChr m:val="("/>
                  <m:endChr m:val=")"/>
                  <m:sepChr m:val=""/>
                  <m:grow/>
                </m:dPr>
                <m:e>
                  <m:r>
                    <m:t>B</m:t>
                  </m:r>
                </m:e>
              </m:d>
            </m:num>
            <m:den>
              <m:r>
                <m:t>x</m:t>
              </m:r>
            </m:den>
          </m:f>
          <m:r>
            <m:t> </m:t>
          </m:r>
          <m:r>
            <m:rPr>
              <m:sty m:val="p"/>
            </m:rPr>
            <m:t>→</m:t>
          </m:r>
          <m:r>
            <m:t> </m:t>
          </m:r>
          <m:r>
            <m:t>K</m:t>
          </m:r>
          <m:d>
            <m:dPr>
              <m:begChr m:val="("/>
              <m:endChr m:val=")"/>
              <m:sepChr m:val=""/>
              <m:grow/>
            </m:dPr>
            <m:e>
              <m:r>
                <m:t>T</m:t>
              </m:r>
            </m:e>
          </m:d>
          <m:r>
            <m:t> </m:t>
          </m:r>
          <m:r>
            <m:rPr>
              <m:nor/>
              <m:sty m:val="p"/>
            </m:rPr>
            <m:t>as </m:t>
          </m:r>
          <m:r>
            <m:t>x</m:t>
          </m:r>
          <m:r>
            <m:rPr>
              <m:sty m:val="p"/>
            </m:rPr>
            <m:t>→</m:t>
          </m:r>
          <m:r>
            <m:rPr>
              <m:sty m:val="p"/>
            </m:rPr>
            <m:t>∞</m:t>
          </m:r>
        </m:oMath>
      </m:oMathPara>
    </w:p>
    <w:p>
      <w:pPr>
        <w:pStyle w:val="FirstParagraph"/>
      </w:pPr>
      <w:r>
        <w:t xml:space="preserve">When the trade dwarfs the book there is nothing left to offset or diversify against. As</w:t>
      </w:r>
      <w:r>
        <w:t xml:space="preserve"> </w:t>
      </w:r>
      <m:oMath>
        <m:r>
          <m:t>x</m:t>
        </m:r>
        <m:r>
          <m:rPr>
            <m:sty m:val="p"/>
          </m:rPr>
          <m:t>→</m:t>
        </m:r>
        <m:r>
          <m:t>0</m:t>
        </m:r>
      </m:oMath>
      <w:r>
        <w:t xml:space="preserve"> </w:t>
      </w:r>
      <w:r>
        <w:t xml:space="preserve">the same ratio is, by definition, the directional derivative</w:t>
      </w:r>
      <w:r>
        <w:t xml:space="preserve"> </w:t>
      </w:r>
      <m:oMath>
        <m:r>
          <m:rPr>
            <m:sty m:val="p"/>
          </m:rPr>
          <m:t>∇</m:t>
        </m:r>
        <m:r>
          <m:t>K</m:t>
        </m:r>
        <m:d>
          <m:dPr>
            <m:begChr m:val="("/>
            <m:endChr m:val=")"/>
            <m:sepChr m:val=""/>
            <m:grow/>
          </m:dPr>
          <m:e>
            <m:r>
              <m:t>B</m:t>
            </m:r>
          </m:e>
        </m:d>
        <m:r>
          <m:rPr>
            <m:sty m:val="p"/>
          </m:rPr>
          <m:t>⋅</m:t>
        </m:r>
        <m:r>
          <m:t>T</m:t>
        </m:r>
      </m:oMath>
      <w:r>
        <w:t xml:space="preserve">.</w:t>
      </w:r>
    </w:p>
    <w:p>
      <w:pPr>
        <w:pStyle w:val="BodyText"/>
      </w:pPr>
      <w:r>
        <w:t xml:space="preserve">Between the two limits:</w:t>
      </w:r>
    </w:p>
    <w:p>
      <w:pPr>
        <w:numPr>
          <w:ilvl w:val="0"/>
          <w:numId w:val="1004"/>
        </w:numPr>
        <w:pStyle w:val="Compact"/>
      </w:pPr>
      <w:r>
        <w:rPr>
          <w:bCs/>
          <w:b/>
        </w:rPr>
        <w:t xml:space="preserve">Monotone.</w:t>
      </w:r>
      <w:r>
        <w:t xml:space="preserve"> </w:t>
      </w:r>
      <m:oMath>
        <m:r>
          <m:t>f</m:t>
        </m:r>
        <m:d>
          <m:dPr>
            <m:begChr m:val="("/>
            <m:endChr m:val=")"/>
            <m:sepChr m:val=""/>
            <m:grow/>
          </m:dPr>
          <m:e>
            <m:r>
              <m:t>x</m:t>
            </m:r>
          </m:e>
        </m:d>
        <m:r>
          <m:rPr>
            <m:sty m:val="p"/>
          </m:rPr>
          <m:t>=</m:t>
        </m:r>
        <m:r>
          <m:t>K</m:t>
        </m:r>
        <m:d>
          <m:dPr>
            <m:begChr m:val="("/>
            <m:endChr m:val=")"/>
            <m:sepChr m:val=""/>
            <m:grow/>
          </m:dPr>
          <m:e>
            <m:r>
              <m:t>B</m:t>
            </m:r>
            <m:r>
              <m:rPr>
                <m:sty m:val="p"/>
              </m:rPr>
              <m:t>+</m:t>
            </m:r>
            <m:r>
              <m:t>x</m:t>
            </m:r>
            <m:r>
              <m:t>T</m:t>
            </m:r>
          </m:e>
        </m:d>
      </m:oMath>
      <w:r>
        <w:t xml:space="preserve"> </w:t>
      </w:r>
      <w:r>
        <w:t xml:space="preserve">is convex in</w:t>
      </w:r>
      <w:r>
        <w:t xml:space="preserve"> </w:t>
      </w:r>
      <m:oMath>
        <m:r>
          <m:t>x</m:t>
        </m:r>
      </m:oMath>
      <w:r>
        <w:t xml:space="preserve"> </w:t>
      </w:r>
      <w:r>
        <w:t xml:space="preserve">(each</w:t>
      </w:r>
      <w:r>
        <w:t xml:space="preserve"> </w:t>
      </w:r>
      <m:oMath>
        <m:sSub>
          <m:e>
            <m:r>
              <m:t>K</m:t>
            </m:r>
          </m:e>
          <m:sub>
            <m:r>
              <m:t>b</m:t>
            </m:r>
          </m:sub>
        </m:sSub>
      </m:oMath>
      <w:r>
        <w:t xml:space="preserve"> </w:t>
      </w:r>
      <w:r>
        <w:t xml:space="preserve">is a norm), so the secant slope</w:t>
      </w:r>
      <w:r>
        <w:t xml:space="preserve"> </w:t>
      </w:r>
      <m:oMath>
        <m:d>
          <m:dPr>
            <m:begChr m:val="["/>
            <m:endChr m:val="]"/>
            <m:sepChr m:val=""/>
            <m:grow/>
          </m:dPr>
          <m:e>
            <m:r>
              <m:t>f</m:t>
            </m:r>
            <m:d>
              <m:dPr>
                <m:begChr m:val="("/>
                <m:endChr m:val=")"/>
                <m:sepChr m:val=""/>
                <m:grow/>
              </m:dPr>
              <m:e>
                <m:r>
                  <m:t>x</m:t>
                </m:r>
              </m:e>
            </m:d>
            <m:r>
              <m:rPr>
                <m:sty m:val="p"/>
              </m:rPr>
              <m:t>−</m:t>
            </m:r>
            <m:r>
              <m:t>f</m:t>
            </m:r>
            <m:d>
              <m:dPr>
                <m:begChr m:val="("/>
                <m:endChr m:val=")"/>
                <m:sepChr m:val=""/>
                <m:grow/>
              </m:dPr>
              <m:e>
                <m:r>
                  <m:t>0</m:t>
                </m:r>
              </m:e>
            </m:d>
          </m:e>
        </m:d>
        <m:r>
          <m:rPr>
            <m:sty m:val="p"/>
          </m:rPr>
          <m:t>/</m:t>
        </m:r>
        <m:r>
          <m:t>x</m:t>
        </m:r>
      </m:oMath>
      <w:r>
        <w:t xml:space="preserve"> </w:t>
      </w:r>
      <w:r>
        <w:t xml:space="preserve">never falls as</w:t>
      </w:r>
      <w:r>
        <w:t xml:space="preserve"> </w:t>
      </w:r>
      <m:oMath>
        <m:r>
          <m:t>x</m:t>
        </m:r>
      </m:oMath>
      <w:r>
        <w:t xml:space="preserve"> </w:t>
      </w:r>
      <w:r>
        <w:t xml:space="preserve">grows.</w:t>
      </w:r>
    </w:p>
    <w:p>
      <w:pPr>
        <w:numPr>
          <w:ilvl w:val="0"/>
          <w:numId w:val="1004"/>
        </w:numPr>
        <w:pStyle w:val="Compact"/>
      </w:pPr>
      <w:r>
        <w:rPr>
          <w:bCs/>
          <w:b/>
        </w:rPr>
        <w:t xml:space="preserve">Bounded.</w:t>
      </w:r>
      <w:r>
        <w:t xml:space="preserve"> </w:t>
      </w:r>
      <m:oMath>
        <m:r>
          <m:t>K</m:t>
        </m:r>
      </m:oMath>
      <w:r>
        <w:t xml:space="preserve"> </w:t>
      </w:r>
      <w:r>
        <w:t xml:space="preserve">is subadditive,</w:t>
      </w:r>
      <w:r>
        <w:t xml:space="preserve"> </w:t>
      </w:r>
      <m:oMath>
        <m:r>
          <m:t>K</m:t>
        </m:r>
        <m:d>
          <m:dPr>
            <m:begChr m:val="("/>
            <m:endChr m:val=")"/>
            <m:sepChr m:val=""/>
            <m:grow/>
          </m:dPr>
          <m:e>
            <m:r>
              <m:t>B</m:t>
            </m:r>
            <m:r>
              <m:rPr>
                <m:sty m:val="p"/>
              </m:rPr>
              <m:t>+</m:t>
            </m:r>
            <m:r>
              <m:t>x</m:t>
            </m:r>
            <m:r>
              <m:t>T</m:t>
            </m:r>
          </m:e>
        </m:d>
        <m:r>
          <m:rPr>
            <m:sty m:val="p"/>
          </m:rPr>
          <m:t>≤</m:t>
        </m:r>
        <m:r>
          <m:t>K</m:t>
        </m:r>
        <m:d>
          <m:dPr>
            <m:begChr m:val="("/>
            <m:endChr m:val=")"/>
            <m:sepChr m:val=""/>
            <m:grow/>
          </m:dPr>
          <m:e>
            <m:r>
              <m:t>B</m:t>
            </m:r>
          </m:e>
        </m:d>
        <m:r>
          <m:rPr>
            <m:sty m:val="p"/>
          </m:rPr>
          <m:t>+</m:t>
        </m:r>
        <m:r>
          <m:t>x</m:t>
        </m:r>
        <m:r>
          <m:t>K</m:t>
        </m:r>
        <m:d>
          <m:dPr>
            <m:begChr m:val="("/>
            <m:endChr m:val=")"/>
            <m:sepChr m:val=""/>
            <m:grow/>
          </m:dPr>
          <m:e>
            <m:r>
              <m:t>T</m:t>
            </m:r>
          </m:e>
        </m:d>
      </m:oMath>
      <w:r>
        <w:t xml:space="preserve">, so the incremental RW never exceeds the stand-alone RW.</w:t>
      </w:r>
    </w:p>
    <w:p>
      <w:pPr>
        <w:pStyle w:val="FirstParagraph"/>
      </w:pPr>
      <w:r>
        <w:t xml:space="preserve">The</w:t>
      </w:r>
      <w:r>
        <w:t xml:space="preserve"> </w:t>
      </w:r>
      <m:oMath>
        <m:sSub>
          <m:e>
            <m:r>
              <m:t>S</m:t>
            </m:r>
          </m:e>
          <m:sub>
            <m:r>
              <m:t>b</m:t>
            </m:r>
          </m:sub>
        </m:sSub>
      </m:oMath>
      <w:r>
        <w:t xml:space="preserve"> </w:t>
      </w:r>
      <w:r>
        <w:t xml:space="preserve">cap and the cross-bucket</w:t>
      </w:r>
      <w:r>
        <w:t xml:space="preserve"> </w:t>
      </w:r>
      <m:oMath>
        <m:r>
          <m:t>γ</m:t>
        </m:r>
      </m:oMath>
      <w:r>
        <w:t xml:space="preserve"> </w:t>
      </w:r>
      <w:r>
        <w:t xml:space="preserve">term can break strict convexity in principle. Monotonicity held in all 48 cells tested on the example book.</w:t>
      </w:r>
    </w:p>
    <w:p>
      <w:pPr>
        <w:pStyle w:val="BodyText"/>
      </w:pPr>
      <m:oMathPara>
        <m:oMathParaPr>
          <m:jc m:val="center"/>
        </m:oMathParaPr>
        <m:oMath>
          <m:r>
            <m:rPr>
              <m:nor/>
              <m:sty m:val="p"/>
            </m:rPr>
            <m:t>Euler</m:t>
          </m:r>
          <m:r>
            <m:t> </m:t>
          </m:r>
          <m:r>
            <m:rPr>
              <m:sty m:val="p"/>
            </m:rPr>
            <m:t>≤</m:t>
          </m:r>
          <m:r>
            <m:t> </m:t>
          </m:r>
          <m:r>
            <m:rPr>
              <m:nor/>
              <m:sty m:val="p"/>
            </m:rPr>
            <m:t>incremental</m:t>
          </m:r>
          <m:d>
            <m:dPr>
              <m:begChr m:val="("/>
              <m:endChr m:val=")"/>
              <m:sepChr m:val=""/>
              <m:grow/>
            </m:dPr>
            <m:e>
              <m:r>
                <m:t>x</m:t>
              </m:r>
            </m:e>
          </m:d>
          <m:r>
            <m:t> </m:t>
          </m:r>
          <m:r>
            <m:rPr>
              <m:sty m:val="p"/>
            </m:rPr>
            <m:t>≤</m:t>
          </m:r>
          <m:r>
            <m:t> </m:t>
          </m:r>
          <m:r>
            <m:rPr>
              <m:nor/>
              <m:sty m:val="p"/>
            </m:rPr>
            <m:t>stand-alone</m:t>
          </m:r>
        </m:oMath>
      </m:oMathPara>
    </w:p>
    <w:bookmarkEnd w:id="30"/>
    <w:bookmarkStart w:id="31" w:name="a-closed-form-for-the-size-effect"/>
    <w:p>
      <w:pPr>
        <w:pStyle w:val="Heading2"/>
      </w:pPr>
      <w:r>
        <w:t xml:space="preserve">3.3 A closed form for the size effect</w:t>
      </w:r>
    </w:p>
    <w:p>
      <w:pPr>
        <w:pStyle w:val="FirstParagraph"/>
      </w:pPr>
      <w:r>
        <w:t xml:space="preserve">If capital is treated as one quadratic form,</w:t>
      </w:r>
      <w:r>
        <w:t xml:space="preserve"> </w:t>
      </w:r>
      <m:oMath>
        <m:r>
          <m:t>K</m:t>
        </m:r>
        <m:sSup>
          <m:e>
            <m:d>
              <m:dPr>
                <m:begChr m:val="("/>
                <m:endChr m:val=")"/>
                <m:sepChr m:val=""/>
                <m:grow/>
              </m:dPr>
              <m:e>
                <m:r>
                  <m:t>X</m:t>
                </m:r>
              </m:e>
            </m:d>
          </m:e>
          <m:sup>
            <m:r>
              <m:t>2</m:t>
            </m:r>
          </m:sup>
        </m:sSup>
        <m:r>
          <m:rPr>
            <m:sty m:val="p"/>
          </m:rPr>
          <m:t>=</m:t>
        </m:r>
        <m:sSup>
          <m:e>
            <m:r>
              <m:t>X</m:t>
            </m:r>
          </m:e>
          <m:sup>
            <m:r>
              <m:rPr>
                <m:sty m:val="p"/>
              </m:rPr>
              <m:t>⊤</m:t>
            </m:r>
          </m:sup>
        </m:sSup>
        <m:r>
          <m:t>Σ</m:t>
        </m:r>
        <m:r>
          <m:t>X</m:t>
        </m:r>
      </m:oMath>
      <w:r>
        <w:t xml:space="preserve">, then</w:t>
      </w:r>
      <w:r>
        <w:t xml:space="preserve"> </w:t>
      </w:r>
      <m:oMath>
        <m:r>
          <m:t>K</m:t>
        </m:r>
        <m:sSup>
          <m:e>
            <m:d>
              <m:dPr>
                <m:begChr m:val="("/>
                <m:endChr m:val=")"/>
                <m:sepChr m:val=""/>
                <m:grow/>
              </m:dPr>
              <m:e>
                <m:r>
                  <m:t>B</m:t>
                </m:r>
                <m:r>
                  <m:rPr>
                    <m:sty m:val="p"/>
                  </m:rPr>
                  <m:t>+</m:t>
                </m:r>
                <m:r>
                  <m:t>x</m:t>
                </m:r>
                <m:r>
                  <m:t>T</m:t>
                </m:r>
              </m:e>
            </m:d>
          </m:e>
          <m:sup>
            <m:r>
              <m:t>2</m:t>
            </m:r>
          </m:sup>
        </m:sSup>
      </m:oMath>
      <w:r>
        <w:t xml:space="preserve"> </w:t>
      </w:r>
      <w:r>
        <w:t xml:space="preserve">expands exactly. Write</w:t>
      </w:r>
      <w:r>
        <w:t xml:space="preserve"> </w:t>
      </w:r>
      <m:oMath>
        <m:r>
          <m:t>e</m:t>
        </m:r>
      </m:oMath>
      <w:r>
        <w:t xml:space="preserve"> </w:t>
      </w:r>
      <w:r>
        <w:t xml:space="preserve">for Euler RW,</w:t>
      </w:r>
      <w:r>
        <w:t xml:space="preserve"> </w:t>
      </w:r>
      <m:oMath>
        <m:r>
          <m:t>s</m:t>
        </m:r>
      </m:oMath>
      <w:r>
        <w:t xml:space="preserve"> </w:t>
      </w:r>
      <w:r>
        <w:t xml:space="preserve">for stand-alone RW and</w:t>
      </w:r>
      <w:r>
        <w:t xml:space="preserve"> </w:t>
      </w:r>
      <m:oMath>
        <m:r>
          <m:t>K</m:t>
        </m:r>
        <m:r>
          <m:rPr>
            <m:sty m:val="p"/>
          </m:rPr>
          <m:t>=</m:t>
        </m:r>
        <m:r>
          <m:t>K</m:t>
        </m:r>
        <m:d>
          <m:dPr>
            <m:begChr m:val="("/>
            <m:endChr m:val=")"/>
            <m:sepChr m:val=""/>
            <m:grow/>
          </m:dPr>
          <m:e>
            <m:r>
              <m:t>B</m:t>
            </m:r>
          </m:e>
        </m:d>
      </m:oMath>
      <w:r>
        <w:t xml:space="preserve">:</w:t>
      </w:r>
    </w:p>
    <w:p>
      <w:pPr>
        <w:pStyle w:val="BodyText"/>
      </w:pPr>
      <m:oMathPara>
        <m:oMathParaPr>
          <m:jc m:val="center"/>
        </m:oMathParaPr>
        <m:oMath>
          <m:r>
            <m:t>K</m:t>
          </m:r>
          <m:sSup>
            <m:e>
              <m:d>
                <m:dPr>
                  <m:begChr m:val="("/>
                  <m:endChr m:val=")"/>
                  <m:sepChr m:val=""/>
                  <m:grow/>
                </m:dPr>
                <m:e>
                  <m:r>
                    <m:t>B</m:t>
                  </m:r>
                  <m:r>
                    <m:rPr>
                      <m:sty m:val="p"/>
                    </m:rPr>
                    <m:t>+</m:t>
                  </m:r>
                  <m:r>
                    <m:t>x</m:t>
                  </m:r>
                  <m:r>
                    <m:t>T</m:t>
                  </m:r>
                </m:e>
              </m:d>
            </m:e>
            <m:sup>
              <m:r>
                <m:t>2</m:t>
              </m:r>
            </m:sup>
          </m:sSup>
          <m:r>
            <m:rPr>
              <m:sty m:val="p"/>
            </m:rPr>
            <m:t>=</m:t>
          </m:r>
          <m:sSup>
            <m:e>
              <m:r>
                <m:t>K</m:t>
              </m:r>
            </m:e>
            <m:sup>
              <m:r>
                <m:t>2</m:t>
              </m:r>
            </m:sup>
          </m:sSup>
          <m:r>
            <m:rPr>
              <m:sty m:val="p"/>
            </m:rPr>
            <m:t>+</m:t>
          </m:r>
          <m:r>
            <m:t>2</m:t>
          </m:r>
          <m:r>
            <m:t> </m:t>
          </m:r>
          <m:r>
            <m:t>x</m:t>
          </m:r>
          <m:r>
            <m:t> </m:t>
          </m:r>
          <m:r>
            <m:t>K</m:t>
          </m:r>
          <m:r>
            <m:t> </m:t>
          </m:r>
          <m:r>
            <m:t>e</m:t>
          </m:r>
          <m:r>
            <m:rPr>
              <m:sty m:val="p"/>
            </m:rPr>
            <m:t>+</m:t>
          </m:r>
          <m:sSup>
            <m:e>
              <m:r>
                <m:t>x</m:t>
              </m:r>
            </m:e>
            <m:sup>
              <m:r>
                <m:t>2</m:t>
              </m:r>
            </m:sup>
          </m:sSup>
          <m:sSup>
            <m:e>
              <m:r>
                <m:t>s</m:t>
              </m:r>
            </m:e>
            <m:sup>
              <m:r>
                <m:t>2</m:t>
              </m:r>
            </m:sup>
          </m:sSup>
        </m:oMath>
      </m:oMathPara>
    </w:p>
    <w:p>
      <w:pPr>
        <w:pStyle w:val="FirstParagraph"/>
      </w:pPr>
      <m:oMathPara>
        <m:oMathParaPr>
          <m:jc m:val="center"/>
        </m:oMathParaPr>
        <m:oMath>
          <m:r>
            <m:rPr>
              <m:nor/>
              <m:sty m:val="p"/>
            </m:rPr>
            <m:t>incremental</m:t>
          </m:r>
          <m:d>
            <m:dPr>
              <m:begChr m:val="("/>
              <m:endChr m:val=")"/>
              <m:sepChr m:val=""/>
              <m:grow/>
            </m:dPr>
            <m:e>
              <m:r>
                <m:t>x</m:t>
              </m:r>
            </m:e>
          </m:d>
          <m:r>
            <m:rPr>
              <m:sty m:val="p"/>
            </m:rPr>
            <m:t>=</m:t>
          </m:r>
          <m:f>
            <m:fPr>
              <m:type m:val="bar"/>
            </m:fPr>
            <m:num>
              <m:rad>
                <m:radPr>
                  <m:degHide m:val="1"/>
                </m:radPr>
                <m:deg/>
                <m:e>
                  <m:sSup>
                    <m:e>
                      <m:r>
                        <m:t>K</m:t>
                      </m:r>
                    </m:e>
                    <m:sup>
                      <m:r>
                        <m:t>2</m:t>
                      </m:r>
                    </m:sup>
                  </m:sSup>
                  <m:r>
                    <m:rPr>
                      <m:sty m:val="p"/>
                    </m:rPr>
                    <m:t>+</m:t>
                  </m:r>
                  <m:r>
                    <m:t>2</m:t>
                  </m:r>
                  <m:r>
                    <m:t>x</m:t>
                  </m:r>
                  <m:r>
                    <m:t>K</m:t>
                  </m:r>
                  <m:r>
                    <m:t>e</m:t>
                  </m:r>
                  <m:r>
                    <m:rPr>
                      <m:sty m:val="p"/>
                    </m:rPr>
                    <m:t>+</m:t>
                  </m:r>
                  <m:sSup>
                    <m:e>
                      <m:r>
                        <m:t>x</m:t>
                      </m:r>
                    </m:e>
                    <m:sup>
                      <m:r>
                        <m:t>2</m:t>
                      </m:r>
                    </m:sup>
                  </m:sSup>
                  <m:sSup>
                    <m:e>
                      <m:r>
                        <m:t>s</m:t>
                      </m:r>
                    </m:e>
                    <m:sup>
                      <m:r>
                        <m:t>2</m:t>
                      </m:r>
                    </m:sup>
                  </m:sSup>
                </m:e>
              </m:rad>
              <m:r>
                <m:rPr>
                  <m:sty m:val="p"/>
                </m:rPr>
                <m:t>−</m:t>
              </m:r>
              <m:r>
                <m:t>K</m:t>
              </m:r>
            </m:num>
            <m:den>
              <m:r>
                <m:t>x</m:t>
              </m:r>
            </m:den>
          </m:f>
          <m:r>
            <m:t> </m:t>
          </m:r>
          <m:r>
            <m:rPr>
              <m:sty m:val="p"/>
            </m:rPr>
            <m:t>≈</m:t>
          </m:r>
          <m:r>
            <m:t> </m:t>
          </m:r>
          <m:r>
            <m:t>e</m:t>
          </m:r>
          <m:r>
            <m:rPr>
              <m:sty m:val="p"/>
            </m:rPr>
            <m:t>+</m:t>
          </m:r>
          <m:f>
            <m:fPr>
              <m:type m:val="bar"/>
            </m:fPr>
            <m:num>
              <m:r>
                <m:t>x</m:t>
              </m:r>
              <m:r>
                <m:t> </m:t>
              </m:r>
              <m:d>
                <m:dPr>
                  <m:begChr m:val="("/>
                  <m:endChr m:val=")"/>
                  <m:sepChr m:val=""/>
                  <m:grow/>
                </m:dPr>
                <m:e>
                  <m:sSup>
                    <m:e>
                      <m:r>
                        <m:t>s</m:t>
                      </m:r>
                    </m:e>
                    <m:sup>
                      <m:r>
                        <m:t>2</m:t>
                      </m:r>
                    </m:sup>
                  </m:sSup>
                  <m:r>
                    <m:rPr>
                      <m:sty m:val="p"/>
                    </m:rPr>
                    <m:t>−</m:t>
                  </m:r>
                  <m:sSup>
                    <m:e>
                      <m:r>
                        <m:t>e</m:t>
                      </m:r>
                    </m:e>
                    <m:sup>
                      <m:r>
                        <m:t>2</m:t>
                      </m:r>
                    </m:sup>
                  </m:sSup>
                </m:e>
              </m:d>
            </m:num>
            <m:den>
              <m:r>
                <m:t>2</m:t>
              </m:r>
              <m:r>
                <m:t>K</m:t>
              </m:r>
            </m:den>
          </m:f>
        </m:oMath>
      </m:oMathPara>
    </w:p>
    <w:p>
      <w:pPr>
        <w:pStyle w:val="FirstParagraph"/>
      </w:pPr>
      <w:r>
        <w:t xml:space="preserve">The size term</w:t>
      </w:r>
      <w:r>
        <w:t xml:space="preserve"> </w:t>
      </w:r>
      <m:oMath>
        <m:r>
          <m:t>x</m:t>
        </m:r>
        <m:d>
          <m:dPr>
            <m:begChr m:val="("/>
            <m:endChr m:val=")"/>
            <m:sepChr m:val=""/>
            <m:grow/>
          </m:dPr>
          <m:e>
            <m:sSup>
              <m:e>
                <m:r>
                  <m:t>s</m:t>
                </m:r>
              </m:e>
              <m:sup>
                <m:r>
                  <m:t>2</m:t>
                </m:r>
              </m:sup>
            </m:sSup>
            <m:r>
              <m:rPr>
                <m:sty m:val="p"/>
              </m:rPr>
              <m:t>−</m:t>
            </m:r>
            <m:sSup>
              <m:e>
                <m:r>
                  <m:t>e</m:t>
                </m:r>
              </m:e>
              <m:sup>
                <m:r>
                  <m:t>2</m:t>
                </m:r>
              </m:sup>
            </m:sSup>
          </m:e>
        </m:d>
        <m:r>
          <m:rPr>
            <m:sty m:val="p"/>
          </m:rPr>
          <m:t>/</m:t>
        </m:r>
        <m:d>
          <m:dPr>
            <m:begChr m:val="("/>
            <m:endChr m:val=")"/>
            <m:sepChr m:val=""/>
            <m:grow/>
          </m:dPr>
          <m:e>
            <m:r>
              <m:t>2</m:t>
            </m:r>
            <m:r>
              <m:t>K</m:t>
            </m:r>
          </m:e>
        </m:d>
      </m:oMath>
      <w:r>
        <w:t xml:space="preserve"> </w:t>
      </w:r>
      <w:r>
        <w:t xml:space="preserve">is the trade’s own variance not explained by the book, scaled by the trade’s size relative to the book. Euler is accurate when</w:t>
      </w:r>
      <w:r>
        <w:t xml:space="preserve"> </w:t>
      </w:r>
      <m:oMath>
        <m:r>
          <m:t>x</m:t>
        </m:r>
        <m:r>
          <m:rPr>
            <m:sty m:val="p"/>
          </m:rPr>
          <m:t>⋅</m:t>
        </m:r>
        <m:r>
          <m:t>s</m:t>
        </m:r>
        <m:r>
          <m:rPr>
            <m:sty m:val="p"/>
          </m:rPr>
          <m:t>≪</m:t>
        </m:r>
        <m:r>
          <m:t>K</m:t>
        </m:r>
      </m:oMath>
      <w:r>
        <w:t xml:space="preserve">, i.e. when the trade’s stand-alone capital is small next to book capital. Since</w:t>
      </w:r>
      <w:r>
        <w:t xml:space="preserve"> </w:t>
      </w:r>
      <m:oMath>
        <m:r>
          <m:t>s</m:t>
        </m:r>
        <m:r>
          <m:rPr>
            <m:sty m:val="p"/>
          </m:rPr>
          <m:t>≥</m:t>
        </m:r>
        <m:d>
          <m:dPr>
            <m:begChr m:val="|"/>
            <m:endChr m:val="|"/>
            <m:sepChr m:val=""/>
            <m:grow/>
          </m:dPr>
          <m:e>
            <m:r>
              <m:t>e</m:t>
            </m:r>
          </m:e>
        </m:d>
      </m:oMath>
      <w:r>
        <w:t xml:space="preserve"> </w:t>
      </w:r>
      <w:r>
        <w:t xml:space="preserve">(Cauchy–Schwarz), the square root is always defined, including for negative</w:t>
      </w:r>
      <w:r>
        <w:t xml:space="preserve"> </w:t>
      </w:r>
      <m:oMath>
        <m:r>
          <m:t>e</m:t>
        </m:r>
      </m:oMath>
      <w:r>
        <w:t xml:space="preserve">.</w:t>
      </w:r>
    </w:p>
    <w:p>
      <w:pPr>
        <w:pStyle w:val="BodyText"/>
      </w:pPr>
      <w:r>
        <w:t xml:space="preserve">On the example book (CCS</w:t>
      </w:r>
      <w:r>
        <w:t xml:space="preserve"> </w:t>
      </w:r>
      <m:oMath>
        <m:r>
          <m:t>K</m:t>
        </m:r>
      </m:oMath>
      <w:r>
        <w:t xml:space="preserve"> </w:t>
      </w:r>
      <w:r>
        <w:t xml:space="preserve">= $3.76mm), the closed form reproduces the full recalculation within 4% in bucket 2 at every size. It is less accurate in buckets where the book is nearly flat (section 3.5).</w:t>
      </w:r>
    </w:p>
    <w:bookmarkEnd w:id="31"/>
    <w:bookmarkStart w:id="32" w:name="impact-on-hedge-type-differentiation"/>
    <w:p>
      <w:pPr>
        <w:pStyle w:val="Heading2"/>
      </w:pPr>
      <w:r>
        <w:t xml:space="preserve">3.4 Impact on hedge-type differentiation</w:t>
      </w:r>
    </w:p>
    <w:p>
      <w:pPr>
        <w:pStyle w:val="FirstParagraph"/>
      </w:pPr>
      <w:r>
        <w:t xml:space="preserve">At a $1 probe, sector_hedge and name_hedge cost the same for a new name. The dummy CVA name and the proxy hedge are both new, and both have</w:t>
      </w:r>
      <w:r>
        <w:t xml:space="preserve"> </w:t>
      </w:r>
      <m:oMath>
        <m:sSub>
          <m:e>
            <m:r>
              <m:t>ρ</m:t>
            </m:r>
          </m:e>
          <m:sub>
            <m:r>
              <m:t>n</m:t>
            </m:r>
            <m:r>
              <m:t>a</m:t>
            </m:r>
            <m:r>
              <m:t>m</m:t>
            </m:r>
            <m:r>
              <m:t>e</m:t>
            </m:r>
          </m:sub>
        </m:sSub>
      </m:oMath>
      <w:r>
        <w:t xml:space="preserve"> </w:t>
      </w:r>
      <w:r>
        <w:t xml:space="preserve">50% to every book name, so their gradients are identical. The basis between them (about 84% of unhedged variance left with a proxy, 4% with the own name) is second order and appears only as size grows.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Cell (example book, per $1 CR01)</w:t>
            </w:r>
          </w:p>
        </w:tc>
        <w:tc>
          <w:tcPr/>
          <w:p>
            <w:pPr>
              <w:pStyle w:val="Compact"/>
              <w:jc w:val="left"/>
            </w:pPr>
            <w:r>
              <w:t xml:space="preserve">sector_hedge $1</w:t>
            </w:r>
          </w:p>
        </w:tc>
        <w:tc>
          <w:tcPr/>
          <w:p>
            <w:pPr>
              <w:pStyle w:val="Compact"/>
              <w:jc w:val="left"/>
            </w:pPr>
            <w:r>
              <w:t xml:space="preserve">name_hedge $1</w:t>
            </w:r>
          </w:p>
        </w:tc>
        <w:tc>
          <w:tcPr/>
          <w:p>
            <w:pPr>
              <w:pStyle w:val="Compact"/>
              <w:jc w:val="left"/>
            </w:pPr>
            <w:r>
              <w:t xml:space="preserve">sector_hedge $10k</w:t>
            </w:r>
          </w:p>
        </w:tc>
        <w:tc>
          <w:tcPr/>
          <w:p>
            <w:pPr>
              <w:pStyle w:val="Compact"/>
              <w:jc w:val="left"/>
            </w:pPr>
            <w:r>
              <w:t xml:space="preserve">name_hedge $10k</w:t>
            </w:r>
          </w:p>
        </w:tc>
        <w:tc>
          <w:tcPr/>
          <w:p>
            <w:pPr>
              <w:pStyle w:val="Compact"/>
              <w:jc w:val="left"/>
            </w:pPr>
            <w:r>
              <w:t xml:space="preserve">sector_hedge stand-alone</w:t>
            </w:r>
          </w:p>
        </w:tc>
        <w:tc>
          <w:tcPr/>
          <w:p>
            <w:pPr>
              <w:pStyle w:val="Compact"/>
              <w:jc w:val="left"/>
            </w:pPr>
            <w:r>
              <w:t xml:space="preserve">name_hedge stand-alone</w:t>
            </w:r>
          </w:p>
        </w:tc>
      </w:tr>
      <w:tr>
        <w:tc>
          <w:tcPr/>
          <w:p>
            <w:pPr>
              <w:pStyle w:val="Compact"/>
              <w:jc w:val="left"/>
            </w:pPr>
            <w:r>
              <w:t xml:space="preserve">1a IG</w:t>
            </w:r>
          </w:p>
        </w:tc>
        <w:tc>
          <w:tcPr/>
          <w:p>
            <w:pPr>
              <w:pStyle w:val="Compact"/>
              <w:jc w:val="left"/>
            </w:pPr>
            <w:r>
              <w:t xml:space="preserve">1.49</w:t>
            </w:r>
          </w:p>
        </w:tc>
        <w:tc>
          <w:tcPr/>
          <w:p>
            <w:pPr>
              <w:pStyle w:val="Compact"/>
              <w:jc w:val="left"/>
            </w:pPr>
            <w:r>
              <w:t xml:space="preserve">1.49</w:t>
            </w:r>
          </w:p>
        </w:tc>
        <w:tc>
          <w:tcPr/>
          <w:p>
            <w:pPr>
              <w:pStyle w:val="Compact"/>
              <w:jc w:val="left"/>
            </w:pPr>
            <w:r>
              <w:t xml:space="preserve">5.12</w:t>
            </w:r>
          </w:p>
        </w:tc>
        <w:tc>
          <w:tcPr/>
          <w:p>
            <w:pPr>
              <w:pStyle w:val="Compact"/>
              <w:jc w:val="left"/>
            </w:pPr>
            <w:r>
              <w:t xml:space="preserve">1.68</w:t>
            </w:r>
          </w:p>
        </w:tc>
        <w:tc>
          <w:tcPr/>
          <w:p>
            <w:pPr>
              <w:pStyle w:val="Compact"/>
              <w:jc w:val="left"/>
            </w:pPr>
            <w:r>
              <w:t xml:space="preserve">46.0</w:t>
            </w:r>
          </w:p>
        </w:tc>
        <w:tc>
          <w:tcPr/>
          <w:p>
            <w:pPr>
              <w:pStyle w:val="Compact"/>
              <w:jc w:val="left"/>
            </w:pPr>
            <w:r>
              <w:t xml:space="preserve">10.8</w:t>
            </w:r>
          </w:p>
        </w:tc>
      </w:tr>
      <w:tr>
        <w:tc>
          <w:tcPr/>
          <w:p>
            <w:pPr>
              <w:pStyle w:val="Compact"/>
              <w:jc w:val="left"/>
            </w:pPr>
            <w:r>
              <w:t xml:space="preserve">2 IG</w:t>
            </w:r>
          </w:p>
        </w:tc>
        <w:tc>
          <w:tcPr/>
          <w:p>
            <w:pPr>
              <w:pStyle w:val="Compact"/>
              <w:jc w:val="left"/>
            </w:pPr>
            <w:r>
              <w:t xml:space="preserve">49.0</w:t>
            </w:r>
          </w:p>
        </w:tc>
        <w:tc>
          <w:tcPr/>
          <w:p>
            <w:pPr>
              <w:pStyle w:val="Compact"/>
              <w:jc w:val="left"/>
            </w:pPr>
            <w:r>
              <w:t xml:space="preserve">49.0</w:t>
            </w:r>
          </w:p>
        </w:tc>
        <w:tc>
          <w:tcPr/>
          <w:p>
            <w:pPr>
              <w:pStyle w:val="Compact"/>
              <w:jc w:val="left"/>
            </w:pPr>
            <w:r>
              <w:t xml:space="preserve">239.1</w:t>
            </w:r>
          </w:p>
        </w:tc>
        <w:tc>
          <w:tcPr/>
          <w:p>
            <w:pPr>
              <w:pStyle w:val="Compact"/>
              <w:jc w:val="left"/>
            </w:pPr>
            <w:r>
              <w:t xml:space="preserve">58.8</w:t>
            </w:r>
          </w:p>
        </w:tc>
        <w:tc>
          <w:tcPr/>
          <w:p>
            <w:pPr>
              <w:pStyle w:val="Compact"/>
              <w:jc w:val="left"/>
            </w:pPr>
            <w:r>
              <w:t xml:space="preserve">460.0</w:t>
            </w:r>
          </w:p>
        </w:tc>
        <w:tc>
          <w:tcPr/>
          <w:p>
            <w:pPr>
              <w:pStyle w:val="Compact"/>
              <w:jc w:val="left"/>
            </w:pPr>
            <w:r>
              <w:t xml:space="preserve">107.7</w:t>
            </w:r>
          </w:p>
        </w:tc>
      </w:tr>
      <w:tr>
        <w:tc>
          <w:tcPr/>
          <w:p>
            <w:pPr>
              <w:pStyle w:val="Compact"/>
              <w:jc w:val="left"/>
            </w:pPr>
            <w:r>
              <w:t xml:space="preserve">3 HY</w:t>
            </w:r>
          </w:p>
        </w:tc>
        <w:tc>
          <w:tcPr/>
          <w:p>
            <w:pPr>
              <w:pStyle w:val="Compact"/>
              <w:jc w:val="left"/>
            </w:pPr>
            <w:r>
              <w:t xml:space="preserve">23.4</w:t>
            </w:r>
          </w:p>
        </w:tc>
        <w:tc>
          <w:tcPr/>
          <w:p>
            <w:pPr>
              <w:pStyle w:val="Compact"/>
              <w:jc w:val="left"/>
            </w:pPr>
            <w:r>
              <w:t xml:space="preserve">23.4</w:t>
            </w:r>
          </w:p>
        </w:tc>
        <w:tc>
          <w:tcPr/>
          <w:p>
            <w:pPr>
              <w:pStyle w:val="Compact"/>
              <w:jc w:val="left"/>
            </w:pPr>
            <w:r>
              <w:t xml:space="preserve">379.6</w:t>
            </w:r>
          </w:p>
        </w:tc>
        <w:tc>
          <w:tcPr/>
          <w:p>
            <w:pPr>
              <w:pStyle w:val="Compact"/>
              <w:jc w:val="left"/>
            </w:pPr>
            <w:r>
              <w:t xml:space="preserve">49.0</w:t>
            </w:r>
          </w:p>
        </w:tc>
        <w:tc>
          <w:tcPr/>
          <w:p>
            <w:pPr>
              <w:pStyle w:val="Compact"/>
              <w:jc w:val="left"/>
            </w:pPr>
            <w:r>
              <w:t xml:space="preserve">644.0</w:t>
            </w:r>
          </w:p>
        </w:tc>
        <w:tc>
          <w:tcPr/>
          <w:p>
            <w:pPr>
              <w:pStyle w:val="Compact"/>
              <w:jc w:val="left"/>
            </w:pPr>
            <w:r>
              <w:t xml:space="preserve">150.8</w:t>
            </w:r>
          </w:p>
        </w:tc>
      </w:tr>
      <w:tr>
        <w:tc>
          <w:tcPr/>
          <w:p>
            <w:pPr>
              <w:pStyle w:val="Compact"/>
              <w:jc w:val="left"/>
            </w:pPr>
            <w:r>
              <w:t xml:space="preserve">7 HY</w:t>
            </w:r>
          </w:p>
        </w:tc>
        <w:tc>
          <w:tcPr/>
          <w:p>
            <w:pPr>
              <w:pStyle w:val="Compact"/>
              <w:jc w:val="left"/>
            </w:pPr>
            <w:r>
              <w:t xml:space="preserve">23.2</w:t>
            </w:r>
          </w:p>
        </w:tc>
        <w:tc>
          <w:tcPr/>
          <w:p>
            <w:pPr>
              <w:pStyle w:val="Compact"/>
              <w:jc w:val="left"/>
            </w:pPr>
            <w:r>
              <w:t xml:space="preserve">23.1</w:t>
            </w:r>
          </w:p>
        </w:tc>
        <w:tc>
          <w:tcPr/>
          <w:p>
            <w:pPr>
              <w:pStyle w:val="Compact"/>
              <w:jc w:val="left"/>
            </w:pPr>
            <w:r>
              <w:t xml:space="preserve">797.7</w:t>
            </w:r>
          </w:p>
        </w:tc>
        <w:tc>
          <w:tcPr/>
          <w:p>
            <w:pPr>
              <w:pStyle w:val="Compact"/>
              <w:jc w:val="left"/>
            </w:pPr>
            <w:r>
              <w:t xml:space="preserve">98.9</w:t>
            </w:r>
          </w:p>
        </w:tc>
        <w:tc>
          <w:tcPr/>
          <w:p>
            <w:pPr>
              <w:pStyle w:val="Compact"/>
              <w:jc w:val="left"/>
            </w:pPr>
            <w:r>
              <w:t xml:space="preserve">1,104.0</w:t>
            </w:r>
          </w:p>
        </w:tc>
        <w:tc>
          <w:tcPr/>
          <w:p>
            <w:pPr>
              <w:pStyle w:val="Compact"/>
              <w:jc w:val="left"/>
            </w:pPr>
            <w:r>
              <w:t xml:space="preserve">258.5</w:t>
            </w:r>
          </w:p>
        </w:tc>
      </w:tr>
    </w:tbl>
    <w:p>
      <w:pPr>
        <w:pStyle w:val="BodyText"/>
      </w:pPr>
      <w:r>
        <w:t xml:space="preserve">The repo weight file falls back to the $1 new-name grid for empty cells, so in those cells</w:t>
      </w:r>
      <w:r>
        <w:t xml:space="preserve"> </w:t>
      </w:r>
      <w:r>
        <w:rPr>
          <w:rStyle w:val="VerbatimChar"/>
        </w:rPr>
        <w:t xml:space="preserve">specfic_hedge</w:t>
      </w:r>
      <w:r>
        <w:t xml:space="preserve"> </w:t>
      </w:r>
      <w:r>
        <w:t xml:space="preserve">and</w:t>
      </w:r>
      <w:r>
        <w:t xml:space="preserve"> </w:t>
      </w:r>
      <w:r>
        <w:rPr>
          <w:rStyle w:val="VerbatimChar"/>
        </w:rPr>
        <w:t xml:space="preserve">sector_hedge</w:t>
      </w:r>
      <w:r>
        <w:t xml:space="preserve"> </w:t>
      </w:r>
      <w:r>
        <w:t xml:space="preserve">come out almost equal. This is a property of the $1 probe, not a bug. For existing counterparties the distinction does appear at $1, because the own-name hedge offsets the counterparty’s existing exposure at</w:t>
      </w:r>
      <w:r>
        <w:t xml:space="preserve"> </w:t>
      </w:r>
      <m:oMath>
        <m:sSub>
          <m:e>
            <m:r>
              <m:t>ρ</m:t>
            </m:r>
          </m:e>
          <m:sub>
            <m:r>
              <m:t>n</m:t>
            </m:r>
            <m:r>
              <m:t>a</m:t>
            </m:r>
            <m:r>
              <m:t>m</m:t>
            </m:r>
            <m:r>
              <m:t>e</m:t>
            </m:r>
          </m:sub>
        </m:sSub>
      </m:oMath>
      <w:r>
        <w:t xml:space="preserve"> </w:t>
      </w:r>
      <w:r>
        <w:t xml:space="preserve">100%.</w:t>
      </w:r>
    </w:p>
    <w:bookmarkEnd w:id="32"/>
    <w:bookmarkStart w:id="33" w:name="impact-across-buckets"/>
    <w:p>
      <w:pPr>
        <w:pStyle w:val="Heading2"/>
      </w:pPr>
      <w:r>
        <w:t xml:space="preserve">3.5 Impact across buckets</w:t>
      </w:r>
    </w:p>
    <w:p>
      <w:pPr>
        <w:pStyle w:val="FirstParagraph"/>
      </w:pPr>
      <w:r>
        <w:t xml:space="preserve">A fixed $10k probe sits at a different point on the curve in each bucket. Its stand-alone capital is 10,000 ×</w:t>
      </w:r>
      <w:r>
        <w:t xml:space="preserve"> </w:t>
      </w:r>
      <m:oMath>
        <m:r>
          <m:t>R</m:t>
        </m:r>
        <m:sSub>
          <m:e>
            <m:r>
              <m:t>W</m:t>
            </m:r>
          </m:e>
          <m:sub>
            <m:r>
              <m:t>b</m:t>
            </m:r>
          </m:sub>
        </m:sSub>
      </m:oMath>
      <w:r>
        <w:t xml:space="preserve"> </w:t>
      </w:r>
      <w:r>
        <w:t xml:space="preserve">× 10,000 normalised: $5.0mm for 2 IG unhedged, against $3.76mm of CCS capital for the whole example book. In large buckets $10k stays close to marginal; in small or offset buckets it is mostly stand-alone.</w:t>
      </w:r>
    </w:p>
    <w:p>
      <w:pPr>
        <w:pStyle w:val="BodyText"/>
      </w:pPr>
      <w:r>
        <w:t xml:space="preserve">Bucket 6 HY shows the effect. The book nearly offsets there, so Euler is 0.25 per $1. A $10k probe charges 232, which reflects the size of the probe relative to the bucket, not the trade’s interaction with the book. The example book is small, so these magnitudes are not typical of the real portfolio. The check is to compare 10,000 ×</w:t>
      </w:r>
      <w:r>
        <w:t xml:space="preserve"> </w:t>
      </w:r>
      <m:oMath>
        <m:r>
          <m:t>s</m:t>
        </m:r>
      </m:oMath>
      <w:r>
        <w:t xml:space="preserve"> </w:t>
      </w:r>
      <w:r>
        <w:t xml:space="preserve">against each bucket’s</w:t>
      </w:r>
      <w:r>
        <w:t xml:space="preserve"> </w:t>
      </w:r>
      <m:oMath>
        <m:sSub>
          <m:e>
            <m:r>
              <m:t>K</m:t>
            </m:r>
          </m:e>
          <m:sub>
            <m:r>
              <m:t>b</m:t>
            </m:r>
          </m:sub>
        </m:sSub>
      </m:oMath>
      <w:r>
        <w:t xml:space="preserve"> </w:t>
      </w:r>
      <w:r>
        <w:t xml:space="preserve">and</w:t>
      </w:r>
      <w:r>
        <w:t xml:space="preserve"> </w:t>
      </w:r>
      <m:oMath>
        <m:d>
          <m:dPr>
            <m:begChr m:val="|"/>
            <m:endChr m:val="|"/>
            <m:sepChr m:val=""/>
            <m:grow/>
          </m:dPr>
          <m:e>
            <m:sSub>
              <m:e>
                <m:r>
                  <m:t>S</m:t>
                </m:r>
              </m:e>
              <m:sub>
                <m:r>
                  <m:t>b</m:t>
                </m:r>
              </m:sub>
            </m:sSub>
          </m:e>
        </m:d>
      </m:oMath>
      <w:r>
        <w:t xml:space="preserve"> </w:t>
      </w:r>
      <w:r>
        <w:t xml:space="preserve">in</w:t>
      </w:r>
      <w:r>
        <w:t xml:space="preserve"> </w:t>
      </w:r>
      <w:r>
        <w:rPr>
          <w:rStyle w:val="VerbatimChar"/>
        </w:rPr>
        <w:t xml:space="preserve">CVA_CALC_RB</w:t>
      </w:r>
      <w:r>
        <w:t xml:space="preserve">.</w:t>
      </w:r>
    </w:p>
    <w:bookmarkEnd w:id="33"/>
    <w:bookmarkStart w:id="34" w:name="impact-of-the-probe-subject"/>
    <w:p>
      <w:pPr>
        <w:pStyle w:val="Heading2"/>
      </w:pPr>
      <w:r>
        <w:t xml:space="preserve">3.6 Impact of the probe subject</w:t>
      </w:r>
    </w:p>
    <w:p>
      <w:pPr>
        <w:pStyle w:val="FirstParagraph"/>
      </w:pPr>
      <w:r>
        <w:t xml:space="preserve">A dummy name never carries concentration. An existing counterparty is 100% correlated with its own CVA, so adding to it costs more. For unhedged 2 IG on the example book, the new-name RW is 245 per $1 and the counterparty-based cell is 362. That gap is concentration, not size.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Dummy new name</w:t>
            </w:r>
          </w:p>
        </w:tc>
        <w:tc>
          <w:tcPr/>
          <w:p>
            <w:pPr>
              <w:pStyle w:val="Compact"/>
              <w:jc w:val="left"/>
            </w:pPr>
            <w:r>
              <w:t xml:space="preserve">Counterparty cells</w:t>
            </w:r>
          </w:p>
        </w:tc>
      </w:tr>
      <w:tr>
        <w:tc>
          <w:tcPr/>
          <w:p>
            <w:pPr>
              <w:pStyle w:val="Compact"/>
              <w:jc w:val="left"/>
            </w:pPr>
            <w:r>
              <w:t xml:space="preserve">Pros</w:t>
            </w:r>
          </w:p>
        </w:tc>
        <w:tc>
          <w:tcPr/>
          <w:p>
            <w:pPr>
              <w:pStyle w:val="Compact"/>
              <w:jc w:val="left"/>
            </w:pPr>
            <w:r>
              <w:t xml:space="preserve">All 48 cells always populated, same method in each; easy to explain; independent of counterparty-level feeds; right for a genuinely new counterparty</w:t>
            </w:r>
          </w:p>
        </w:tc>
        <w:tc>
          <w:tcPr/>
          <w:p>
            <w:pPr>
              <w:pStyle w:val="Compact"/>
              <w:jc w:val="left"/>
            </w:pPr>
            <w:r>
              <w:t xml:space="preserve">Real tenor profiles and own-name concentration; vegaCost from real vega profiles; close to an additive allocation at $1</w:t>
            </w:r>
          </w:p>
        </w:tc>
      </w:tr>
      <w:tr>
        <w:tc>
          <w:tcPr/>
          <w:p>
            <w:pPr>
              <w:pStyle w:val="Compact"/>
              <w:jc w:val="left"/>
            </w:pPr>
            <w:r>
              <w:t xml:space="preserve">Cons</w:t>
            </w:r>
          </w:p>
        </w:tc>
        <w:tc>
          <w:tcPr/>
          <w:p>
            <w:pPr>
              <w:pStyle w:val="Compact"/>
              <w:jc w:val="left"/>
            </w:pPr>
            <w:r>
              <w:t xml:space="preserve">Underprices further business with concentrated names; one fixed tenor profile; a CCS-only probe gives no vega charge</w:t>
            </w:r>
          </w:p>
        </w:tc>
        <w:tc>
          <w:tcPr/>
          <w:p>
            <w:pPr>
              <w:pStyle w:val="Compact"/>
              <w:jc w:val="left"/>
            </w:pPr>
            <w:r>
              <w:t xml:space="preserve">Cells with one counterparty are noisy and move with the book; large names dominate the average; concentration of existing names is charged to new names; near-zero cells in offset buckets; depends on prep and mapping quality</w:t>
            </w:r>
          </w:p>
        </w:tc>
      </w:tr>
    </w:tbl>
    <w:bookmarkEnd w:id="34"/>
    <w:bookmarkStart w:id="38" w:name="Xeb73163a9feb075ef591b57cf57376bfa1a99a4"/>
    <w:p>
      <w:pPr>
        <w:pStyle w:val="Heading2"/>
      </w:pPr>
      <w:r>
        <w:t xml:space="preserve">3.7 Exhibit: where each probe size sits on the curve</w:t>
      </w:r>
    </w:p>
    <w:p>
      <w:pPr>
        <w:pStyle w:val="CaptionedFigure"/>
      </w:pPr>
      <w:r>
        <w:drawing>
          <wp:inline>
            <wp:extent cx="5334000" cy="3000375"/>
            <wp:effectExtent b="0" l="0" r="0" t="0"/>
            <wp:docPr descr="Incremental RW per $1 CR01 as a share of stand-alone RW, by probe size. Source: sacva new-name grid on examples/cva_calc_rf.csv, 4 cells × 17 probe sizes, $1 to $100mm." title="" id="36" name="Picture"/>
            <a:graphic>
              <a:graphicData uri="http://schemas.openxmlformats.org/drawingml/2006/picture">
                <pic:pic>
                  <pic:nvPicPr>
                    <pic:cNvPr descr="chart.png" id="37" name="Picture"/>
                    <pic:cNvPicPr>
                      <a:picLocks noChangeArrowheads="1" noChangeAspect="1"/>
                    </pic:cNvPicPr>
                  </pic:nvPicPr>
                  <pic:blipFill>
                    <a:blip r:embed="rId3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Incremental RW per $1 CR01 as a share of stand-alone RW, by probe size. Source: sacva new-name grid on examples/cva_calc_rf.csv, 4 cells × 17 probe sizes, $1 to $100mm.</w:t>
      </w:r>
    </w:p>
    <w:p>
      <w:pPr>
        <w:pStyle w:val="BodyText"/>
      </w:pPr>
      <w:r>
        <w:t xml:space="preserve">Every cell starts at its Euler share at $1 and reaches stand-alone by about $1mm. The fixed $10k probe lands at a different point for each cell, and the offset bucket (6 HY) moves furthest: from near zero to almost half of stand-alone.</w:t>
      </w:r>
    </w:p>
    <w:bookmarkEnd w:id="38"/>
    <w:bookmarkEnd w:id="39"/>
    <w:bookmarkStart w:id="44" w:name="X5728cf34a762b2648ff6d863a75e6598419fb40"/>
    <w:p>
      <w:pPr>
        <w:pStyle w:val="Heading1"/>
      </w:pPr>
      <w:r>
        <w:t xml:space="preserve">4. Proposed approach: Euler base plus a size term</w:t>
      </w:r>
    </w:p>
    <w:p>
      <w:pPr>
        <w:pStyle w:val="FirstParagraph"/>
      </w:pPr>
      <w:r>
        <w:t xml:space="preserve">Publish three numbers per cell instead of one, and price each trade at its actual CR01. The pricing curve then matches Euler for small trades, the current $10k production number at $10k, and the stand-alone RW for very large trades.</w:t>
      </w:r>
    </w:p>
    <w:bookmarkStart w:id="40" w:name="pricing-formula"/>
    <w:p>
      <w:pPr>
        <w:pStyle w:val="Heading2"/>
      </w:pPr>
      <w:r>
        <w:t xml:space="preserve">4.1 Pricing formula</w:t>
      </w:r>
    </w:p>
    <w:p>
      <w:pPr>
        <w:pStyle w:val="FirstParagraph"/>
      </w:pPr>
      <w:r>
        <w:t xml:space="preserve">For each cell, compute the Euler RW</w:t>
      </w:r>
      <w:r>
        <w:t xml:space="preserve"> </w:t>
      </w:r>
      <m:oMath>
        <m:r>
          <m:t>e</m:t>
        </m:r>
      </m:oMath>
      <w:r>
        <w:t xml:space="preserve">, the stand-alone RW</w:t>
      </w:r>
      <w:r>
        <w:t xml:space="preserve"> </w:t>
      </w:r>
      <m:oMath>
        <m:r>
          <m:t>s</m:t>
        </m:r>
      </m:oMath>
      <w:r>
        <w:t xml:space="preserve">, and the incremental RW</w:t>
      </w:r>
      <w:r>
        <w:t xml:space="preserve"> </w:t>
      </w:r>
      <m:oMath>
        <m:sSub>
          <m:e>
            <m:r>
              <m:t>i</m:t>
            </m:r>
          </m:e>
          <m:sub>
            <m:r>
              <m:t>r</m:t>
            </m:r>
            <m:r>
              <m:t>e</m:t>
            </m:r>
            <m:r>
              <m:t>f</m:t>
            </m:r>
          </m:sub>
        </m:sSub>
      </m:oMath>
      <w:r>
        <w:t xml:space="preserve"> </w:t>
      </w:r>
      <w:r>
        <w:t xml:space="preserve">at a reference size</w:t>
      </w:r>
      <w:r>
        <w:t xml:space="preserve"> </w:t>
      </w:r>
      <m:oMath>
        <m:sSub>
          <m:e>
            <m:r>
              <m:t>x</m:t>
            </m:r>
          </m:e>
          <m:sub>
            <m:r>
              <m:t>r</m:t>
            </m:r>
            <m:r>
              <m:t>e</m:t>
            </m:r>
            <m:r>
              <m:t>f</m:t>
            </m:r>
          </m:sub>
        </m:sSub>
      </m:oMath>
      <w:r>
        <w:t xml:space="preserve">. Calibrate an effective book capital</w:t>
      </w:r>
      <w:r>
        <w:t xml:space="preserve"> </w:t>
      </w:r>
      <m:oMath>
        <m:sSub>
          <m:e>
            <m:r>
              <m:t>K</m:t>
            </m:r>
          </m:e>
          <m:sub>
            <m:r>
              <m:t>e</m:t>
            </m:r>
            <m:r>
              <m:t>f</m:t>
            </m:r>
            <m:r>
              <m:t>f</m:t>
            </m:r>
          </m:sub>
        </m:sSub>
      </m:oMath>
      <w:r>
        <w:t xml:space="preserve"> </w:t>
      </w:r>
      <w:r>
        <w:t xml:space="preserve">so the closed form of section 3.3 passes exactly through</w:t>
      </w:r>
      <w:r>
        <w:t xml:space="preserve"> </w:t>
      </w:r>
      <m:oMath>
        <m:sSub>
          <m:e>
            <m:r>
              <m:t>i</m:t>
            </m:r>
          </m:e>
          <m:sub>
            <m:r>
              <m:t>r</m:t>
            </m:r>
            <m:r>
              <m:t>e</m:t>
            </m:r>
            <m:r>
              <m:t>f</m:t>
            </m:r>
          </m:sub>
        </m:sSub>
      </m:oMath>
      <w:r>
        <w:t xml:space="preserve">:</w:t>
      </w:r>
    </w:p>
    <w:p>
      <w:pPr>
        <w:pStyle w:val="BodyText"/>
      </w:pPr>
      <m:oMathPara>
        <m:oMathParaPr>
          <m:jc m:val="center"/>
        </m:oMathParaPr>
        <m:oMath>
          <m:sSub>
            <m:e>
              <m:r>
                <m:t>K</m:t>
              </m:r>
            </m:e>
            <m:sub>
              <m:r>
                <m:t>e</m:t>
              </m:r>
              <m:r>
                <m:t>f</m:t>
              </m:r>
              <m:r>
                <m:t>f</m:t>
              </m:r>
            </m:sub>
          </m:sSub>
          <m:r>
            <m:rPr>
              <m:sty m:val="p"/>
            </m:rPr>
            <m:t>=</m:t>
          </m:r>
          <m:f>
            <m:fPr>
              <m:type m:val="bar"/>
            </m:fPr>
            <m:num>
              <m:sSub>
                <m:e>
                  <m:r>
                    <m:t>x</m:t>
                  </m:r>
                </m:e>
                <m:sub>
                  <m:r>
                    <m:t>r</m:t>
                  </m:r>
                  <m:r>
                    <m:t>e</m:t>
                  </m:r>
                  <m:r>
                    <m:t>f</m:t>
                  </m:r>
                </m:sub>
              </m:sSub>
              <m:r>
                <m:t> </m:t>
              </m:r>
              <m:d>
                <m:dPr>
                  <m:begChr m:val="("/>
                  <m:endChr m:val=")"/>
                  <m:sepChr m:val=""/>
                  <m:grow/>
                </m:dPr>
                <m:e>
                  <m:sSup>
                    <m:e>
                      <m:r>
                        <m:t>s</m:t>
                      </m:r>
                    </m:e>
                    <m:sup>
                      <m:r>
                        <m:t>2</m:t>
                      </m:r>
                    </m:sup>
                  </m:sSup>
                  <m:r>
                    <m:rPr>
                      <m:sty m:val="p"/>
                    </m:rPr>
                    <m:t>−</m:t>
                  </m:r>
                  <m:sSubSup>
                    <m:e>
                      <m:r>
                        <m:t>i</m:t>
                      </m:r>
                    </m:e>
                    <m:sub>
                      <m:r>
                        <m:t>r</m:t>
                      </m:r>
                      <m:r>
                        <m:t>e</m:t>
                      </m:r>
                      <m:r>
                        <m:t>f</m:t>
                      </m:r>
                    </m:sub>
                    <m:sup>
                      <m:r>
                        <m:t>2</m:t>
                      </m:r>
                    </m:sup>
                  </m:sSubSup>
                </m:e>
              </m:d>
            </m:num>
            <m:den>
              <m:r>
                <m:t>2</m:t>
              </m:r>
              <m:r>
                <m:t> </m:t>
              </m:r>
              <m:d>
                <m:dPr>
                  <m:begChr m:val="("/>
                  <m:endChr m:val=")"/>
                  <m:sepChr m:val=""/>
                  <m:grow/>
                </m:dPr>
                <m:e>
                  <m:sSub>
                    <m:e>
                      <m:r>
                        <m:t>i</m:t>
                      </m:r>
                    </m:e>
                    <m:sub>
                      <m:r>
                        <m:t>r</m:t>
                      </m:r>
                      <m:r>
                        <m:t>e</m:t>
                      </m:r>
                      <m:r>
                        <m:t>f</m:t>
                      </m:r>
                    </m:sub>
                  </m:sSub>
                  <m:r>
                    <m:rPr>
                      <m:sty m:val="p"/>
                    </m:rPr>
                    <m:t>−</m:t>
                  </m:r>
                  <m:r>
                    <m:t>e</m:t>
                  </m:r>
                </m:e>
              </m:d>
            </m:den>
          </m:f>
        </m:oMath>
      </m:oMathPara>
    </w:p>
    <w:p>
      <w:pPr>
        <w:pStyle w:val="FirstParagraph"/>
      </w:pPr>
      <w:r>
        <w:t xml:space="preserve">A trade with CR01</w:t>
      </w:r>
      <w:r>
        <w:t xml:space="preserve"> </w:t>
      </w:r>
      <m:oMath>
        <m:r>
          <m:t>x</m:t>
        </m:r>
      </m:oMath>
      <w:r>
        <w:t xml:space="preserve"> </w:t>
      </w:r>
      <w:r>
        <w:t xml:space="preserve">(in $/bp) is then charged</w:t>
      </w:r>
    </w:p>
    <w:p>
      <w:pPr>
        <w:pStyle w:val="BodyText"/>
      </w:pPr>
      <m:oMathPara>
        <m:oMathParaPr>
          <m:jc m:val="center"/>
        </m:oMathParaPr>
        <m:oMath>
          <m:r>
            <m:t>R</m:t>
          </m:r>
          <m:r>
            <m:t>W</m:t>
          </m:r>
          <m:d>
            <m:dPr>
              <m:begChr m:val="("/>
              <m:endChr m:val=")"/>
              <m:sepChr m:val=""/>
              <m:grow/>
            </m:dPr>
            <m:e>
              <m:r>
                <m:t>x</m:t>
              </m:r>
            </m:e>
          </m:d>
          <m:r>
            <m:rPr>
              <m:sty m:val="p"/>
            </m:rPr>
            <m:t>=</m:t>
          </m:r>
          <m:f>
            <m:fPr>
              <m:type m:val="bar"/>
            </m:fPr>
            <m:num>
              <m:rad>
                <m:radPr>
                  <m:degHide m:val="1"/>
                </m:radPr>
                <m:deg/>
                <m:e>
                  <m:sSubSup>
                    <m:e>
                      <m:r>
                        <m:t>K</m:t>
                      </m:r>
                    </m:e>
                    <m:sub>
                      <m:r>
                        <m:t>e</m:t>
                      </m:r>
                      <m:r>
                        <m:t>f</m:t>
                      </m:r>
                      <m:r>
                        <m:t>f</m:t>
                      </m:r>
                    </m:sub>
                    <m:sup>
                      <m:r>
                        <m:t>2</m:t>
                      </m:r>
                    </m:sup>
                  </m:sSubSup>
                  <m:r>
                    <m:rPr>
                      <m:sty m:val="p"/>
                    </m:rPr>
                    <m:t>+</m:t>
                  </m:r>
                  <m:r>
                    <m:t>2</m:t>
                  </m:r>
                  <m:r>
                    <m:t> </m:t>
                  </m:r>
                  <m:r>
                    <m:t>x</m:t>
                  </m:r>
                  <m:r>
                    <m:t> </m:t>
                  </m:r>
                  <m:sSub>
                    <m:e>
                      <m:r>
                        <m:t>K</m:t>
                      </m:r>
                    </m:e>
                    <m:sub>
                      <m:r>
                        <m:t>e</m:t>
                      </m:r>
                      <m:r>
                        <m:t>f</m:t>
                      </m:r>
                      <m:r>
                        <m:t>f</m:t>
                      </m:r>
                    </m:sub>
                  </m:sSub>
                  <m:r>
                    <m:t> </m:t>
                  </m:r>
                  <m:r>
                    <m:t>e</m:t>
                  </m:r>
                  <m:r>
                    <m:rPr>
                      <m:sty m:val="p"/>
                    </m:rPr>
                    <m:t>+</m:t>
                  </m:r>
                  <m:sSup>
                    <m:e>
                      <m:r>
                        <m:t>x</m:t>
                      </m:r>
                    </m:e>
                    <m:sup>
                      <m:r>
                        <m:t>2</m:t>
                      </m:r>
                    </m:sup>
                  </m:sSup>
                  <m:sSup>
                    <m:e>
                      <m:r>
                        <m:t>s</m:t>
                      </m:r>
                    </m:e>
                    <m:sup>
                      <m:r>
                        <m:t>2</m:t>
                      </m:r>
                    </m:sup>
                  </m:sSup>
                </m:e>
              </m:rad>
              <m:r>
                <m:rPr>
                  <m:sty m:val="p"/>
                </m:rPr>
                <m:t>−</m:t>
              </m:r>
              <m:sSub>
                <m:e>
                  <m:r>
                    <m:t>K</m:t>
                  </m:r>
                </m:e>
                <m:sub>
                  <m:r>
                    <m:t>e</m:t>
                  </m:r>
                  <m:r>
                    <m:t>f</m:t>
                  </m:r>
                  <m:r>
                    <m:t>f</m:t>
                  </m:r>
                </m:sub>
              </m:sSub>
            </m:num>
            <m:den>
              <m:r>
                <m:t>x</m:t>
              </m:r>
            </m:den>
          </m:f>
          <m:r>
            <m:rPr>
              <m:sty m:val="p"/>
            </m:rPr>
            <m:t>,</m:t>
          </m:r>
          <m:r>
            <m:t>  </m:t>
          </m:r>
          <m:r>
            <m:rPr>
              <m:nor/>
              <m:sty m:val="p"/>
            </m:rPr>
            <m:t>capital</m:t>
          </m:r>
          <m:d>
            <m:dPr>
              <m:begChr m:val="("/>
              <m:endChr m:val=")"/>
              <m:sepChr m:val=""/>
              <m:grow/>
            </m:dPr>
            <m:e>
              <m:r>
                <m:t>x</m:t>
              </m:r>
            </m:e>
          </m:d>
          <m:r>
            <m:rPr>
              <m:sty m:val="p"/>
            </m:rPr>
            <m:t>=</m:t>
          </m:r>
          <m:r>
            <m:t>x</m:t>
          </m:r>
          <m:r>
            <m:rPr>
              <m:sty m:val="p"/>
            </m:rPr>
            <m:t>⋅</m:t>
          </m:r>
          <m:r>
            <m:t>R</m:t>
          </m:r>
          <m:r>
            <m:t>W</m:t>
          </m:r>
          <m:d>
            <m:dPr>
              <m:begChr m:val="("/>
              <m:endChr m:val=")"/>
              <m:sepChr m:val=""/>
              <m:grow/>
            </m:dPr>
            <m:e>
              <m:r>
                <m:t>x</m:t>
              </m:r>
            </m:e>
          </m:d>
        </m:oMath>
      </m:oMathPara>
    </w:p>
    <w:p>
      <w:pPr>
        <w:pStyle w:val="FirstParagraph"/>
      </w:pPr>
      <w:r>
        <w:t xml:space="preserve">Properties:</w:t>
      </w:r>
    </w:p>
    <w:p>
      <w:pPr>
        <w:numPr>
          <w:ilvl w:val="0"/>
          <w:numId w:val="1005"/>
        </w:numPr>
        <w:pStyle w:val="Compact"/>
      </w:pPr>
      <m:oMath>
        <m:r>
          <m:t>R</m:t>
        </m:r>
        <m:r>
          <m:t>W</m:t>
        </m:r>
        <m:d>
          <m:dPr>
            <m:begChr m:val="("/>
            <m:endChr m:val=")"/>
            <m:sepChr m:val=""/>
            <m:grow/>
          </m:dPr>
          <m:e>
            <m:r>
              <m:t>x</m:t>
            </m:r>
          </m:e>
        </m:d>
        <m:r>
          <m:rPr>
            <m:sty m:val="p"/>
          </m:rPr>
          <m:t>→</m:t>
        </m:r>
        <m:r>
          <m:t>e</m:t>
        </m:r>
      </m:oMath>
      <w:r>
        <w:t xml:space="preserve"> </w:t>
      </w:r>
      <w:r>
        <w:t xml:space="preserve">as</w:t>
      </w:r>
      <w:r>
        <w:t xml:space="preserve"> </w:t>
      </w:r>
      <m:oMath>
        <m:r>
          <m:t>x</m:t>
        </m:r>
        <m:r>
          <m:rPr>
            <m:sty m:val="p"/>
          </m:rPr>
          <m:t>→</m:t>
        </m:r>
        <m:r>
          <m:t>0</m:t>
        </m:r>
      </m:oMath>
      <w:r>
        <w:t xml:space="preserve">, equals</w:t>
      </w:r>
      <w:r>
        <w:t xml:space="preserve"> </w:t>
      </w:r>
      <m:oMath>
        <m:sSub>
          <m:e>
            <m:r>
              <m:t>i</m:t>
            </m:r>
          </m:e>
          <m:sub>
            <m:r>
              <m:t>r</m:t>
            </m:r>
            <m:r>
              <m:t>e</m:t>
            </m:r>
            <m:r>
              <m:t>f</m:t>
            </m:r>
          </m:sub>
        </m:sSub>
      </m:oMath>
      <w:r>
        <w:t xml:space="preserve"> </w:t>
      </w:r>
      <w:r>
        <w:t xml:space="preserve">at</w:t>
      </w:r>
      <w:r>
        <w:t xml:space="preserve"> </w:t>
      </w:r>
      <m:oMath>
        <m:sSub>
          <m:e>
            <m:r>
              <m:t>x</m:t>
            </m:r>
          </m:e>
          <m:sub>
            <m:r>
              <m:t>r</m:t>
            </m:r>
            <m:r>
              <m:t>e</m:t>
            </m:r>
            <m:r>
              <m:t>f</m:t>
            </m:r>
          </m:sub>
        </m:sSub>
      </m:oMath>
      <w:r>
        <w:t xml:space="preserve">, and tends to</w:t>
      </w:r>
      <w:r>
        <w:t xml:space="preserve"> </w:t>
      </w:r>
      <m:oMath>
        <m:r>
          <m:t>s</m:t>
        </m:r>
      </m:oMath>
      <w:r>
        <w:t xml:space="preserve"> </w:t>
      </w:r>
      <w:r>
        <w:t xml:space="preserve">as</w:t>
      </w:r>
      <w:r>
        <w:t xml:space="preserve"> </w:t>
      </w:r>
      <m:oMath>
        <m:r>
          <m:t>x</m:t>
        </m:r>
        <m:r>
          <m:rPr>
            <m:sty m:val="p"/>
          </m:rPr>
          <m:t>→</m:t>
        </m:r>
        <m:r>
          <m:rPr>
            <m:sty m:val="p"/>
          </m:rPr>
          <m:t>∞</m:t>
        </m:r>
      </m:oMath>
      <w:r>
        <w:t xml:space="preserve">.</w:t>
      </w:r>
    </w:p>
    <w:p>
      <w:pPr>
        <w:numPr>
          <w:ilvl w:val="0"/>
          <w:numId w:val="1005"/>
        </w:numPr>
        <w:pStyle w:val="Compact"/>
      </w:pPr>
      <w:r>
        <w:t xml:space="preserve">It is monotone in</w:t>
      </w:r>
      <w:r>
        <w:t xml:space="preserve"> </w:t>
      </w:r>
      <m:oMath>
        <m:r>
          <m:t>x</m:t>
        </m:r>
      </m:oMath>
      <w:r>
        <w:t xml:space="preserve"> </w:t>
      </w:r>
      <w:r>
        <w:t xml:space="preserve">and stays within</w:t>
      </w:r>
      <w:r>
        <w:t xml:space="preserve"> </w:t>
      </w:r>
      <m:oMath>
        <m:d>
          <m:dPr>
            <m:begChr m:val="["/>
            <m:endChr m:val="]"/>
            <m:sepChr m:val=""/>
            <m:grow/>
          </m:dPr>
          <m:e>
            <m:r>
              <m:t>e</m:t>
            </m:r>
            <m:r>
              <m:rPr>
                <m:sty m:val="p"/>
              </m:rPr>
              <m:t>,</m:t>
            </m:r>
            <m:r>
              <m:t>s</m:t>
            </m:r>
          </m:e>
        </m:d>
      </m:oMath>
      <w:r>
        <w:t xml:space="preserve">.</w:t>
      </w:r>
    </w:p>
    <w:p>
      <w:pPr>
        <w:numPr>
          <w:ilvl w:val="0"/>
          <w:numId w:val="1005"/>
        </w:numPr>
        <w:pStyle w:val="Compact"/>
      </w:pPr>
      <w:r>
        <w:t xml:space="preserve">With</w:t>
      </w:r>
      <w:r>
        <w:t xml:space="preserve"> </w:t>
      </w:r>
      <m:oMath>
        <m:sSub>
          <m:e>
            <m:r>
              <m:t>x</m:t>
            </m:r>
          </m:e>
          <m:sub>
            <m:r>
              <m:t>r</m:t>
            </m:r>
            <m:r>
              <m:t>e</m:t>
            </m:r>
            <m:r>
              <m:t>f</m:t>
            </m:r>
          </m:sub>
        </m:sSub>
      </m:oMath>
      <w:r>
        <w:t xml:space="preserve"> </w:t>
      </w:r>
      <w:r>
        <w:t xml:space="preserve">= $10k, the current production RW is reproduced exactly at $10k.</w:t>
      </w:r>
    </w:p>
    <w:p>
      <w:pPr>
        <w:numPr>
          <w:ilvl w:val="0"/>
          <w:numId w:val="1005"/>
        </w:numPr>
        <w:pStyle w:val="Compact"/>
      </w:pPr>
      <w:r>
        <w:t xml:space="preserve">If</w:t>
      </w:r>
      <w:r>
        <w:t xml:space="preserve"> </w:t>
      </w:r>
      <m:oMath>
        <m:sSub>
          <m:e>
            <m:r>
              <m:t>i</m:t>
            </m:r>
          </m:e>
          <m:sub>
            <m:r>
              <m:t>r</m:t>
            </m:r>
            <m:r>
              <m:t>e</m:t>
            </m:r>
            <m:r>
              <m:t>f</m:t>
            </m:r>
          </m:sub>
        </m:sSub>
        <m:r>
          <m:rPr>
            <m:sty m:val="p"/>
          </m:rPr>
          <m:t>≤</m:t>
        </m:r>
        <m:r>
          <m:t>e</m:t>
        </m:r>
      </m:oMath>
      <w:r>
        <w:t xml:space="preserve"> </w:t>
      </w:r>
      <w:r>
        <w:t xml:space="preserve">(no measurable curvature), use the book’s class-level</w:t>
      </w:r>
      <w:r>
        <w:t xml:space="preserve"> </w:t>
      </w:r>
      <m:oMath>
        <m:r>
          <m:t>K</m:t>
        </m:r>
      </m:oMath>
      <w:r>
        <w:t xml:space="preserve"> </w:t>
      </w:r>
      <w:r>
        <w:t xml:space="preserve">instead of</w:t>
      </w:r>
      <w:r>
        <w:t xml:space="preserve"> </w:t>
      </w:r>
      <m:oMath>
        <m:sSub>
          <m:e>
            <m:r>
              <m:t>K</m:t>
            </m:r>
          </m:e>
          <m:sub>
            <m:r>
              <m:t>e</m:t>
            </m:r>
            <m:r>
              <m:t>f</m:t>
            </m:r>
            <m:r>
              <m:t>f</m:t>
            </m:r>
          </m:sub>
        </m:sSub>
      </m:oMath>
      <w:r>
        <w:t xml:space="preserve">.</w:t>
      </w:r>
    </w:p>
    <w:p>
      <w:pPr>
        <w:pStyle w:val="FirstParagraph"/>
      </w:pPr>
      <w:r>
        <w:t xml:space="preserve">Calibrating</w:t>
      </w:r>
      <w:r>
        <w:t xml:space="preserve"> </w:t>
      </w:r>
      <m:oMath>
        <m:sSub>
          <m:e>
            <m:r>
              <m:t>K</m:t>
            </m:r>
          </m:e>
          <m:sub>
            <m:r>
              <m:t>e</m:t>
            </m:r>
            <m:r>
              <m:t>f</m:t>
            </m:r>
            <m:r>
              <m:t>f</m:t>
            </m:r>
          </m:sub>
        </m:sSub>
      </m:oMath>
      <w:r>
        <w:t xml:space="preserve"> </w:t>
      </w:r>
      <w:r>
        <w:t xml:space="preserve">per cell absorbs the</w:t>
      </w:r>
      <w:r>
        <w:t xml:space="preserve"> </w:t>
      </w:r>
      <m:oMath>
        <m:sSub>
          <m:e>
            <m:r>
              <m:t>S</m:t>
            </m:r>
          </m:e>
          <m:sub>
            <m:r>
              <m:t>b</m:t>
            </m:r>
          </m:sub>
        </m:sSub>
      </m:oMath>
      <w:r>
        <w:t xml:space="preserve"> </w:t>
      </w:r>
      <w:r>
        <w:t xml:space="preserve">cap and cross-bucket effects that the single-quadratic-form derivation ignores. On the example book,</w:t>
      </w:r>
      <w:r>
        <w:t xml:space="preserve"> </w:t>
      </w:r>
      <m:oMath>
        <m:sSub>
          <m:e>
            <m:r>
              <m:t>K</m:t>
            </m:r>
          </m:e>
          <m:sub>
            <m:r>
              <m:t>e</m:t>
            </m:r>
            <m:r>
              <m:t>f</m:t>
            </m:r>
            <m:r>
              <m:t>f</m:t>
            </m:r>
          </m:sub>
        </m:sSub>
      </m:oMath>
      <w:r>
        <w:t xml:space="preserve"> </w:t>
      </w:r>
      <w:r>
        <w:t xml:space="preserve">ranges from $4.06mm to $4.23mm against a class-level CCS</w:t>
      </w:r>
      <w:r>
        <w:t xml:space="preserve"> </w:t>
      </w:r>
      <m:oMath>
        <m:r>
          <m:t>K</m:t>
        </m:r>
      </m:oMath>
      <w:r>
        <w:t xml:space="preserve"> </w:t>
      </w:r>
      <w:r>
        <w:t xml:space="preserve">of $3.76mm.</w:t>
      </w:r>
    </w:p>
    <w:bookmarkEnd w:id="40"/>
    <w:bookmarkStart w:id="41" w:name="accuracy-on-the-example-book"/>
    <w:p>
      <w:pPr>
        <w:pStyle w:val="Heading2"/>
      </w:pPr>
      <w:r>
        <w:t xml:space="preserve">4.2 Accuracy on the example book</w:t>
      </w:r>
    </w:p>
    <w:p>
      <w:pPr>
        <w:pStyle w:val="FirstParagraph"/>
      </w:pPr>
      <m:oMath>
        <m:sSub>
          <m:e>
            <m:r>
              <m:t>K</m:t>
            </m:r>
          </m:e>
          <m:sub>
            <m:r>
              <m:t>e</m:t>
            </m:r>
            <m:r>
              <m:t>f</m:t>
            </m:r>
            <m:r>
              <m:t>f</m:t>
            </m:r>
          </m:sub>
        </m:sSub>
      </m:oMath>
      <w:r>
        <w:t xml:space="preserve"> </w:t>
      </w:r>
      <w:r>
        <w:t xml:space="preserve">is calibrated at</w:t>
      </w:r>
      <w:r>
        <w:t xml:space="preserve"> </w:t>
      </w:r>
      <m:oMath>
        <m:sSub>
          <m:e>
            <m:r>
              <m:t>x</m:t>
            </m:r>
          </m:e>
          <m:sub>
            <m:r>
              <m:t>r</m:t>
            </m:r>
            <m:r>
              <m:t>e</m:t>
            </m:r>
            <m:r>
              <m:t>f</m:t>
            </m:r>
          </m:sub>
        </m:sSub>
      </m:oMath>
      <w:r>
        <w:t xml:space="preserve"> </w:t>
      </w:r>
      <w:r>
        <w:t xml:space="preserve">= $10k. The fit is compared with a full recalculation of incremental RW at 17 sizes from $1 to $100mm (per $1 CR01):</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Cell</w:t>
            </w:r>
          </w:p>
        </w:tc>
        <w:tc>
          <w:tcPr/>
          <w:p>
            <w:pPr>
              <w:pStyle w:val="Compact"/>
              <w:jc w:val="left"/>
            </w:pPr>
            <w:r>
              <w:t xml:space="preserve">Full, $1k</w:t>
            </w:r>
          </w:p>
        </w:tc>
        <w:tc>
          <w:tcPr/>
          <w:p>
            <w:pPr>
              <w:pStyle w:val="Compact"/>
              <w:jc w:val="left"/>
            </w:pPr>
            <w:r>
              <w:t xml:space="preserve">Fit, $1k</w:t>
            </w:r>
          </w:p>
        </w:tc>
        <w:tc>
          <w:tcPr/>
          <w:p>
            <w:pPr>
              <w:pStyle w:val="Compact"/>
              <w:jc w:val="left"/>
            </w:pPr>
            <w:r>
              <w:t xml:space="preserve">Full, $31.6k</w:t>
            </w:r>
          </w:p>
        </w:tc>
        <w:tc>
          <w:tcPr/>
          <w:p>
            <w:pPr>
              <w:pStyle w:val="Compact"/>
              <w:jc w:val="left"/>
            </w:pPr>
            <w:r>
              <w:t xml:space="preserve">Fit, $31.6k</w:t>
            </w:r>
          </w:p>
        </w:tc>
        <w:tc>
          <w:tcPr/>
          <w:p>
            <w:pPr>
              <w:pStyle w:val="Compact"/>
              <w:jc w:val="left"/>
            </w:pPr>
            <w:r>
              <w:t xml:space="preserve">Max error, % of stand-alone</w:t>
            </w:r>
          </w:p>
        </w:tc>
      </w:tr>
      <w:tr>
        <w:tc>
          <w:tcPr/>
          <w:p>
            <w:pPr>
              <w:pStyle w:val="Compact"/>
              <w:jc w:val="left"/>
            </w:pPr>
            <w:r>
              <w:t xml:space="preserve">unhedged_delta 2 IG</w:t>
            </w:r>
          </w:p>
        </w:tc>
        <w:tc>
          <w:tcPr/>
          <w:p>
            <w:pPr>
              <w:pStyle w:val="Compact"/>
              <w:jc w:val="left"/>
            </w:pPr>
            <w:r>
              <w:t xml:space="preserve">266.5</w:t>
            </w:r>
          </w:p>
        </w:tc>
        <w:tc>
          <w:tcPr/>
          <w:p>
            <w:pPr>
              <w:pStyle w:val="Compact"/>
              <w:jc w:val="left"/>
            </w:pPr>
            <w:r>
              <w:t xml:space="preserve">266.7</w:t>
            </w:r>
          </w:p>
        </w:tc>
        <w:tc>
          <w:tcPr/>
          <w:p>
            <w:pPr>
              <w:pStyle w:val="Compact"/>
              <w:jc w:val="left"/>
            </w:pPr>
            <w:r>
              <w:t xml:space="preserve">445.0</w:t>
            </w:r>
          </w:p>
        </w:tc>
        <w:tc>
          <w:tcPr/>
          <w:p>
            <w:pPr>
              <w:pStyle w:val="Compact"/>
              <w:jc w:val="left"/>
            </w:pPr>
            <w:r>
              <w:t xml:space="preserve">444.8</w:t>
            </w:r>
          </w:p>
        </w:tc>
        <w:tc>
          <w:tcPr/>
          <w:p>
            <w:pPr>
              <w:pStyle w:val="Compact"/>
              <w:jc w:val="left"/>
            </w:pPr>
            <w:r>
              <w:t xml:space="preserve">0.04%</w:t>
            </w:r>
          </w:p>
        </w:tc>
      </w:tr>
      <w:tr>
        <w:tc>
          <w:tcPr/>
          <w:p>
            <w:pPr>
              <w:pStyle w:val="Compact"/>
              <w:jc w:val="left"/>
            </w:pPr>
            <w:r>
              <w:t xml:space="preserve">sector_hedge 2 IG</w:t>
            </w:r>
          </w:p>
        </w:tc>
        <w:tc>
          <w:tcPr/>
          <w:p>
            <w:pPr>
              <w:pStyle w:val="Compact"/>
              <w:jc w:val="left"/>
            </w:pPr>
            <w:r>
              <w:t xml:space="preserve">73.5</w:t>
            </w:r>
          </w:p>
        </w:tc>
        <w:tc>
          <w:tcPr/>
          <w:p>
            <w:pPr>
              <w:pStyle w:val="Compact"/>
              <w:jc w:val="left"/>
            </w:pPr>
            <w:r>
              <w:t xml:space="preserve">74.4</w:t>
            </w:r>
          </w:p>
        </w:tc>
        <w:tc>
          <w:tcPr/>
          <w:p>
            <w:pPr>
              <w:pStyle w:val="Compact"/>
              <w:jc w:val="left"/>
            </w:pPr>
            <w:r>
              <w:t xml:space="preserve">366.4</w:t>
            </w:r>
          </w:p>
        </w:tc>
        <w:tc>
          <w:tcPr/>
          <w:p>
            <w:pPr>
              <w:pStyle w:val="Compact"/>
              <w:jc w:val="left"/>
            </w:pPr>
            <w:r>
              <w:t xml:space="preserve">362.1</w:t>
            </w:r>
          </w:p>
        </w:tc>
        <w:tc>
          <w:tcPr/>
          <w:p>
            <w:pPr>
              <w:pStyle w:val="Compact"/>
              <w:jc w:val="left"/>
            </w:pPr>
            <w:r>
              <w:t xml:space="preserve">0.9%</w:t>
            </w:r>
          </w:p>
        </w:tc>
      </w:tr>
      <w:tr>
        <w:tc>
          <w:tcPr/>
          <w:p>
            <w:pPr>
              <w:pStyle w:val="Compact"/>
              <w:jc w:val="left"/>
            </w:pPr>
            <w:r>
              <w:t xml:space="preserve">name_hedge 2 IG</w:t>
            </w:r>
          </w:p>
        </w:tc>
        <w:tc>
          <w:tcPr/>
          <w:p>
            <w:pPr>
              <w:pStyle w:val="Compact"/>
              <w:jc w:val="left"/>
            </w:pPr>
            <w:r>
              <w:t xml:space="preserve">50.1</w:t>
            </w:r>
          </w:p>
        </w:tc>
        <w:tc>
          <w:tcPr/>
          <w:p>
            <w:pPr>
              <w:pStyle w:val="Compact"/>
              <w:jc w:val="left"/>
            </w:pPr>
            <w:r>
              <w:t xml:space="preserve">50.1</w:t>
            </w:r>
          </w:p>
        </w:tc>
        <w:tc>
          <w:tcPr/>
          <w:p>
            <w:pPr>
              <w:pStyle w:val="Compact"/>
              <w:jc w:val="left"/>
            </w:pPr>
            <w:r>
              <w:t xml:space="preserve">73.0</w:t>
            </w:r>
          </w:p>
        </w:tc>
        <w:tc>
          <w:tcPr/>
          <w:p>
            <w:pPr>
              <w:pStyle w:val="Compact"/>
              <w:jc w:val="left"/>
            </w:pPr>
            <w:r>
              <w:t xml:space="preserve">72.9</w:t>
            </w:r>
          </w:p>
        </w:tc>
        <w:tc>
          <w:tcPr/>
          <w:p>
            <w:pPr>
              <w:pStyle w:val="Compact"/>
              <w:jc w:val="left"/>
            </w:pPr>
            <w:r>
              <w:t xml:space="preserve">0.1%</w:t>
            </w:r>
          </w:p>
        </w:tc>
      </w:tr>
      <w:tr>
        <w:tc>
          <w:tcPr/>
          <w:p>
            <w:pPr>
              <w:pStyle w:val="Compact"/>
              <w:jc w:val="left"/>
            </w:pPr>
            <w:r>
              <w:t xml:space="preserve">unhedged_delta 6 HY</w:t>
            </w:r>
          </w:p>
        </w:tc>
        <w:tc>
          <w:tcPr/>
          <w:p>
            <w:pPr>
              <w:pStyle w:val="Compact"/>
              <w:jc w:val="left"/>
            </w:pPr>
            <w:r>
              <w:t xml:space="preserve">17.2</w:t>
            </w:r>
          </w:p>
        </w:tc>
        <w:tc>
          <w:tcPr/>
          <w:p>
            <w:pPr>
              <w:pStyle w:val="Compact"/>
              <w:jc w:val="left"/>
            </w:pPr>
            <w:r>
              <w:t xml:space="preserve">29.7</w:t>
            </w:r>
          </w:p>
        </w:tc>
        <w:tc>
          <w:tcPr/>
          <w:p>
            <w:pPr>
              <w:pStyle w:val="Compact"/>
              <w:jc w:val="left"/>
            </w:pPr>
            <w:r>
              <w:t xml:space="preserve">388.1</w:t>
            </w:r>
          </w:p>
        </w:tc>
        <w:tc>
          <w:tcPr/>
          <w:p>
            <w:pPr>
              <w:pStyle w:val="Compact"/>
              <w:jc w:val="left"/>
            </w:pPr>
            <w:r>
              <w:t xml:space="preserve">384.0</w:t>
            </w:r>
          </w:p>
        </w:tc>
        <w:tc>
          <w:tcPr/>
          <w:p>
            <w:pPr>
              <w:pStyle w:val="Compact"/>
              <w:jc w:val="left"/>
            </w:pPr>
            <w:r>
              <w:t xml:space="preserve">2.5%</w:t>
            </w:r>
          </w:p>
        </w:tc>
      </w:tr>
    </w:tbl>
    <w:p>
      <w:pPr>
        <w:pStyle w:val="BodyText"/>
      </w:pPr>
      <w:r>
        <w:t xml:space="preserve">The fit is close where the book has real exposure in the bucket. In near-flat buckets such as 6 HY it overstates at small sizes, which errs conservative. If that matters, publish incremental RWs at a short ladder of sizes (e.g. $1k, $10k, $100k) and interpolate in log size instead.</w:t>
      </w:r>
    </w:p>
    <w:bookmarkEnd w:id="41"/>
    <w:bookmarkStart w:id="42" w:name="what-the-weight-file-carries"/>
    <w:p>
      <w:pPr>
        <w:pStyle w:val="Heading2"/>
      </w:pPr>
      <w:r>
        <w:t xml:space="preserve">4.3 What the weight file carries</w:t>
      </w:r>
    </w:p>
    <w:p>
      <w:pPr>
        <w:pStyle w:val="FirstParagraph"/>
      </w:pPr>
      <w:r>
        <w:t xml:space="preserve">Per hedge type × sector × IG/HY and per</w:t>
      </w:r>
      <w:r>
        <w:t xml:space="preserve"> </w:t>
      </w:r>
      <w:r>
        <w:rPr>
          <w:rStyle w:val="VerbatimChar"/>
        </w:rPr>
        <w:t xml:space="preserve">own_lines</w:t>
      </w:r>
      <w:r>
        <w:t xml:space="preserve"> </w:t>
      </w:r>
      <w:r>
        <w:t xml:space="preserve">name: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Column</w:t>
            </w:r>
          </w:p>
        </w:tc>
        <w:tc>
          <w:tcPr/>
          <w:p>
            <w:pPr>
              <w:pStyle w:val="Compact"/>
              <w:jc w:val="left"/>
            </w:pPr>
            <w:r>
              <w:t xml:space="preserve">Meaning</w:t>
            </w:r>
          </w:p>
        </w:tc>
      </w:tr>
      <w:tr>
        <w:tc>
          <w:tcPr/>
          <w:p>
            <w:pPr>
              <w:pStyle w:val="Compact"/>
              <w:jc w:val="left"/>
            </w:pPr>
            <w:r>
              <w:rPr>
                <w:rStyle w:val="VerbatimChar"/>
              </w:rPr>
              <w:t xml:space="preserve">eulerRw</w:t>
            </w:r>
          </w:p>
        </w:tc>
        <w:tc>
          <w:tcPr/>
          <w:p>
            <w:pPr>
              <w:pStyle w:val="Compact"/>
              <w:jc w:val="left"/>
            </w:pPr>
            <m:oMath>
              <m:r>
                <m:t>e</m:t>
              </m:r>
            </m:oMath>
            <w:r>
              <w:t xml:space="preserve">: Euler RW per $1 CR01 (or the $1 incremental RW)</w:t>
            </w:r>
          </w:p>
        </w:tc>
      </w:tr>
      <w:tr>
        <w:tc>
          <w:tcPr/>
          <w:p>
            <w:pPr>
              <w:pStyle w:val="Compact"/>
              <w:jc w:val="left"/>
            </w:pPr>
            <w:r>
              <w:rPr>
                <w:rStyle w:val="VerbatimChar"/>
              </w:rPr>
              <w:t xml:space="preserve">standaloneRw</w:t>
            </w:r>
          </w:p>
        </w:tc>
        <w:tc>
          <w:tcPr/>
          <w:p>
            <w:pPr>
              <w:pStyle w:val="Compact"/>
              <w:jc w:val="left"/>
            </w:pPr>
            <m:oMath>
              <m:r>
                <m:t>s</m:t>
              </m:r>
            </m:oMath>
            <w:r>
              <w:t xml:space="preserve">: stand-alone RW per $1 CR01</w:t>
            </w:r>
          </w:p>
        </w:tc>
      </w:tr>
      <w:tr>
        <w:tc>
          <w:tcPr/>
          <w:p>
            <w:pPr>
              <w:pStyle w:val="Compact"/>
              <w:jc w:val="left"/>
            </w:pPr>
            <w:r>
              <w:rPr>
                <w:rStyle w:val="VerbatimChar"/>
              </w:rPr>
              <w:t xml:space="preserve">refRw</w:t>
            </w:r>
          </w:p>
        </w:tc>
        <w:tc>
          <w:tcPr/>
          <w:p>
            <w:pPr>
              <w:pStyle w:val="Compact"/>
              <w:jc w:val="left"/>
            </w:pPr>
            <m:oMath>
              <m:sSub>
                <m:e>
                  <m:r>
                    <m:t>i</m:t>
                  </m:r>
                </m:e>
                <m:sub>
                  <m:r>
                    <m:t>r</m:t>
                  </m:r>
                  <m:r>
                    <m:t>e</m:t>
                  </m:r>
                  <m:r>
                    <m:t>f</m:t>
                  </m:r>
                </m:sub>
              </m:sSub>
            </m:oMath>
            <w:r>
              <w:t xml:space="preserve">: incremental RW at</w:t>
            </w:r>
            <w:r>
              <w:t xml:space="preserve"> </w:t>
            </w:r>
            <m:oMath>
              <m:sSub>
                <m:e>
                  <m:r>
                    <m:t>x</m:t>
                  </m:r>
                </m:e>
                <m:sub>
                  <m:r>
                    <m:t>r</m:t>
                  </m:r>
                  <m:r>
                    <m:t>e</m:t>
                  </m:r>
                  <m:r>
                    <m:t>f</m:t>
                  </m:r>
                </m:sub>
              </m:sSub>
            </m:oMath>
          </w:p>
        </w:tc>
      </w:tr>
      <w:tr>
        <w:tc>
          <w:tcPr/>
          <w:p>
            <w:pPr>
              <w:pStyle w:val="Compact"/>
              <w:jc w:val="left"/>
            </w:pPr>
            <w:r>
              <w:rPr>
                <w:rStyle w:val="VerbatimChar"/>
              </w:rPr>
              <w:t xml:space="preserve">kEff</w:t>
            </w:r>
          </w:p>
        </w:tc>
        <w:tc>
          <w:tcPr/>
          <w:p>
            <w:pPr>
              <w:pStyle w:val="Compact"/>
              <w:jc w:val="left"/>
            </w:pPr>
            <m:oMath>
              <m:sSub>
                <m:e>
                  <m:r>
                    <m:t>K</m:t>
                  </m:r>
                </m:e>
                <m:sub>
                  <m:r>
                    <m:t>e</m:t>
                  </m:r>
                  <m:r>
                    <m:t>f</m:t>
                  </m:r>
                  <m:r>
                    <m:t>f</m:t>
                  </m:r>
                </m:sub>
              </m:sSub>
            </m:oMath>
            <w:r>
              <w:t xml:space="preserve"> </w:t>
            </w:r>
            <w:r>
              <w:t xml:space="preserve">from the formula above</w:t>
            </w:r>
          </w:p>
        </w:tc>
      </w:tr>
      <w:tr>
        <w:tc>
          <w:tcPr/>
          <w:p>
            <w:pPr>
              <w:pStyle w:val="Compact"/>
              <w:jc w:val="left"/>
            </w:pPr>
            <w:r>
              <w:rPr>
                <w:rStyle w:val="VerbatimChar"/>
              </w:rPr>
              <w:t xml:space="preserve">refSize</w:t>
            </w:r>
          </w:p>
        </w:tc>
        <w:tc>
          <w:tcPr/>
          <w:p>
            <w:pPr>
              <w:pStyle w:val="Compact"/>
              <w:jc w:val="left"/>
            </w:pPr>
            <m:oMath>
              <m:sSub>
                <m:e>
                  <m:r>
                    <m:t>x</m:t>
                  </m:r>
                </m:e>
                <m:sub>
                  <m:r>
                    <m:t>r</m:t>
                  </m:r>
                  <m:r>
                    <m:t>e</m:t>
                  </m:r>
                  <m:r>
                    <m:t>f</m:t>
                  </m:r>
                </m:sub>
              </m:sSub>
            </m:oMath>
            <w:r>
              <w:t xml:space="preserve">, e.g. 10,000 ($/bp)</w:t>
            </w:r>
          </w:p>
        </w:tc>
      </w:tr>
    </w:tbl>
    <w:p>
      <w:pPr>
        <w:pStyle w:val="BodyText"/>
      </w:pPr>
      <w:r>
        <w:t xml:space="preserve">For counterparty cells,</w:t>
      </w:r>
      <w:r>
        <w:t xml:space="preserve"> </w:t>
      </w:r>
      <m:oMath>
        <m:r>
          <m:t>e</m:t>
        </m:r>
      </m:oMath>
      <w:r>
        <w:t xml:space="preserve">,</w:t>
      </w:r>
      <w:r>
        <w:t xml:space="preserve"> </w:t>
      </w:r>
      <m:oMath>
        <m:r>
          <m:t>s</m:t>
        </m:r>
      </m:oMath>
      <w:r>
        <w:t xml:space="preserve"> </w:t>
      </w:r>
      <w:r>
        <w:t xml:space="preserve">and</w:t>
      </w:r>
      <w:r>
        <w:t xml:space="preserve"> </w:t>
      </w:r>
      <m:oMath>
        <m:sSub>
          <m:e>
            <m:r>
              <m:t>i</m:t>
            </m:r>
          </m:e>
          <m:sub>
            <m:r>
              <m:t>r</m:t>
            </m:r>
            <m:r>
              <m:t>e</m:t>
            </m:r>
            <m:r>
              <m:t>f</m:t>
            </m:r>
          </m:sub>
        </m:sSub>
      </m:oMath>
      <w:r>
        <w:t xml:space="preserve"> </w:t>
      </w:r>
      <w:r>
        <w:t xml:space="preserve">are each averaged by gross CR01, and</w:t>
      </w:r>
      <w:r>
        <w:t xml:space="preserve"> </w:t>
      </w:r>
      <m:oMath>
        <m:sSub>
          <m:e>
            <m:r>
              <m:t>K</m:t>
            </m:r>
          </m:e>
          <m:sub>
            <m:r>
              <m:t>e</m:t>
            </m:r>
            <m:r>
              <m:t>f</m:t>
            </m:r>
            <m:r>
              <m:t>f</m:t>
            </m:r>
          </m:sub>
        </m:sSub>
      </m:oMath>
      <w:r>
        <w:t xml:space="preserve"> </w:t>
      </w:r>
      <w:r>
        <w:t xml:space="preserve">is derived from the averages.</w:t>
      </w:r>
      <w:r>
        <w:t xml:space="preserve"> </w:t>
      </w:r>
      <w:r>
        <w:rPr>
          <w:rStyle w:val="VerbatimChar"/>
        </w:rPr>
        <w:t xml:space="preserve">vegaCost</w:t>
      </w:r>
      <w:r>
        <w:t xml:space="preserve"> </w:t>
      </w:r>
      <w:r>
        <w:t xml:space="preserve">follows the same scheme with vega units. All three inputs already come out of</w:t>
      </w:r>
      <w:r>
        <w:t xml:space="preserve"> </w:t>
      </w:r>
      <w:r>
        <w:rPr>
          <w:rStyle w:val="VerbatimChar"/>
        </w:rPr>
        <w:t xml:space="preserve">MarginalEvaluator</w:t>
      </w:r>
      <w:r>
        <w:t xml:space="preserve">; the change is a reference-size setting in</w:t>
      </w:r>
      <w:r>
        <w:t xml:space="preserve"> </w:t>
      </w:r>
      <w:r>
        <w:rPr>
          <w:rStyle w:val="VerbatimChar"/>
        </w:rPr>
        <w:t xml:space="preserve">sacva_weights</w:t>
      </w:r>
      <w:r>
        <w:t xml:space="preserve"> </w:t>
      </w:r>
      <w:r>
        <w:t xml:space="preserve">and the extra columns.</w:t>
      </w:r>
    </w:p>
    <w:p>
      <w:pPr>
        <w:pStyle w:val="BodyText"/>
      </w:pPr>
      <w:r>
        <w:t xml:space="preserve">If the file format cannot change, publish one number per cell at a cell-specific size: the median CR01 of new trades in the cell over the last 12 months, or the median counterparty gross CR01 in the cell. A flat $10k is the least consistent single choice (section 3.5).</w:t>
      </w:r>
    </w:p>
    <w:bookmarkEnd w:id="42"/>
    <w:bookmarkStart w:id="43" w:name="guardrails"/>
    <w:p>
      <w:pPr>
        <w:pStyle w:val="Heading2"/>
      </w:pPr>
      <w:r>
        <w:t xml:space="preserve">4.4 Guardrails</w:t>
      </w:r>
    </w:p>
    <w:p>
      <w:pPr>
        <w:numPr>
          <w:ilvl w:val="0"/>
          <w:numId w:val="1006"/>
        </w:numPr>
        <w:pStyle w:val="Compact"/>
      </w:pPr>
      <w:r>
        <w:rPr>
          <w:bCs/>
          <w:b/>
        </w:rPr>
        <w:t xml:space="preserve">Floor.</w:t>
      </w:r>
      <w:r>
        <w:t xml:space="preserve"> </w:t>
      </w:r>
      <w:r>
        <w:t xml:space="preserve">Apply</w:t>
      </w:r>
      <w:r>
        <w:t xml:space="preserve"> </w:t>
      </w:r>
      <m:oMath>
        <m:r>
          <m:t>R</m:t>
        </m:r>
        <m:r>
          <m:t>W</m:t>
        </m:r>
        <m:d>
          <m:dPr>
            <m:begChr m:val="("/>
            <m:endChr m:val=")"/>
            <m:sepChr m:val=""/>
            <m:grow/>
          </m:dPr>
          <m:e>
            <m:r>
              <m:t>x</m:t>
            </m:r>
          </m:e>
        </m:d>
        <m:r>
          <m:rPr>
            <m:sty m:val="p"/>
          </m:rPr>
          <m:t>≥</m:t>
        </m:r>
        <m:r>
          <m:t>f</m:t>
        </m:r>
        <m:r>
          <m:rPr>
            <m:sty m:val="p"/>
          </m:rPr>
          <m:t>⋅</m:t>
        </m:r>
        <m:r>
          <m:t>s</m:t>
        </m:r>
      </m:oMath>
      <w:r>
        <w:t xml:space="preserve"> </w:t>
      </w:r>
      <w:r>
        <w:t xml:space="preserve">with</w:t>
      </w:r>
      <w:r>
        <w:t xml:space="preserve"> </w:t>
      </w:r>
      <m:oMath>
        <m:r>
          <m:t>f</m:t>
        </m:r>
      </m:oMath>
      <w:r>
        <w:t xml:space="preserve"> </w:t>
      </w:r>
      <w:r>
        <w:t xml:space="preserve">agreed by the desk and risk (for example 10%), so offset buckets are not priced at zero.</w:t>
      </w:r>
    </w:p>
    <w:p>
      <w:pPr>
        <w:numPr>
          <w:ilvl w:val="0"/>
          <w:numId w:val="1006"/>
        </w:numPr>
        <w:pStyle w:val="Compact"/>
      </w:pPr>
      <w:r>
        <w:rPr>
          <w:bCs/>
          <w:b/>
        </w:rPr>
        <w:t xml:space="preserve">Large trades.</w:t>
      </w:r>
      <w:r>
        <w:t xml:space="preserve"> </w:t>
      </w:r>
      <w:r>
        <w:t xml:space="preserve">When</w:t>
      </w:r>
      <w:r>
        <w:t xml:space="preserve"> </w:t>
      </w:r>
      <m:oMath>
        <m:r>
          <m:t>x</m:t>
        </m:r>
        <m:r>
          <m:rPr>
            <m:sty m:val="p"/>
          </m:rPr>
          <m:t>⋅</m:t>
        </m:r>
        <m:r>
          <m:t>s</m:t>
        </m:r>
      </m:oMath>
      <w:r>
        <w:t xml:space="preserve"> </w:t>
      </w:r>
      <w:r>
        <w:t xml:space="preserve">exceeds 5–10% of</w:t>
      </w:r>
      <w:r>
        <w:t xml:space="preserve"> </w:t>
      </w:r>
      <m:oMath>
        <m:sSub>
          <m:e>
            <m:r>
              <m:t>K</m:t>
            </m:r>
          </m:e>
          <m:sub>
            <m:r>
              <m:t>e</m:t>
            </m:r>
            <m:r>
              <m:t>f</m:t>
            </m:r>
            <m:r>
              <m:t>f</m:t>
            </m:r>
          </m:sub>
        </m:sSub>
      </m:oMath>
      <w:r>
        <w:t xml:space="preserve">, run a full pre-deal incremental calculation on the actual trade instead of using the grid.</w:t>
      </w:r>
    </w:p>
    <w:p>
      <w:pPr>
        <w:numPr>
          <w:ilvl w:val="0"/>
          <w:numId w:val="1006"/>
        </w:numPr>
        <w:pStyle w:val="Compact"/>
      </w:pPr>
      <w:r>
        <w:rPr>
          <w:bCs/>
          <w:b/>
        </w:rPr>
        <w:t xml:space="preserve">Recalibration.</w:t>
      </w:r>
      <w:r>
        <w:t xml:space="preserve"> </w:t>
      </w:r>
      <m:oMath>
        <m:r>
          <m:t>e</m:t>
        </m:r>
      </m:oMath>
      <w:r>
        <w:t xml:space="preserve"> </w:t>
      </w:r>
      <w:r>
        <w:t xml:space="preserve">depends on today’s book; refresh it at least weekly, and daily if flow is large relative to bucket capital.</w:t>
      </w:r>
    </w:p>
    <w:p>
      <w:pPr>
        <w:numPr>
          <w:ilvl w:val="0"/>
          <w:numId w:val="1006"/>
        </w:numPr>
        <w:pStyle w:val="Compact"/>
      </w:pPr>
      <w:r>
        <w:rPr>
          <w:bCs/>
          <w:b/>
        </w:rPr>
        <w:t xml:space="preserve">Negative RWs.</w:t>
      </w:r>
      <w:r>
        <w:t xml:space="preserve"> </w:t>
      </w:r>
      <w:r>
        <w:t xml:space="preserve">Decide whether a trade that reduces capital receives a benefit or is floored at zero.</w:t>
      </w:r>
    </w:p>
    <w:bookmarkEnd w:id="43"/>
    <w:bookmarkEnd w:id="44"/>
    <w:bookmarkStart w:id="45" w:name="limitations-and-open-questions"/>
    <w:p>
      <w:pPr>
        <w:pStyle w:val="Heading1"/>
      </w:pPr>
      <w:r>
        <w:t xml:space="preserve">5. Limitations and open questions</w:t>
      </w:r>
    </w:p>
    <w:p>
      <w:pPr>
        <w:pStyle w:val="FirstParagraph"/>
      </w:pPr>
      <w:r>
        <w:t xml:space="preserve">All figures in this memo come from the synthetic example book (</w:t>
      </w:r>
      <w:r>
        <w:rPr>
          <w:rStyle w:val="VerbatimChar"/>
        </w:rPr>
        <w:t xml:space="preserve">examples/cva_calc_rf.csv</w:t>
      </w:r>
      <w:r>
        <w:t xml:space="preserve">, CCS</w:t>
      </w:r>
      <w:r>
        <w:t xml:space="preserve"> </w:t>
      </w:r>
      <m:oMath>
        <m:r>
          <m:t>K</m:t>
        </m:r>
      </m:oMath>
      <w:r>
        <w:t xml:space="preserve"> </w:t>
      </w:r>
      <w:r>
        <w:t xml:space="preserve">= $3.76mm). They show the mechanics, not real-portfolio magnitudes.</w:t>
      </w:r>
    </w:p>
    <w:p>
      <w:pPr>
        <w:numPr>
          <w:ilvl w:val="0"/>
          <w:numId w:val="1007"/>
        </w:numPr>
        <w:pStyle w:val="Compact"/>
      </w:pPr>
      <w:r>
        <w:rPr>
          <w:bCs/>
          <w:b/>
        </w:rPr>
        <w:t xml:space="preserve">Production assumptions.</w:t>
      </w:r>
      <w:r>
        <w:t xml:space="preserve"> </w:t>
      </w:r>
      <w:r>
        <w:t xml:space="preserve">The production calculation has not been reviewed. Its tenor profile, name correlation and reference size should be confirmed before comparing figures.</w:t>
      </w:r>
    </w:p>
    <w:p>
      <w:pPr>
        <w:numPr>
          <w:ilvl w:val="0"/>
          <w:numId w:val="1007"/>
        </w:numPr>
        <w:pStyle w:val="Compact"/>
      </w:pPr>
      <w:r>
        <w:rPr>
          <w:bCs/>
          <w:b/>
        </w:rPr>
        <w:t xml:space="preserve">Real-book rerun.</w:t>
      </w:r>
      <w:r>
        <w:t xml:space="preserve"> </w:t>
      </w:r>
      <w:r>
        <w:t xml:space="preserve">The</w:t>
      </w:r>
      <w:r>
        <w:t xml:space="preserve"> </w:t>
      </w:r>
      <m:oMath>
        <m:sSub>
          <m:e>
            <m:r>
              <m:t>K</m:t>
            </m:r>
          </m:e>
          <m:sub>
            <m:r>
              <m:t>e</m:t>
            </m:r>
            <m:r>
              <m:t>f</m:t>
            </m:r>
            <m:r>
              <m:t>f</m:t>
            </m:r>
          </m:sub>
        </m:sSub>
      </m:oMath>
      <w:r>
        <w:t xml:space="preserve"> </w:t>
      </w:r>
      <w:r>
        <w:t xml:space="preserve">fit errors in section 4.2 need to be re-measured on the full portfolio, bucket by bucket.</w:t>
      </w:r>
    </w:p>
    <w:p>
      <w:pPr>
        <w:numPr>
          <w:ilvl w:val="0"/>
          <w:numId w:val="1007"/>
        </w:numPr>
        <w:pStyle w:val="Compact"/>
      </w:pPr>
      <w:r>
        <w:rPr>
          <w:bCs/>
          <w:b/>
        </w:rPr>
        <w:t xml:space="preserve">CCS Euler on the real book.</w:t>
      </w:r>
      <w:r>
        <w:t xml:space="preserve"> </w:t>
      </w:r>
      <w:r>
        <w:t xml:space="preserve">The 2026-10-05 run review found CCS Euler ≠ incremental for multi-factor sector_hedge counterparties. Until that is resolved, use the $1 incremental RW as</w:t>
      </w:r>
      <w:r>
        <w:t xml:space="preserve"> </w:t>
      </w:r>
      <m:oMath>
        <m:r>
          <m:t>e</m:t>
        </m:r>
      </m:oMath>
      <w:r>
        <w:t xml:space="preserve">; in bucket 2 of the example book the two agree within 0.1%.</w:t>
      </w:r>
    </w:p>
    <w:p>
      <w:pPr>
        <w:numPr>
          <w:ilvl w:val="0"/>
          <w:numId w:val="1007"/>
        </w:numPr>
        <w:pStyle w:val="Compact"/>
      </w:pPr>
      <w:r>
        <w:rPr>
          <w:bCs/>
          <w:b/>
        </w:rPr>
        <w:t xml:space="preserve">Many trades between recalibrations.</w:t>
      </w:r>
      <w:r>
        <w:t xml:space="preserve"> </w:t>
      </w:r>
      <w:r>
        <w:t xml:space="preserve">The curve prices one trade against today’s book. Idiosyncratic risk across many small trades diversifies; systematic flow in one bucket accumulates and is picked up only at the next recalibration.</w:t>
      </w:r>
    </w:p>
    <w:p>
      <w:pPr>
        <w:numPr>
          <w:ilvl w:val="0"/>
          <w:numId w:val="1007"/>
        </w:numPr>
        <w:pStyle w:val="Compact"/>
      </w:pPr>
      <w:r>
        <w:rPr>
          <w:bCs/>
          <w:b/>
        </w:rPr>
        <w:t xml:space="preserve">Cell averaging.</w:t>
      </w:r>
      <w:r>
        <w:t xml:space="preserve"> </w:t>
      </w:r>
      <w:r>
        <w:t xml:space="preserve">Averaging</w:t>
      </w:r>
      <w:r>
        <w:t xml:space="preserve"> </w:t>
      </w:r>
      <m:oMath>
        <m:r>
          <m:t>e</m:t>
        </m:r>
      </m:oMath>
      <w:r>
        <w:t xml:space="preserve">,</w:t>
      </w:r>
      <w:r>
        <w:t xml:space="preserve"> </w:t>
      </w:r>
      <m:oMath>
        <m:r>
          <m:t>s</m:t>
        </m:r>
      </m:oMath>
      <w:r>
        <w:t xml:space="preserve"> </w:t>
      </w:r>
      <w:r>
        <w:t xml:space="preserve">and</w:t>
      </w:r>
      <w:r>
        <w:t xml:space="preserve"> </w:t>
      </w:r>
      <m:oMath>
        <m:sSub>
          <m:e>
            <m:r>
              <m:t>i</m:t>
            </m:r>
          </m:e>
          <m:sub>
            <m:r>
              <m:t>r</m:t>
            </m:r>
            <m:r>
              <m:t>e</m:t>
            </m:r>
            <m:r>
              <m:t>f</m:t>
            </m:r>
          </m:sub>
        </m:sSub>
      </m:oMath>
      <w:r>
        <w:t xml:space="preserve"> </w:t>
      </w:r>
      <w:r>
        <w:t xml:space="preserve">across counterparties before deriving</w:t>
      </w:r>
      <w:r>
        <w:t xml:space="preserve"> </w:t>
      </w:r>
      <m:oMath>
        <m:sSub>
          <m:e>
            <m:r>
              <m:t>K</m:t>
            </m:r>
          </m:e>
          <m:sub>
            <m:r>
              <m:t>e</m:t>
            </m:r>
            <m:r>
              <m:t>f</m:t>
            </m:r>
            <m:r>
              <m:t>f</m:t>
            </m:r>
          </m:sub>
        </m:sSub>
      </m:oMath>
      <w:r>
        <w:t xml:space="preserve"> </w:t>
      </w:r>
      <w:r>
        <w:t xml:space="preserve">is an approximation, because the curve is nonlinear in its inputs.</w:t>
      </w:r>
    </w:p>
    <w:p>
      <w:pPr>
        <w:numPr>
          <w:ilvl w:val="0"/>
          <w:numId w:val="1007"/>
        </w:numPr>
        <w:pStyle w:val="Compact"/>
      </w:pPr>
      <w:r>
        <w:rPr>
          <w:bCs/>
          <w:b/>
        </w:rPr>
        <w:t xml:space="preserve">Policy decisions.</w:t>
      </w:r>
      <w:r>
        <w:t xml:space="preserve"> </w:t>
      </w:r>
      <w:r>
        <w:t xml:space="preserve">The floor level</w:t>
      </w:r>
      <w:r>
        <w:t xml:space="preserve"> </w:t>
      </w:r>
      <m:oMath>
        <m:r>
          <m:t>f</m:t>
        </m:r>
      </m:oMath>
      <w:r>
        <w:t xml:space="preserve">, the large-trade threshold and the treatment of negative RWs need sign-off from the desk and risk management.</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SA-CVA effective risk weight methodology</dc:title>
  <dc:creator/>
  <cp:keywords/>
  <dcterms:created xsi:type="dcterms:W3CDTF">2026-10-21T01:54:54Z</dcterms:created>
  <dcterms:modified xsi:type="dcterms:W3CDTF">2026-10-21T01:54:54Z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October 2026</vt:lpwstr>
  </property>
</Properties>
</file>