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JVM Full GC 频繁与 OOM 排查手册</w:t>
      </w:r>
    </w:p>
    <w:p>
      <w:pPr>
        <w:pStyle w:val="Heading1"/>
      </w:pPr>
      <w:r>
        <w:t>告警说明</w:t>
      </w:r>
    </w:p>
    <w:p>
      <w:r>
        <w:t>告警名称：JVMFullGCFrequent / JVMHeapUsageHigh</w:t>
      </w:r>
    </w:p>
    <w:p>
      <w:r>
        <w:t>触发条件：Full GC 频率 &gt; 1 次/分钟，或老年代使用率持续 &gt; 90%</w:t>
      </w:r>
    </w:p>
    <w:p>
      <w:r>
        <w:t>严重等级：Critical　负责团队：应用支撑组</w:t>
      </w:r>
    </w:p>
    <w:p>
      <w:pPr>
        <w:pStyle w:val="Heading1"/>
      </w:pPr>
      <w:r>
        <w:t>排查步骤</w:t>
      </w:r>
    </w:p>
    <w:p>
      <w:r>
        <w:t>第一步：查看 GC 日志（-Xlog:gc*），确认 Full GC 频率、停顿时长与回收效果。</w:t>
      </w:r>
    </w:p>
    <w:p>
      <w:r>
        <w:t>第二步：用 jstat -gcutil &lt;PID&gt; 1s 观察各代占用，判断是内存泄漏还是分配速率过高。</w:t>
      </w:r>
    </w:p>
    <w:p>
      <w:r>
        <w:t>第三步：jmap -histo:live &lt;PID&gt; 查看存活对象 Top N，定位疑似泄漏的类。</w:t>
      </w:r>
    </w:p>
    <w:p>
      <w:r>
        <w:t>第四步：必要时 jmap -dump 导出堆快照，用 MAT 分析支配树与 GC Roots 引用链。</w:t>
      </w:r>
    </w:p>
    <w:p>
      <w:pPr>
        <w:pStyle w:val="Heading1"/>
      </w:pPr>
      <w:r>
        <w:t>常见原因</w:t>
      </w:r>
    </w:p>
    <w:p>
      <w:r>
        <w:t>内存泄漏：静态集合无限增长、ThreadLocal 未清理、缓存无淘汰策略。</w:t>
      </w:r>
    </w:p>
    <w:p>
      <w:r>
        <w:t>堆配置不当：-Xmx 偏小或新生代比例不合理，导致对象过早晋升老年代。</w:t>
      </w:r>
    </w:p>
    <w:p>
      <w:r>
        <w:t>大对象 / 突发流量：一次性加载大结果集，瞬间撑爆堆内存。</w:t>
      </w:r>
    </w:p>
    <w:p>
      <w:pPr>
        <w:pStyle w:val="Heading1"/>
      </w:pPr>
      <w:r>
        <w:t>处置措施</w:t>
      </w:r>
    </w:p>
    <w:p>
      <w:r>
        <w:t>临时：重启实例恢复服务，并保留堆快照用于事后分析。</w:t>
      </w:r>
    </w:p>
    <w:p>
      <w:r>
        <w:t>短期：调整堆与新生代参数，必要时扩容实例分摊压力。</w:t>
      </w:r>
    </w:p>
    <w:p>
      <w:r>
        <w:t>根因：修复泄漏点，对大查询分页，对缓存设置容量上限与淘汰策略。</w:t>
      </w:r>
    </w:p>
    <w:p>
      <w:pPr>
        <w:pStyle w:val="Heading1"/>
      </w:pPr>
      <w:r>
        <w:t>升级路径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老年代使用率</w:t>
            </w:r>
          </w:p>
        </w:tc>
        <w:tc>
          <w:tcPr>
            <w:tcW w:type="dxa" w:w="4320"/>
          </w:tcPr>
          <w:p>
            <w:r>
              <w:t>操作</w:t>
            </w:r>
          </w:p>
        </w:tc>
      </w:tr>
      <w:tr>
        <w:tc>
          <w:tcPr>
            <w:tcW w:type="dxa" w:w="4320"/>
          </w:tcPr>
          <w:p>
            <w:r>
              <w:t>80%–90%</w:t>
            </w:r>
          </w:p>
        </w:tc>
        <w:tc>
          <w:tcPr>
            <w:tcW w:type="dxa" w:w="4320"/>
          </w:tcPr>
          <w:p>
            <w:r>
              <w:t>观察，准备堆快照</w:t>
            </w:r>
          </w:p>
        </w:tc>
      </w:tr>
      <w:tr>
        <w:tc>
          <w:tcPr>
            <w:tcW w:type="dxa" w:w="4320"/>
          </w:tcPr>
          <w:p>
            <w:r>
              <w:t>&gt; 90% 且频繁 FGC</w:t>
            </w:r>
          </w:p>
        </w:tc>
        <w:tc>
          <w:tcPr>
            <w:tcW w:type="dxa" w:w="4320"/>
          </w:tcPr>
          <w:p>
            <w:r>
              <w:t>导出堆快照，评估重启</w:t>
            </w:r>
          </w:p>
        </w:tc>
      </w:tr>
      <w:tr>
        <w:tc>
          <w:tcPr>
            <w:tcW w:type="dxa" w:w="4320"/>
          </w:tcPr>
          <w:p>
            <w:r>
              <w:t>已 OOM 崩溃</w:t>
            </w:r>
          </w:p>
        </w:tc>
        <w:tc>
          <w:tcPr>
            <w:tcW w:type="dxa" w:w="4320"/>
          </w:tcPr>
          <w:p>
            <w:r>
              <w:t>启动应急，重启并定位泄漏根因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