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SSL/TLS 证书过期应急手册</w:t>
      </w:r>
    </w:p>
    <w:p>
      <w:pPr>
        <w:pStyle w:val="Heading1"/>
      </w:pPr>
      <w:r>
        <w:t>告警说明</w:t>
      </w:r>
    </w:p>
    <w:p>
      <w:r>
        <w:t>告警名称：TLSCertExpiringSoon / TLSCertExpired</w:t>
      </w:r>
    </w:p>
    <w:p>
      <w:r>
        <w:t>触发条件：证书剩余有效期 &lt; 14 天（预警）或已过期（紧急）</w:t>
      </w:r>
    </w:p>
    <w:p>
      <w:r>
        <w:t>严重等级：Warning / Critical　负责团队：基础设施运维组</w:t>
      </w:r>
    </w:p>
    <w:p>
      <w:pPr>
        <w:pStyle w:val="Heading1"/>
      </w:pPr>
      <w:r>
        <w:t>影响范围</w:t>
      </w:r>
    </w:p>
    <w:p>
      <w:r>
        <w:t>证书过期会导致 HTTPS 握手失败，客户端报 CERT_DATE_INVALID，全部依赖该域名的请求中断。</w:t>
      </w:r>
    </w:p>
    <w:p>
      <w:r>
        <w:t>内部服务间 mTLS 证书过期会引发服务调用大面积失败，且不易被外部监控发现。</w:t>
      </w:r>
    </w:p>
    <w:p>
      <w:pPr>
        <w:pStyle w:val="Heading1"/>
      </w:pPr>
      <w:r>
        <w:t>排查步骤</w:t>
      </w:r>
    </w:p>
    <w:p>
      <w:r>
        <w:t>第一步：用 openssl s_client -connect host:443 查看证书有效期与签发链。</w:t>
      </w:r>
    </w:p>
    <w:p>
      <w:r>
        <w:t>第二步：确认证书部署位置（负载均衡 / 网关 / 各服务实例），避免漏换。</w:t>
      </w:r>
    </w:p>
    <w:p>
      <w:r>
        <w:t>第三步：检查证书是否由自动续期工具（如 cert-manager / certbot）管理及其失败原因。</w:t>
      </w:r>
    </w:p>
    <w:p>
      <w:pPr>
        <w:pStyle w:val="Heading1"/>
      </w:pPr>
      <w:r>
        <w:t>处置措施</w:t>
      </w:r>
    </w:p>
    <w:p>
      <w:r>
        <w:t>紧急续期：签发新证书并部署到所有终结 TLS 的节点，reload 而非重启以避免中断。</w:t>
      </w:r>
    </w:p>
    <w:p>
      <w:r>
        <w:t>验证：重新执行 openssl 检查有效期，并从外部探测 HTTPS 握手恢复正常。</w:t>
      </w:r>
    </w:p>
    <w:p>
      <w:r>
        <w:t>根因修复：补齐证书到期监控，确保自动续期任务有告警闭环。</w:t>
      </w:r>
    </w:p>
    <w:p>
      <w:pPr>
        <w:pStyle w:val="Heading1"/>
      </w:pPr>
      <w:r>
        <w:t>升级路径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剩余有效期</w:t>
            </w:r>
          </w:p>
        </w:tc>
        <w:tc>
          <w:tcPr>
            <w:tcW w:type="dxa" w:w="4320"/>
          </w:tcPr>
          <w:p>
            <w:r>
              <w:t>操作</w:t>
            </w:r>
          </w:p>
        </w:tc>
      </w:tr>
      <w:tr>
        <w:tc>
          <w:tcPr>
            <w:tcW w:type="dxa" w:w="4320"/>
          </w:tcPr>
          <w:p>
            <w:r>
              <w:t>7–14 天</w:t>
            </w:r>
          </w:p>
        </w:tc>
        <w:tc>
          <w:tcPr>
            <w:tcW w:type="dxa" w:w="4320"/>
          </w:tcPr>
          <w:p>
            <w:r>
              <w:t>提交续期工单，确认自动续期是否生效</w:t>
            </w:r>
          </w:p>
        </w:tc>
      </w:tr>
      <w:tr>
        <w:tc>
          <w:tcPr>
            <w:tcW w:type="dxa" w:w="4320"/>
          </w:tcPr>
          <w:p>
            <w:r>
              <w:t>1–7 天</w:t>
            </w:r>
          </w:p>
        </w:tc>
        <w:tc>
          <w:tcPr>
            <w:tcW w:type="dxa" w:w="4320"/>
          </w:tcPr>
          <w:p>
            <w:r>
              <w:t>人工介入续期，验证全部部署点</w:t>
            </w:r>
          </w:p>
        </w:tc>
      </w:tr>
      <w:tr>
        <w:tc>
          <w:tcPr>
            <w:tcW w:type="dxa" w:w="4320"/>
          </w:tcPr>
          <w:p>
            <w:r>
              <w:t>已过期</w:t>
            </w:r>
          </w:p>
        </w:tc>
        <w:tc>
          <w:tcPr>
            <w:tcW w:type="dxa" w:w="4320"/>
          </w:tcPr>
          <w:p>
            <w:r>
              <w:t>启动应急，最高优先级续期并恢复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