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line="580" w:lineRule="exact" w:before="0"/>
        <w:ind w:left="0" w:right="13" w:firstLine="0"/>
        <w:jc w:val="center"/>
        <w:rPr>
          <w:rFonts w:ascii="宋体" w:hAnsi="宋体" w:cs="宋体" w:eastAsia="宋体" w:hint="default"/>
          <w:sz w:val="48"/>
          <w:szCs w:val="48"/>
        </w:rPr>
      </w:pPr>
      <w:r>
        <w:rPr>
          <w:rFonts w:ascii="宋体" w:hAnsi="宋体" w:cs="宋体" w:eastAsia="宋体" w:hint="default"/>
          <w:b/>
          <w:bCs/>
          <w:sz w:val="48"/>
          <w:szCs w:val="48"/>
        </w:rPr>
        <w:t>深圳市深信泰丰（集团）股份有限公司</w:t>
      </w:r>
      <w:r>
        <w:rPr>
          <w:rFonts w:ascii="宋体" w:hAnsi="宋体" w:cs="宋体" w:eastAsia="宋体" w:hint="default"/>
          <w:sz w:val="48"/>
          <w:szCs w:val="48"/>
        </w:rPr>
      </w:r>
    </w:p>
    <w:p>
      <w:pPr>
        <w:spacing w:line="240" w:lineRule="auto" w:before="5"/>
        <w:rPr>
          <w:rFonts w:ascii="宋体" w:hAnsi="宋体" w:cs="宋体" w:eastAsia="宋体" w:hint="default"/>
          <w:b/>
          <w:bCs/>
          <w:sz w:val="47"/>
          <w:szCs w:val="47"/>
        </w:rPr>
      </w:pPr>
    </w:p>
    <w:p>
      <w:pPr>
        <w:spacing w:before="0"/>
        <w:ind w:left="0" w:right="16" w:firstLine="0"/>
        <w:jc w:val="center"/>
        <w:rPr>
          <w:rFonts w:ascii="宋体" w:hAnsi="宋体" w:cs="宋体" w:eastAsia="宋体" w:hint="default"/>
          <w:sz w:val="48"/>
          <w:szCs w:val="48"/>
        </w:rPr>
      </w:pPr>
      <w:r>
        <w:rPr>
          <w:rFonts w:ascii="宋体" w:hAnsi="宋体" w:cs="宋体" w:eastAsia="宋体" w:hint="default"/>
          <w:b/>
          <w:bCs/>
          <w:sz w:val="48"/>
          <w:szCs w:val="48"/>
        </w:rPr>
        <w:t>二〇一〇年年度报告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12"/>
        <w:rPr>
          <w:rFonts w:ascii="宋体" w:hAnsi="宋体" w:cs="宋体" w:eastAsia="宋体" w:hint="default"/>
          <w:b/>
          <w:bCs/>
          <w:sz w:val="53"/>
          <w:szCs w:val="53"/>
        </w:rPr>
      </w:pPr>
    </w:p>
    <w:p>
      <w:pPr>
        <w:spacing w:before="0"/>
        <w:ind w:left="0" w:right="16" w:firstLine="0"/>
        <w:jc w:val="center"/>
        <w:rPr>
          <w:rFonts w:ascii="宋体" w:hAnsi="宋体" w:cs="宋体" w:eastAsia="宋体" w:hint="default"/>
          <w:sz w:val="44"/>
          <w:szCs w:val="44"/>
        </w:rPr>
      </w:pPr>
      <w:r>
        <w:rPr>
          <w:rFonts w:ascii="宋体" w:hAnsi="宋体" w:cs="宋体" w:eastAsia="宋体" w:hint="default"/>
          <w:b/>
          <w:bCs/>
          <w:sz w:val="44"/>
          <w:szCs w:val="44"/>
        </w:rPr>
        <w:t>二</w:t>
      </w:r>
      <w:r>
        <w:rPr>
          <w:rFonts w:ascii="Times New Roman" w:hAnsi="Times New Roman" w:cs="Times New Roman" w:eastAsia="Times New Roman" w:hint="default"/>
          <w:b/>
          <w:bCs/>
          <w:sz w:val="72"/>
          <w:szCs w:val="72"/>
        </w:rPr>
        <w:t>○</w:t>
      </w:r>
      <w:r>
        <w:rPr>
          <w:rFonts w:ascii="宋体" w:hAnsi="宋体" w:cs="宋体" w:eastAsia="宋体" w:hint="default"/>
          <w:b/>
          <w:bCs/>
          <w:sz w:val="44"/>
          <w:szCs w:val="44"/>
        </w:rPr>
        <w:t>一一年二月二十四日</w:t>
      </w:r>
      <w:r>
        <w:rPr>
          <w:rFonts w:ascii="宋体" w:hAnsi="宋体" w:cs="宋体" w:eastAsia="宋体" w:hint="default"/>
          <w:sz w:val="44"/>
          <w:szCs w:val="44"/>
        </w:rPr>
      </w:r>
    </w:p>
    <w:p>
      <w:pPr>
        <w:spacing w:after="0"/>
        <w:jc w:val="center"/>
        <w:rPr>
          <w:rFonts w:ascii="宋体" w:hAnsi="宋体" w:cs="宋体" w:eastAsia="宋体" w:hint="default"/>
          <w:sz w:val="44"/>
          <w:szCs w:val="44"/>
        </w:rPr>
        <w:sectPr>
          <w:headerReference w:type="default" r:id="rId5"/>
          <w:footerReference w:type="default" r:id="rId6"/>
          <w:type w:val="continuous"/>
          <w:pgSz w:w="11910" w:h="16840"/>
          <w:pgMar w:header="877" w:footer="1010" w:top="1100" w:bottom="1200" w:left="1660" w:right="16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14"/>
        <w:ind w:left="3390" w:right="3446"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3"/>
        <w:rPr>
          <w:rFonts w:ascii="宋体" w:hAnsi="宋体" w:cs="宋体" w:eastAsia="宋体" w:hint="default"/>
          <w:b/>
          <w:bCs/>
          <w:sz w:val="61"/>
          <w:szCs w:val="61"/>
        </w:rPr>
      </w:pPr>
    </w:p>
    <w:p>
      <w:pPr>
        <w:pStyle w:val="Heading2"/>
        <w:spacing w:line="408" w:lineRule="auto" w:before="0"/>
        <w:ind w:right="194"/>
        <w:jc w:val="both"/>
      </w:pPr>
      <w:r>
        <w:rPr>
          <w:spacing w:val="-4"/>
        </w:rPr>
        <w:t>公司董事会、监事会及董事、监事、高级管理人员保证本报告所</w:t>
      </w:r>
      <w:r>
        <w:rPr>
          <w:w w:val="99"/>
        </w:rPr>
        <w:t> </w:t>
      </w:r>
      <w:r>
        <w:rPr>
          <w:spacing w:val="-4"/>
        </w:rPr>
        <w:t>载资料不存在任何虚假记载、误导性陈述或者重大遗漏，并对其内容</w:t>
      </w:r>
      <w:r>
        <w:rPr>
          <w:spacing w:val="-125"/>
        </w:rPr>
        <w:t> </w:t>
      </w:r>
      <w:r>
        <w:rPr>
          <w:spacing w:val="-125"/>
        </w:rPr>
      </w:r>
      <w:r>
        <w:rPr/>
        <w:t>的真实性、准确性和完整性负个别及连带责任。</w:t>
      </w:r>
    </w:p>
    <w:p>
      <w:pPr>
        <w:pStyle w:val="Heading2"/>
        <w:spacing w:line="386" w:lineRule="auto"/>
        <w:ind w:right="194"/>
        <w:jc w:val="both"/>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日召开了六届十三次董事会，应出席会议董</w:t>
      </w:r>
      <w:r>
        <w:rPr>
          <w:w w:val="99"/>
        </w:rPr>
        <w:t> </w:t>
      </w:r>
      <w:r>
        <w:rPr>
          <w:spacing w:val="-3"/>
        </w:rPr>
        <w:t>事</w:t>
      </w:r>
      <w:r>
        <w:rPr>
          <w:rFonts w:ascii="Times New Roman" w:hAnsi="Times New Roman" w:cs="Times New Roman" w:eastAsia="Times New Roman" w:hint="default"/>
          <w:spacing w:val="-3"/>
        </w:rPr>
        <w:t>7</w:t>
      </w:r>
      <w:r>
        <w:rPr>
          <w:spacing w:val="-3"/>
        </w:rPr>
        <w:t>名，实际出席会议董事</w:t>
      </w:r>
      <w:r>
        <w:rPr>
          <w:rFonts w:ascii="Times New Roman" w:hAnsi="Times New Roman" w:cs="Times New Roman" w:eastAsia="Times New Roman" w:hint="default"/>
          <w:spacing w:val="-3"/>
        </w:rPr>
        <w:t>7</w:t>
      </w:r>
      <w:r>
        <w:rPr>
          <w:spacing w:val="-3"/>
        </w:rPr>
        <w:t>名，会议审议通过了公司</w:t>
      </w:r>
      <w:r>
        <w:rPr>
          <w:rFonts w:ascii="Times New Roman" w:hAnsi="Times New Roman" w:cs="Times New Roman" w:eastAsia="Times New Roman" w:hint="default"/>
          <w:spacing w:val="-3"/>
        </w:rPr>
        <w:t>2010</w:t>
      </w:r>
      <w:r>
        <w:rPr>
          <w:spacing w:val="-3"/>
        </w:rPr>
        <w:t>年年度报告</w:t>
      </w:r>
      <w:r>
        <w:rPr>
          <w:w w:val="99"/>
        </w:rPr>
        <w:t> </w:t>
      </w:r>
      <w:r>
        <w:rPr/>
        <w:t>全文及摘要。</w:t>
      </w:r>
    </w:p>
    <w:p>
      <w:pPr>
        <w:pStyle w:val="Heading2"/>
        <w:spacing w:line="408" w:lineRule="auto" w:before="87"/>
        <w:ind w:right="106"/>
        <w:jc w:val="both"/>
      </w:pPr>
      <w:r>
        <w:rPr/>
        <w:t>公司全体董事、监事及高级管理人员均对本报告内容的真实性、</w:t>
      </w:r>
      <w:r>
        <w:rPr>
          <w:w w:val="99"/>
        </w:rPr>
        <w:t> </w:t>
      </w:r>
      <w:r>
        <w:rPr/>
        <w:t>准确性、完整性无异议。</w:t>
      </w:r>
    </w:p>
    <w:p>
      <w:pPr>
        <w:pStyle w:val="Heading2"/>
        <w:spacing w:line="408" w:lineRule="auto"/>
        <w:ind w:right="367"/>
        <w:jc w:val="left"/>
      </w:pPr>
      <w:r>
        <w:rPr/>
        <w:t>中审国际会计师事务所有限公司为本公司出具了标准无保留意</w:t>
      </w:r>
      <w:r>
        <w:rPr>
          <w:w w:val="99"/>
        </w:rPr>
        <w:t> </w:t>
      </w:r>
      <w:r>
        <w:rPr/>
        <w:t>见的审计报告。</w:t>
      </w:r>
    </w:p>
    <w:p>
      <w:pPr>
        <w:pStyle w:val="Heading2"/>
        <w:spacing w:line="408" w:lineRule="auto"/>
        <w:ind w:right="194"/>
        <w:jc w:val="both"/>
      </w:pPr>
      <w:r>
        <w:rPr>
          <w:spacing w:val="-4"/>
        </w:rPr>
        <w:t>公司负责人晏群、主管会计工作负责人梁侠及会计机构负责人林</w:t>
      </w:r>
      <w:r>
        <w:rPr>
          <w:w w:val="99"/>
        </w:rPr>
        <w:t> </w:t>
      </w:r>
      <w:r>
        <w:rPr/>
        <w:t>小浓声明：保证年度报告中财务报告的真实、完整。</w:t>
      </w:r>
    </w:p>
    <w:p>
      <w:pPr>
        <w:spacing w:after="0" w:line="408" w:lineRule="auto"/>
        <w:jc w:val="both"/>
        <w:sectPr>
          <w:footerReference w:type="default" r:id="rId7"/>
          <w:pgSz w:w="11910" w:h="16840"/>
          <w:pgMar w:footer="975" w:header="877" w:top="1100" w:bottom="1160" w:left="1660" w:right="1600"/>
          <w:pgNumType w:start="2"/>
        </w:sectPr>
      </w:pPr>
    </w:p>
    <w:p>
      <w:pPr>
        <w:spacing w:line="240" w:lineRule="auto" w:before="12"/>
        <w:rPr>
          <w:rFonts w:ascii="宋体" w:hAnsi="宋体" w:cs="宋体" w:eastAsia="宋体" w:hint="default"/>
          <w:sz w:val="26"/>
          <w:szCs w:val="26"/>
        </w:rPr>
      </w:pPr>
    </w:p>
    <w:p>
      <w:pPr>
        <w:tabs>
          <w:tab w:pos="1264" w:val="left" w:leader="none"/>
        </w:tabs>
        <w:spacing w:line="460" w:lineRule="exact" w:before="0"/>
        <w:ind w:left="0" w:right="16"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536" w:val="left" w:leader="none"/>
              <w:tab w:pos="7694" w:val="left" w:leader="dot"/>
            </w:tabs>
            <w:spacing w:line="240" w:lineRule="auto" w:before="840"/>
            <w:ind w:right="104"/>
            <w:jc w:val="left"/>
            <w:rPr>
              <w:rFonts w:ascii="Times New Roman" w:hAnsi="Times New Roman" w:cs="Times New Roman" w:eastAsia="Times New Roman" w:hint="default"/>
            </w:rPr>
          </w:pPr>
          <w:hyperlink w:history="true" w:anchor="_TOC_250009">
            <w:r>
              <w:rPr>
                <w:w w:val="95"/>
              </w:rPr>
              <w:t>第一节</w:t>
              <w:tab/>
              <w:t>公司基本情况简介</w:t>
            </w:r>
            <w:r>
              <w:rPr>
                <w:rFonts w:ascii="Times New Roman" w:hAnsi="Times New Roman" w:cs="Times New Roman" w:eastAsia="Times New Roman" w:hint="default"/>
                <w:w w:val="95"/>
              </w:rPr>
              <w:tab/>
            </w:r>
            <w:r>
              <w:rPr>
                <w:rFonts w:ascii="Times New Roman" w:hAnsi="Times New Roman" w:cs="Times New Roman" w:eastAsia="Times New Roman" w:hint="default"/>
              </w:rPr>
              <w:t>4</w:t>
            </w:r>
          </w:hyperlink>
        </w:p>
        <w:p>
          <w:pPr>
            <w:pStyle w:val="TOC1"/>
            <w:tabs>
              <w:tab w:pos="1536" w:val="left" w:leader="none"/>
              <w:tab w:pos="7695" w:val="left" w:leader="dot"/>
            </w:tabs>
            <w:spacing w:line="240" w:lineRule="auto"/>
            <w:ind w:right="104"/>
            <w:jc w:val="left"/>
            <w:rPr>
              <w:rFonts w:ascii="Times New Roman" w:hAnsi="Times New Roman" w:cs="Times New Roman" w:eastAsia="Times New Roman" w:hint="default"/>
            </w:rPr>
          </w:pPr>
          <w:hyperlink w:history="true" w:anchor="_TOC_250008">
            <w:r>
              <w:rPr>
                <w:w w:val="95"/>
              </w:rPr>
              <w:t>第二节</w:t>
              <w:tab/>
              <w:t>会计数据和业务数据摘要</w:t>
            </w:r>
            <w:r>
              <w:rPr>
                <w:rFonts w:ascii="Times New Roman" w:hAnsi="Times New Roman" w:cs="Times New Roman" w:eastAsia="Times New Roman" w:hint="default"/>
                <w:w w:val="95"/>
              </w:rPr>
              <w:tab/>
            </w:r>
            <w:r>
              <w:rPr>
                <w:rFonts w:ascii="Times New Roman" w:hAnsi="Times New Roman" w:cs="Times New Roman" w:eastAsia="Times New Roman" w:hint="default"/>
              </w:rPr>
              <w:t>6</w:t>
            </w:r>
          </w:hyperlink>
        </w:p>
        <w:p>
          <w:pPr>
            <w:pStyle w:val="TOC1"/>
            <w:tabs>
              <w:tab w:pos="1536" w:val="left" w:leader="none"/>
              <w:tab w:pos="7694" w:val="left" w:leader="dot"/>
            </w:tabs>
            <w:spacing w:line="240" w:lineRule="auto"/>
            <w:ind w:right="104"/>
            <w:jc w:val="left"/>
            <w:rPr>
              <w:rFonts w:ascii="Times New Roman" w:hAnsi="Times New Roman" w:cs="Times New Roman" w:eastAsia="Times New Roman" w:hint="default"/>
            </w:rPr>
          </w:pPr>
          <w:hyperlink w:history="true" w:anchor="_TOC_250007">
            <w:r>
              <w:rPr>
                <w:w w:val="95"/>
              </w:rPr>
              <w:t>第三节</w:t>
              <w:tab/>
              <w:t>股本变动及股东情况</w:t>
            </w:r>
            <w:r>
              <w:rPr>
                <w:rFonts w:ascii="Times New Roman" w:hAnsi="Times New Roman" w:cs="Times New Roman" w:eastAsia="Times New Roman" w:hint="default"/>
                <w:w w:val="95"/>
              </w:rPr>
              <w:tab/>
            </w:r>
            <w:r>
              <w:rPr>
                <w:rFonts w:ascii="Times New Roman" w:hAnsi="Times New Roman" w:cs="Times New Roman" w:eastAsia="Times New Roman" w:hint="default"/>
              </w:rPr>
              <w:t>8</w:t>
            </w:r>
          </w:hyperlink>
        </w:p>
        <w:p>
          <w:pPr>
            <w:pStyle w:val="TOC1"/>
            <w:tabs>
              <w:tab w:pos="1536" w:val="left" w:leader="none"/>
              <w:tab w:pos="7624" w:val="left" w:leader="dot"/>
            </w:tabs>
            <w:spacing w:line="240" w:lineRule="auto"/>
            <w:ind w:right="104"/>
            <w:jc w:val="left"/>
            <w:rPr>
              <w:rFonts w:ascii="Times New Roman" w:hAnsi="Times New Roman" w:cs="Times New Roman" w:eastAsia="Times New Roman" w:hint="default"/>
            </w:rPr>
          </w:pPr>
          <w:hyperlink w:history="true" w:anchor="_TOC_250006">
            <w:r>
              <w:rPr>
                <w:w w:val="95"/>
              </w:rPr>
              <w:t>第四节</w:t>
              <w:tab/>
              <w:t>董事、监事、高级管理人员和员工情况</w:t>
            </w:r>
            <w:r>
              <w:rPr>
                <w:rFonts w:ascii="Times New Roman" w:hAnsi="Times New Roman" w:cs="Times New Roman" w:eastAsia="Times New Roman" w:hint="default"/>
                <w:w w:val="95"/>
              </w:rPr>
              <w:tab/>
            </w:r>
            <w:r>
              <w:rPr>
                <w:rFonts w:ascii="Times New Roman" w:hAnsi="Times New Roman" w:cs="Times New Roman" w:eastAsia="Times New Roman" w:hint="default"/>
              </w:rPr>
              <w:t>14</w:t>
            </w:r>
          </w:hyperlink>
        </w:p>
        <w:p>
          <w:pPr>
            <w:pStyle w:val="TOC1"/>
            <w:tabs>
              <w:tab w:pos="1536" w:val="left" w:leader="none"/>
              <w:tab w:pos="7624" w:val="left" w:leader="dot"/>
            </w:tabs>
            <w:spacing w:line="240" w:lineRule="auto"/>
            <w:ind w:right="104"/>
            <w:jc w:val="left"/>
            <w:rPr>
              <w:rFonts w:ascii="Times New Roman" w:hAnsi="Times New Roman" w:cs="Times New Roman" w:eastAsia="Times New Roman" w:hint="default"/>
            </w:rPr>
          </w:pPr>
          <w:hyperlink w:history="true" w:anchor="_TOC_250005">
            <w:r>
              <w:rPr>
                <w:w w:val="95"/>
              </w:rPr>
              <w:t>第五节</w:t>
              <w:tab/>
              <w:t>公司治理结构</w:t>
            </w:r>
            <w:r>
              <w:rPr>
                <w:rFonts w:ascii="Times New Roman" w:hAnsi="Times New Roman" w:cs="Times New Roman" w:eastAsia="Times New Roman" w:hint="default"/>
                <w:w w:val="95"/>
              </w:rPr>
              <w:tab/>
            </w:r>
            <w:r>
              <w:rPr>
                <w:rFonts w:ascii="Times New Roman" w:hAnsi="Times New Roman" w:cs="Times New Roman" w:eastAsia="Times New Roman" w:hint="default"/>
              </w:rPr>
              <w:t>17</w:t>
            </w:r>
          </w:hyperlink>
        </w:p>
        <w:p>
          <w:pPr>
            <w:pStyle w:val="TOC1"/>
            <w:tabs>
              <w:tab w:pos="1536" w:val="left" w:leader="none"/>
              <w:tab w:pos="7623" w:val="left" w:leader="dot"/>
            </w:tabs>
            <w:spacing w:line="240" w:lineRule="auto"/>
            <w:ind w:right="104"/>
            <w:jc w:val="left"/>
            <w:rPr>
              <w:rFonts w:ascii="Times New Roman" w:hAnsi="Times New Roman" w:cs="Times New Roman" w:eastAsia="Times New Roman" w:hint="default"/>
            </w:rPr>
          </w:pPr>
          <w:hyperlink w:history="true" w:anchor="_TOC_250004">
            <w:r>
              <w:rPr>
                <w:w w:val="95"/>
              </w:rPr>
              <w:t>第六节</w:t>
              <w:tab/>
              <w:t>股东大会情况简介</w:t>
            </w:r>
            <w:r>
              <w:rPr>
                <w:rFonts w:ascii="Times New Roman" w:hAnsi="Times New Roman" w:cs="Times New Roman" w:eastAsia="Times New Roman" w:hint="default"/>
                <w:w w:val="95"/>
              </w:rPr>
              <w:tab/>
            </w:r>
            <w:r>
              <w:rPr>
                <w:rFonts w:ascii="Times New Roman" w:hAnsi="Times New Roman" w:cs="Times New Roman" w:eastAsia="Times New Roman" w:hint="default"/>
              </w:rPr>
              <w:t>21</w:t>
            </w:r>
          </w:hyperlink>
        </w:p>
        <w:p>
          <w:pPr>
            <w:pStyle w:val="TOC1"/>
            <w:tabs>
              <w:tab w:pos="1536" w:val="left" w:leader="none"/>
              <w:tab w:pos="7624" w:val="left" w:leader="dot"/>
            </w:tabs>
            <w:spacing w:line="240" w:lineRule="auto"/>
            <w:ind w:right="104"/>
            <w:jc w:val="left"/>
            <w:rPr>
              <w:rFonts w:ascii="Times New Roman" w:hAnsi="Times New Roman" w:cs="Times New Roman" w:eastAsia="Times New Roman" w:hint="default"/>
            </w:rPr>
          </w:pPr>
          <w:hyperlink w:history="true" w:anchor="_TOC_250003">
            <w:r>
              <w:rPr>
                <w:w w:val="95"/>
              </w:rPr>
              <w:t>第七节</w:t>
              <w:tab/>
              <w:t>董事会报告</w:t>
            </w:r>
            <w:r>
              <w:rPr>
                <w:rFonts w:ascii="Times New Roman" w:hAnsi="Times New Roman" w:cs="Times New Roman" w:eastAsia="Times New Roman" w:hint="default"/>
                <w:w w:val="95"/>
              </w:rPr>
              <w:tab/>
            </w:r>
            <w:r>
              <w:rPr>
                <w:rFonts w:ascii="Times New Roman" w:hAnsi="Times New Roman" w:cs="Times New Roman" w:eastAsia="Times New Roman" w:hint="default"/>
              </w:rPr>
              <w:t>22</w:t>
            </w:r>
          </w:hyperlink>
        </w:p>
        <w:p>
          <w:pPr>
            <w:pStyle w:val="TOC1"/>
            <w:tabs>
              <w:tab w:pos="1536" w:val="left" w:leader="none"/>
              <w:tab w:pos="7624" w:val="left" w:leader="dot"/>
            </w:tabs>
            <w:spacing w:line="240" w:lineRule="auto"/>
            <w:ind w:right="104"/>
            <w:jc w:val="left"/>
            <w:rPr>
              <w:rFonts w:ascii="Times New Roman" w:hAnsi="Times New Roman" w:cs="Times New Roman" w:eastAsia="Times New Roman" w:hint="default"/>
            </w:rPr>
          </w:pPr>
          <w:hyperlink w:history="true" w:anchor="_TOC_250002">
            <w:r>
              <w:rPr>
                <w:w w:val="95"/>
              </w:rPr>
              <w:t>第八节</w:t>
              <w:tab/>
              <w:t>监事会报告</w:t>
            </w:r>
            <w:r>
              <w:rPr>
                <w:rFonts w:ascii="Times New Roman" w:hAnsi="Times New Roman" w:cs="Times New Roman" w:eastAsia="Times New Roman" w:hint="default"/>
                <w:w w:val="95"/>
              </w:rPr>
              <w:tab/>
            </w:r>
            <w:r>
              <w:rPr>
                <w:rFonts w:ascii="Times New Roman" w:hAnsi="Times New Roman" w:cs="Times New Roman" w:eastAsia="Times New Roman" w:hint="default"/>
              </w:rPr>
              <w:t>33</w:t>
            </w:r>
          </w:hyperlink>
        </w:p>
        <w:p>
          <w:pPr>
            <w:pStyle w:val="TOC1"/>
            <w:tabs>
              <w:tab w:pos="1536" w:val="left" w:leader="none"/>
              <w:tab w:pos="7624" w:val="left" w:leader="dot"/>
            </w:tabs>
            <w:spacing w:line="240" w:lineRule="auto"/>
            <w:ind w:right="104"/>
            <w:jc w:val="left"/>
            <w:rPr>
              <w:rFonts w:ascii="Times New Roman" w:hAnsi="Times New Roman" w:cs="Times New Roman" w:eastAsia="Times New Roman" w:hint="default"/>
            </w:rPr>
          </w:pPr>
          <w:hyperlink w:history="true" w:anchor="_TOC_250001">
            <w:r>
              <w:rPr>
                <w:w w:val="95"/>
              </w:rPr>
              <w:t>第九节</w:t>
              <w:tab/>
              <w:t>重要事项</w:t>
            </w:r>
            <w:r>
              <w:rPr>
                <w:rFonts w:ascii="Times New Roman" w:hAnsi="Times New Roman" w:cs="Times New Roman" w:eastAsia="Times New Roman" w:hint="default"/>
                <w:w w:val="95"/>
              </w:rPr>
              <w:tab/>
            </w:r>
            <w:r>
              <w:rPr>
                <w:rFonts w:ascii="Times New Roman" w:hAnsi="Times New Roman" w:cs="Times New Roman" w:eastAsia="Times New Roman" w:hint="default"/>
              </w:rPr>
              <w:t>34</w:t>
            </w:r>
          </w:hyperlink>
        </w:p>
        <w:p>
          <w:pPr>
            <w:pStyle w:val="TOC1"/>
            <w:tabs>
              <w:tab w:pos="1536" w:val="left" w:leader="none"/>
              <w:tab w:pos="7624" w:val="left" w:leader="dot"/>
            </w:tabs>
            <w:spacing w:line="240" w:lineRule="auto"/>
            <w:ind w:right="104"/>
            <w:jc w:val="left"/>
            <w:rPr>
              <w:rFonts w:ascii="Times New Roman" w:hAnsi="Times New Roman" w:cs="Times New Roman" w:eastAsia="Times New Roman" w:hint="default"/>
            </w:rPr>
          </w:pPr>
          <w:hyperlink w:history="true" w:anchor="_TOC_250000">
            <w:r>
              <w:rPr>
                <w:w w:val="95"/>
              </w:rPr>
              <w:t>第十节</w:t>
              <w:tab/>
              <w:t>财务报告</w:t>
            </w:r>
            <w:r>
              <w:rPr>
                <w:rFonts w:ascii="Times New Roman" w:hAnsi="Times New Roman" w:cs="Times New Roman" w:eastAsia="Times New Roman" w:hint="default"/>
                <w:w w:val="95"/>
              </w:rPr>
              <w:tab/>
            </w:r>
            <w:r>
              <w:rPr>
                <w:rFonts w:ascii="Times New Roman" w:hAnsi="Times New Roman" w:cs="Times New Roman" w:eastAsia="Times New Roman" w:hint="default"/>
              </w:rPr>
              <w:t>40</w:t>
            </w:r>
          </w:hyperlink>
        </w:p>
        <w:p>
          <w:pPr>
            <w:pStyle w:val="TOC1"/>
            <w:tabs>
              <w:tab w:pos="1535" w:val="left" w:leader="none"/>
              <w:tab w:pos="7554" w:val="left" w:leader="dot"/>
            </w:tabs>
            <w:spacing w:line="240" w:lineRule="auto"/>
            <w:ind w:left="136" w:right="104"/>
            <w:jc w:val="left"/>
            <w:rPr>
              <w:rFonts w:ascii="Times New Roman" w:hAnsi="Times New Roman" w:cs="Times New Roman" w:eastAsia="Times New Roman" w:hint="default"/>
            </w:rPr>
          </w:pPr>
          <w:r>
            <w:rPr>
              <w:w w:val="95"/>
            </w:rPr>
            <w:t>第十一节</w:t>
            <w:tab/>
            <w:t>备查文件目录</w:t>
          </w:r>
          <w:r>
            <w:rPr>
              <w:rFonts w:ascii="Times New Roman" w:hAnsi="Times New Roman" w:cs="Times New Roman" w:eastAsia="Times New Roman" w:hint="default"/>
              <w:w w:val="95"/>
            </w:rPr>
            <w:tab/>
          </w:r>
          <w:r>
            <w:rPr>
              <w:rFonts w:ascii="Times New Roman" w:hAnsi="Times New Roman" w:cs="Times New Roman" w:eastAsia="Times New Roman" w:hint="default"/>
            </w:rPr>
            <w:t>122</w:t>
          </w:r>
        </w:p>
      </w:sdtContent>
    </w:sdt>
    <w:p>
      <w:pPr>
        <w:spacing w:after="0" w:line="240" w:lineRule="auto"/>
        <w:jc w:val="left"/>
        <w:rPr>
          <w:rFonts w:ascii="Times New Roman" w:hAnsi="Times New Roman" w:cs="Times New Roman" w:eastAsia="Times New Roman" w:hint="default"/>
        </w:rPr>
        <w:sectPr>
          <w:pgSz w:w="11910" w:h="16840"/>
          <w:pgMar w:header="877" w:footer="975" w:top="1100" w:bottom="1200" w:left="1660" w:right="1640"/>
        </w:sectPr>
      </w:pPr>
    </w:p>
    <w:p>
      <w:pPr>
        <w:spacing w:line="240" w:lineRule="auto" w:before="11"/>
        <w:rPr>
          <w:rFonts w:ascii="Times New Roman" w:hAnsi="Times New Roman" w:cs="Times New Roman" w:eastAsia="Times New Roman" w:hint="default"/>
          <w:sz w:val="29"/>
          <w:szCs w:val="29"/>
        </w:rPr>
      </w:pPr>
    </w:p>
    <w:p>
      <w:pPr>
        <w:pStyle w:val="Heading1"/>
        <w:tabs>
          <w:tab w:pos="3731" w:val="left" w:leader="none"/>
        </w:tabs>
        <w:spacing w:line="240" w:lineRule="auto" w:before="0"/>
        <w:ind w:left="2607" w:right="104"/>
        <w:jc w:val="left"/>
        <w:rPr>
          <w:b w:val="0"/>
          <w:bCs w:val="0"/>
        </w:rPr>
      </w:pPr>
      <w:bookmarkStart w:name="_TOC_250009" w:id="1"/>
      <w:r>
        <w:rPr>
          <w:w w:val="95"/>
        </w:rPr>
        <w:t>第一节</w:t>
        <w:tab/>
      </w:r>
      <w:r>
        <w:rPr/>
        <w:t>公司基本情况简介</w:t>
      </w:r>
      <w:bookmarkEnd w:id="1"/>
      <w:r>
        <w:rPr>
          <w:b w:val="0"/>
          <w:bCs w:val="0"/>
        </w:rPr>
      </w:r>
    </w:p>
    <w:p>
      <w:pPr>
        <w:spacing w:line="240" w:lineRule="auto" w:before="8"/>
        <w:rPr>
          <w:rFonts w:ascii="宋体" w:hAnsi="宋体" w:cs="宋体" w:eastAsia="宋体" w:hint="default"/>
          <w:b/>
          <w:bCs/>
          <w:sz w:val="40"/>
          <w:szCs w:val="40"/>
        </w:rPr>
      </w:pPr>
    </w:p>
    <w:p>
      <w:pPr>
        <w:pStyle w:val="Heading3"/>
        <w:spacing w:line="240" w:lineRule="auto"/>
        <w:ind w:left="137" w:right="104"/>
        <w:jc w:val="left"/>
        <w:rPr>
          <w:b w:val="0"/>
          <w:bCs w:val="0"/>
        </w:rPr>
      </w:pPr>
      <w:r>
        <w:rPr/>
        <w:t>一、公司法定名称</w:t>
      </w:r>
      <w:r>
        <w:rPr>
          <w:b w:val="0"/>
          <w:bCs w:val="0"/>
        </w:rPr>
      </w:r>
    </w:p>
    <w:p>
      <w:pPr>
        <w:pStyle w:val="BodyText"/>
        <w:spacing w:line="240" w:lineRule="auto" w:before="85"/>
        <w:ind w:left="557" w:right="104"/>
        <w:jc w:val="left"/>
      </w:pPr>
      <w:r>
        <w:rPr/>
        <w:t>（一）中文名称：深圳市深信泰丰（集团）股份有限公司</w:t>
      </w:r>
    </w:p>
    <w:p>
      <w:pPr>
        <w:pStyle w:val="BodyText"/>
        <w:spacing w:line="240" w:lineRule="auto" w:before="85"/>
        <w:ind w:left="557" w:right="104"/>
        <w:jc w:val="left"/>
        <w:rPr>
          <w:rFonts w:ascii="Times New Roman" w:hAnsi="Times New Roman" w:cs="Times New Roman" w:eastAsia="Times New Roman" w:hint="default"/>
        </w:rPr>
      </w:pPr>
      <w:r>
        <w:rPr/>
        <w:t>（二）英文名称：</w:t>
      </w:r>
      <w:r>
        <w:rPr>
          <w:rFonts w:ascii="Times New Roman" w:hAnsi="Times New Roman" w:cs="Times New Roman" w:eastAsia="Times New Roman" w:hint="default"/>
        </w:rPr>
        <w:t>SHENZHEN SHENXIN TAIFENG GROUP CO.,</w:t>
      </w:r>
      <w:r>
        <w:rPr>
          <w:rFonts w:ascii="Times New Roman" w:hAnsi="Times New Roman" w:cs="Times New Roman" w:eastAsia="Times New Roman" w:hint="default"/>
          <w:spacing w:val="-28"/>
        </w:rPr>
        <w:t> </w:t>
      </w:r>
      <w:r>
        <w:rPr>
          <w:rFonts w:ascii="Times New Roman" w:hAnsi="Times New Roman" w:cs="Times New Roman" w:eastAsia="Times New Roman" w:hint="default"/>
        </w:rPr>
        <w:t>LTD</w:t>
      </w:r>
    </w:p>
    <w:p>
      <w:pPr>
        <w:spacing w:line="314" w:lineRule="auto" w:before="69"/>
        <w:ind w:left="137" w:right="4667" w:firstLine="420"/>
        <w:jc w:val="left"/>
        <w:rPr>
          <w:rFonts w:ascii="宋体" w:hAnsi="宋体" w:cs="宋体" w:eastAsia="宋体" w:hint="default"/>
          <w:sz w:val="21"/>
          <w:szCs w:val="21"/>
        </w:rPr>
      </w:pPr>
      <w:r>
        <w:rPr>
          <w:rFonts w:ascii="宋体" w:hAnsi="宋体" w:cs="宋体" w:eastAsia="宋体" w:hint="default"/>
          <w:sz w:val="21"/>
          <w:szCs w:val="21"/>
        </w:rPr>
        <w:t>（三）公司中文名称缩写：深信泰丰 </w:t>
      </w:r>
      <w:r>
        <w:rPr>
          <w:rFonts w:ascii="宋体" w:hAnsi="宋体" w:cs="宋体" w:eastAsia="宋体" w:hint="default"/>
          <w:b/>
          <w:bCs/>
          <w:sz w:val="21"/>
          <w:szCs w:val="21"/>
        </w:rPr>
        <w:t>二、公司法定代表人</w:t>
      </w:r>
      <w:r>
        <w:rPr>
          <w:rFonts w:ascii="宋体" w:hAnsi="宋体" w:cs="宋体" w:eastAsia="宋体" w:hint="default"/>
          <w:sz w:val="21"/>
          <w:szCs w:val="21"/>
        </w:rPr>
      </w:r>
    </w:p>
    <w:p>
      <w:pPr>
        <w:spacing w:line="314" w:lineRule="auto" w:before="20"/>
        <w:ind w:left="137" w:right="104" w:firstLine="420"/>
        <w:jc w:val="left"/>
        <w:rPr>
          <w:rFonts w:ascii="宋体" w:hAnsi="宋体" w:cs="宋体" w:eastAsia="宋体" w:hint="default"/>
          <w:sz w:val="21"/>
          <w:szCs w:val="21"/>
        </w:rPr>
      </w:pPr>
      <w:r>
        <w:rPr>
          <w:rFonts w:ascii="宋体" w:hAnsi="宋体" w:cs="宋体" w:eastAsia="宋体" w:hint="default"/>
          <w:sz w:val="21"/>
          <w:szCs w:val="21"/>
        </w:rPr>
        <w:t>公司法定代表人：晏群 </w:t>
      </w:r>
      <w:r>
        <w:rPr>
          <w:rFonts w:ascii="宋体" w:hAnsi="宋体" w:cs="宋体" w:eastAsia="宋体" w:hint="default"/>
          <w:w w:val="95"/>
          <w:sz w:val="21"/>
          <w:szCs w:val="21"/>
        </w:rPr>
        <w:t>三、</w:t>
      </w:r>
      <w:r>
        <w:rPr>
          <w:rFonts w:ascii="宋体" w:hAnsi="宋体" w:cs="宋体" w:eastAsia="宋体" w:hint="default"/>
          <w:b/>
          <w:bCs/>
          <w:w w:val="95"/>
          <w:sz w:val="21"/>
          <w:szCs w:val="21"/>
        </w:rPr>
        <w:t>公司董事会秘书及证券事务代表的姓名、联系地址、电话、传真、电子信箱</w:t>
      </w:r>
      <w:r>
        <w:rPr>
          <w:rFonts w:ascii="宋体" w:hAnsi="宋体" w:cs="宋体" w:eastAsia="宋体" w:hint="default"/>
          <w:sz w:val="21"/>
          <w:szCs w:val="21"/>
        </w:rPr>
      </w:r>
    </w:p>
    <w:p>
      <w:pPr>
        <w:pStyle w:val="BodyText"/>
        <w:spacing w:line="304" w:lineRule="auto" w:before="20"/>
        <w:ind w:left="557" w:right="3634"/>
        <w:jc w:val="left"/>
        <w:rPr>
          <w:rFonts w:ascii="Times New Roman" w:hAnsi="Times New Roman" w:cs="Times New Roman" w:eastAsia="Times New Roman" w:hint="default"/>
        </w:rPr>
      </w:pPr>
      <w:r>
        <w:rPr/>
        <w:t>（一）公司董事会秘书：张小立 联系地址：深圳市宝安区宝城</w:t>
      </w:r>
      <w:r>
        <w:rPr>
          <w:rFonts w:ascii="Times New Roman" w:hAnsi="Times New Roman" w:cs="Times New Roman" w:eastAsia="Times New Roman" w:hint="default"/>
        </w:rPr>
        <w:t>23</w:t>
      </w:r>
      <w:r>
        <w:rPr/>
        <w:t>区大宝路风采轩 联系电话：</w:t>
      </w:r>
      <w:r>
        <w:rPr>
          <w:rFonts w:ascii="Times New Roman" w:hAnsi="Times New Roman" w:cs="Times New Roman" w:eastAsia="Times New Roman" w:hint="default"/>
        </w:rPr>
        <w:t>0755--27596453</w:t>
      </w:r>
    </w:p>
    <w:p>
      <w:pPr>
        <w:pStyle w:val="BodyText"/>
        <w:tabs>
          <w:tab w:pos="1188" w:val="left" w:leader="none"/>
        </w:tabs>
        <w:spacing w:line="240" w:lineRule="auto" w:before="6"/>
        <w:ind w:left="557" w:right="104"/>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0755--27596456</w:t>
      </w:r>
    </w:p>
    <w:p>
      <w:pPr>
        <w:pStyle w:val="BodyText"/>
        <w:spacing w:line="240" w:lineRule="auto" w:before="69"/>
        <w:ind w:left="557" w:right="104"/>
        <w:jc w:val="left"/>
        <w:rPr>
          <w:rFonts w:ascii="Times New Roman" w:hAnsi="Times New Roman" w:cs="Times New Roman" w:eastAsia="Times New Roman" w:hint="default"/>
        </w:rPr>
      </w:pPr>
      <w:r>
        <w:rPr/>
        <w:t>电子信箱：</w:t>
      </w:r>
      <w:hyperlink r:id="rId8">
        <w:r>
          <w:rPr>
            <w:rFonts w:ascii="Times New Roman" w:hAnsi="Times New Roman" w:cs="Times New Roman" w:eastAsia="Times New Roman" w:hint="default"/>
          </w:rPr>
          <w:t>xlzh1123@126.com</w:t>
        </w:r>
      </w:hyperlink>
    </w:p>
    <w:p>
      <w:pPr>
        <w:pStyle w:val="BodyText"/>
        <w:spacing w:line="304" w:lineRule="auto" w:before="69"/>
        <w:ind w:left="557" w:right="3634"/>
        <w:jc w:val="left"/>
        <w:rPr>
          <w:rFonts w:ascii="Times New Roman" w:hAnsi="Times New Roman" w:cs="Times New Roman" w:eastAsia="Times New Roman" w:hint="default"/>
        </w:rPr>
      </w:pPr>
      <w:r>
        <w:rPr/>
        <w:t>（二）证券事务代表：孙德志 联系地址：深圳市宝安区宝城</w:t>
      </w:r>
      <w:r>
        <w:rPr>
          <w:rFonts w:ascii="Times New Roman" w:hAnsi="Times New Roman" w:cs="Times New Roman" w:eastAsia="Times New Roman" w:hint="default"/>
        </w:rPr>
        <w:t>23</w:t>
      </w:r>
      <w:r>
        <w:rPr/>
        <w:t>区大宝路风采轩 联系电话：</w:t>
      </w:r>
      <w:r>
        <w:rPr>
          <w:rFonts w:ascii="Times New Roman" w:hAnsi="Times New Roman" w:cs="Times New Roman" w:eastAsia="Times New Roman" w:hint="default"/>
        </w:rPr>
        <w:t>0755--27596457</w:t>
      </w:r>
    </w:p>
    <w:p>
      <w:pPr>
        <w:pStyle w:val="BodyText"/>
        <w:tabs>
          <w:tab w:pos="1188" w:val="left" w:leader="none"/>
        </w:tabs>
        <w:spacing w:line="240" w:lineRule="auto" w:before="6"/>
        <w:ind w:left="557" w:right="104"/>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0755--27596456</w:t>
      </w:r>
    </w:p>
    <w:p>
      <w:pPr>
        <w:spacing w:line="297" w:lineRule="auto" w:before="69"/>
        <w:ind w:left="137" w:right="4652" w:firstLine="420"/>
        <w:jc w:val="left"/>
        <w:rPr>
          <w:rFonts w:ascii="宋体" w:hAnsi="宋体" w:cs="宋体" w:eastAsia="宋体" w:hint="default"/>
          <w:sz w:val="21"/>
          <w:szCs w:val="21"/>
        </w:rPr>
      </w:pPr>
      <w:r>
        <w:rPr>
          <w:rFonts w:ascii="宋体" w:hAnsi="宋体" w:cs="宋体" w:eastAsia="宋体" w:hint="default"/>
          <w:sz w:val="21"/>
          <w:szCs w:val="21"/>
        </w:rPr>
        <w:t>电子信箱：</w:t>
      </w:r>
      <w:hyperlink r:id="rId9">
        <w:r>
          <w:rPr>
            <w:rFonts w:ascii="Times New Roman" w:hAnsi="Times New Roman" w:cs="Times New Roman" w:eastAsia="Times New Roman" w:hint="default"/>
            <w:sz w:val="21"/>
            <w:szCs w:val="21"/>
          </w:rPr>
          <w:t>coolsunsun@163.com</w:t>
        </w:r>
      </w:hyperlink>
      <w:r>
        <w:rPr>
          <w:rFonts w:ascii="Times New Roman" w:hAnsi="Times New Roman" w:cs="Times New Roman" w:eastAsia="Times New Roman" w:hint="default"/>
          <w:sz w:val="21"/>
          <w:szCs w:val="21"/>
        </w:rPr>
        <w:t> </w:t>
      </w:r>
      <w:r>
        <w:rPr>
          <w:rFonts w:ascii="宋体" w:hAnsi="宋体" w:cs="宋体" w:eastAsia="宋体" w:hint="default"/>
          <w:b/>
          <w:bCs/>
          <w:sz w:val="21"/>
          <w:szCs w:val="21"/>
        </w:rPr>
        <w:t>四、公司注册地址、办公地址及邮政编码</w:t>
      </w:r>
      <w:r>
        <w:rPr>
          <w:rFonts w:ascii="宋体" w:hAnsi="宋体" w:cs="宋体" w:eastAsia="宋体" w:hint="default"/>
          <w:sz w:val="21"/>
          <w:szCs w:val="21"/>
        </w:rPr>
      </w:r>
    </w:p>
    <w:p>
      <w:pPr>
        <w:pStyle w:val="BodyText"/>
        <w:spacing w:line="240" w:lineRule="auto" w:before="34"/>
        <w:ind w:left="557" w:right="104"/>
        <w:jc w:val="left"/>
      </w:pPr>
      <w:r>
        <w:rPr/>
        <w:t>（一）公司注册地址：深圳市宝安区宝城宝民一路</w:t>
      </w:r>
      <w:r>
        <w:rPr>
          <w:rFonts w:ascii="Times New Roman" w:hAnsi="Times New Roman" w:cs="Times New Roman" w:eastAsia="Times New Roman" w:hint="default"/>
        </w:rPr>
        <w:t>102</w:t>
      </w:r>
      <w:r>
        <w:rPr/>
        <w:t>号</w:t>
      </w:r>
    </w:p>
    <w:p>
      <w:pPr>
        <w:pStyle w:val="BodyText"/>
        <w:spacing w:line="240" w:lineRule="auto" w:before="69"/>
        <w:ind w:left="557" w:right="104"/>
        <w:jc w:val="left"/>
      </w:pPr>
      <w:r>
        <w:rPr/>
        <w:t>（二）公司办公地址：深圳市宝安区宝城</w:t>
      </w:r>
      <w:r>
        <w:rPr>
          <w:rFonts w:ascii="Times New Roman" w:hAnsi="Times New Roman" w:cs="Times New Roman" w:eastAsia="Times New Roman" w:hint="default"/>
        </w:rPr>
        <w:t>23</w:t>
      </w:r>
      <w:r>
        <w:rPr/>
        <w:t>区大宝路风采轩</w:t>
      </w:r>
    </w:p>
    <w:p>
      <w:pPr>
        <w:spacing w:line="297" w:lineRule="auto" w:before="69"/>
        <w:ind w:left="137" w:right="104" w:firstLine="420"/>
        <w:jc w:val="left"/>
        <w:rPr>
          <w:rFonts w:ascii="宋体" w:hAnsi="宋体" w:cs="宋体" w:eastAsia="宋体" w:hint="default"/>
          <w:sz w:val="21"/>
          <w:szCs w:val="21"/>
        </w:rPr>
      </w:pPr>
      <w:r>
        <w:rPr>
          <w:rFonts w:ascii="宋体" w:hAnsi="宋体" w:cs="宋体" w:eastAsia="宋体" w:hint="default"/>
          <w:sz w:val="21"/>
          <w:szCs w:val="21"/>
        </w:rPr>
        <w:t>（三）邮政编码：</w:t>
      </w:r>
      <w:r>
        <w:rPr>
          <w:rFonts w:ascii="Times New Roman" w:hAnsi="Times New Roman" w:cs="Times New Roman" w:eastAsia="Times New Roman" w:hint="default"/>
          <w:sz w:val="21"/>
          <w:szCs w:val="21"/>
        </w:rPr>
        <w:t>518101 </w:t>
      </w:r>
      <w:r>
        <w:rPr>
          <w:rFonts w:ascii="宋体" w:hAnsi="宋体" w:cs="宋体" w:eastAsia="宋体" w:hint="default"/>
          <w:b/>
          <w:bCs/>
          <w:w w:val="95"/>
          <w:sz w:val="21"/>
          <w:szCs w:val="21"/>
        </w:rPr>
        <w:t>五、公司选定的信息披露报纸名称、登载年度报告的中国证监会指定网站的网址、公司年</w:t>
      </w:r>
      <w:r>
        <w:rPr>
          <w:rFonts w:ascii="宋体" w:hAnsi="宋体" w:cs="宋体" w:eastAsia="宋体" w:hint="default"/>
          <w:sz w:val="21"/>
          <w:szCs w:val="21"/>
        </w:rPr>
      </w:r>
    </w:p>
    <w:p>
      <w:pPr>
        <w:pStyle w:val="Heading3"/>
        <w:spacing w:line="240" w:lineRule="auto" w:before="34"/>
        <w:ind w:left="543" w:right="104"/>
        <w:jc w:val="left"/>
        <w:rPr>
          <w:b w:val="0"/>
          <w:bCs w:val="0"/>
        </w:rPr>
      </w:pPr>
      <w:r>
        <w:rPr/>
        <w:t>度报告备置地点</w:t>
      </w:r>
      <w:r>
        <w:rPr>
          <w:b w:val="0"/>
          <w:bCs w:val="0"/>
        </w:rPr>
      </w:r>
    </w:p>
    <w:p>
      <w:pPr>
        <w:pStyle w:val="BodyText"/>
        <w:spacing w:line="240" w:lineRule="auto" w:before="85"/>
        <w:ind w:left="557" w:right="104"/>
        <w:jc w:val="left"/>
      </w:pPr>
      <w:r>
        <w:rPr/>
        <w:t>（一）公司选定的信息披露报纸名称：《证券时报》</w:t>
      </w:r>
    </w:p>
    <w:p>
      <w:pPr>
        <w:pStyle w:val="BodyText"/>
        <w:spacing w:line="240" w:lineRule="auto" w:before="85"/>
        <w:ind w:left="557" w:right="104"/>
        <w:jc w:val="left"/>
      </w:pPr>
      <w:r>
        <w:rPr/>
        <w:t>（二）登载公司年度报告的中国证监会指定的国际互联网网址：</w:t>
      </w:r>
    </w:p>
    <w:p>
      <w:pPr>
        <w:pStyle w:val="BodyText"/>
        <w:spacing w:line="240" w:lineRule="auto" w:before="134"/>
        <w:ind w:left="137" w:right="104"/>
        <w:jc w:val="left"/>
        <w:rPr>
          <w:rFonts w:ascii="Times New Roman" w:hAnsi="Times New Roman" w:cs="Times New Roman" w:eastAsia="Times New Roman" w:hint="default"/>
        </w:rPr>
      </w:pPr>
      <w:r>
        <w:rPr>
          <w:rFonts w:ascii="Times New Roman"/>
        </w:rPr>
      </w:r>
      <w:hyperlink r:id="rId10">
        <w:r>
          <w:rPr>
            <w:rFonts w:ascii="Times New Roman"/>
            <w:u w:val="single" w:color="000000"/>
          </w:rPr>
          <w:t>http://www.cninfo.com.cn</w:t>
        </w:r>
        <w:r>
          <w:rPr>
            <w:rFonts w:ascii="Times New Roman"/>
          </w:rPr>
        </w:r>
      </w:hyperlink>
    </w:p>
    <w:p>
      <w:pPr>
        <w:spacing w:line="314" w:lineRule="auto" w:before="70"/>
        <w:ind w:left="137" w:right="3407" w:firstLine="420"/>
        <w:jc w:val="left"/>
        <w:rPr>
          <w:rFonts w:ascii="宋体" w:hAnsi="宋体" w:cs="宋体" w:eastAsia="宋体" w:hint="default"/>
          <w:sz w:val="21"/>
          <w:szCs w:val="21"/>
        </w:rPr>
      </w:pPr>
      <w:r>
        <w:rPr>
          <w:rFonts w:ascii="宋体" w:hAnsi="宋体" w:cs="宋体" w:eastAsia="宋体" w:hint="default"/>
          <w:sz w:val="21"/>
          <w:szCs w:val="21"/>
        </w:rPr>
        <w:t>（三）公司年度报告备置地点：公司董事会秘书处 </w:t>
      </w:r>
      <w:r>
        <w:rPr>
          <w:rFonts w:ascii="宋体" w:hAnsi="宋体" w:cs="宋体" w:eastAsia="宋体" w:hint="default"/>
          <w:b/>
          <w:bCs/>
          <w:sz w:val="21"/>
          <w:szCs w:val="21"/>
        </w:rPr>
        <w:t>六、公司股票上市交易所、股票简称和股票代码</w:t>
      </w:r>
      <w:r>
        <w:rPr>
          <w:rFonts w:ascii="宋体" w:hAnsi="宋体" w:cs="宋体" w:eastAsia="宋体" w:hint="default"/>
          <w:sz w:val="21"/>
          <w:szCs w:val="21"/>
        </w:rPr>
      </w:r>
    </w:p>
    <w:p>
      <w:pPr>
        <w:pStyle w:val="BodyText"/>
        <w:spacing w:line="240" w:lineRule="auto" w:before="20"/>
        <w:ind w:left="557" w:right="104"/>
        <w:jc w:val="left"/>
      </w:pPr>
      <w:r>
        <w:rPr/>
        <w:t>（一）股票上市交易所：深圳证券交易所</w:t>
      </w:r>
    </w:p>
    <w:p>
      <w:pPr>
        <w:pStyle w:val="BodyText"/>
        <w:spacing w:line="240" w:lineRule="auto" w:before="85"/>
        <w:ind w:left="557" w:right="104"/>
        <w:jc w:val="left"/>
      </w:pPr>
      <w:r>
        <w:rPr/>
        <w:t>（二）股票简称：</w:t>
      </w:r>
      <w:r>
        <w:rPr>
          <w:rFonts w:ascii="Times New Roman" w:hAnsi="Times New Roman" w:cs="Times New Roman" w:eastAsia="Times New Roman" w:hint="default"/>
        </w:rPr>
        <w:t>ST</w:t>
      </w:r>
      <w:r>
        <w:rPr/>
        <w:t>深泰</w:t>
      </w:r>
    </w:p>
    <w:p>
      <w:pPr>
        <w:spacing w:line="297" w:lineRule="auto" w:before="69"/>
        <w:ind w:left="137" w:right="5717" w:firstLine="420"/>
        <w:jc w:val="left"/>
        <w:rPr>
          <w:rFonts w:ascii="宋体" w:hAnsi="宋体" w:cs="宋体" w:eastAsia="宋体" w:hint="default"/>
          <w:sz w:val="21"/>
          <w:szCs w:val="21"/>
        </w:rPr>
      </w:pPr>
      <w:r>
        <w:rPr>
          <w:rFonts w:ascii="宋体" w:hAnsi="宋体" w:cs="宋体" w:eastAsia="宋体" w:hint="default"/>
          <w:sz w:val="21"/>
          <w:szCs w:val="21"/>
        </w:rPr>
        <w:t>（三）股票代码：</w:t>
      </w:r>
      <w:r>
        <w:rPr>
          <w:rFonts w:ascii="Times New Roman" w:hAnsi="Times New Roman" w:cs="Times New Roman" w:eastAsia="Times New Roman" w:hint="default"/>
          <w:sz w:val="21"/>
          <w:szCs w:val="21"/>
        </w:rPr>
        <w:t>000034 </w:t>
      </w:r>
      <w:r>
        <w:rPr>
          <w:rFonts w:ascii="宋体" w:hAnsi="宋体" w:cs="宋体" w:eastAsia="宋体" w:hint="default"/>
          <w:b/>
          <w:bCs/>
          <w:sz w:val="21"/>
          <w:szCs w:val="21"/>
        </w:rPr>
        <w:t>七、公司其他有关情况</w:t>
      </w:r>
      <w:r>
        <w:rPr>
          <w:rFonts w:ascii="宋体" w:hAnsi="宋体" w:cs="宋体" w:eastAsia="宋体" w:hint="default"/>
          <w:sz w:val="21"/>
          <w:szCs w:val="21"/>
        </w:rPr>
      </w:r>
    </w:p>
    <w:p>
      <w:pPr>
        <w:pStyle w:val="BodyText"/>
        <w:spacing w:line="240" w:lineRule="auto" w:before="34"/>
        <w:ind w:left="557" w:right="104"/>
        <w:jc w:val="left"/>
      </w:pPr>
      <w:r>
        <w:rPr/>
        <w:t>（一）公司首次登记注册日期、地点</w:t>
      </w:r>
    </w:p>
    <w:p>
      <w:pPr>
        <w:pStyle w:val="BodyText"/>
        <w:spacing w:line="240" w:lineRule="auto" w:before="85"/>
        <w:ind w:left="0" w:right="1607"/>
        <w:jc w:val="center"/>
      </w:pPr>
      <w:r>
        <w:rPr>
          <w:rFonts w:ascii="Times New Roman" w:hAnsi="Times New Roman" w:cs="Times New Roman" w:eastAsia="Times New Roman" w:hint="default"/>
        </w:rPr>
        <w:t>1982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日在原深圳市工商行政管理局登记注册</w:t>
      </w:r>
    </w:p>
    <w:p>
      <w:pPr>
        <w:pStyle w:val="BodyText"/>
        <w:spacing w:line="240" w:lineRule="auto" w:before="69"/>
        <w:ind w:left="557" w:right="104"/>
        <w:jc w:val="left"/>
      </w:pPr>
      <w:r>
        <w:rPr/>
        <w:t>（二）公司变更注册登记日期、地点</w:t>
      </w:r>
    </w:p>
    <w:p>
      <w:pPr>
        <w:pStyle w:val="BodyText"/>
        <w:spacing w:line="240" w:lineRule="auto" w:before="85"/>
        <w:ind w:left="0" w:right="1502"/>
        <w:jc w:val="center"/>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日在原深圳市工商行政管理局变更登记</w:t>
      </w:r>
    </w:p>
    <w:p>
      <w:pPr>
        <w:spacing w:after="0" w:line="240" w:lineRule="auto"/>
        <w:jc w:val="center"/>
        <w:sectPr>
          <w:pgSz w:w="11910" w:h="16840"/>
          <w:pgMar w:header="877" w:footer="975" w:top="1100" w:bottom="1160" w:left="1660" w:right="1640"/>
        </w:sectPr>
      </w:pPr>
    </w:p>
    <w:p>
      <w:pPr>
        <w:spacing w:line="240" w:lineRule="auto" w:before="10"/>
        <w:rPr>
          <w:rFonts w:ascii="宋体" w:hAnsi="宋体" w:cs="宋体" w:eastAsia="宋体" w:hint="default"/>
          <w:sz w:val="24"/>
          <w:szCs w:val="24"/>
        </w:rPr>
      </w:pPr>
    </w:p>
    <w:p>
      <w:pPr>
        <w:pStyle w:val="BodyText"/>
        <w:spacing w:line="240" w:lineRule="auto" w:before="35"/>
        <w:ind w:left="637" w:right="0"/>
        <w:jc w:val="left"/>
      </w:pPr>
      <w:r>
        <w:rPr/>
        <w:t>（三）企业法人营业执照注册号</w:t>
      </w:r>
    </w:p>
    <w:p>
      <w:pPr>
        <w:pStyle w:val="BodyText"/>
        <w:spacing w:line="240" w:lineRule="auto" w:before="125"/>
        <w:ind w:left="1267" w:right="0"/>
        <w:jc w:val="left"/>
        <w:rPr>
          <w:rFonts w:ascii="Times New Roman" w:hAnsi="Times New Roman" w:cs="Times New Roman" w:eastAsia="Times New Roman" w:hint="default"/>
        </w:rPr>
      </w:pPr>
      <w:r>
        <w:rPr>
          <w:rFonts w:ascii="Times New Roman"/>
        </w:rPr>
        <w:t>4403 0110 3553</w:t>
      </w:r>
      <w:r>
        <w:rPr>
          <w:rFonts w:ascii="Times New Roman"/>
          <w:spacing w:val="-8"/>
        </w:rPr>
        <w:t> </w:t>
      </w:r>
      <w:r>
        <w:rPr>
          <w:rFonts w:ascii="Times New Roman"/>
        </w:rPr>
        <w:t>063</w:t>
      </w:r>
    </w:p>
    <w:p>
      <w:pPr>
        <w:pStyle w:val="BodyText"/>
        <w:spacing w:line="240" w:lineRule="auto" w:before="58"/>
        <w:ind w:left="637" w:right="0"/>
        <w:jc w:val="left"/>
      </w:pPr>
      <w:r>
        <w:rPr/>
        <w:t>（四）税务登记号</w:t>
      </w:r>
    </w:p>
    <w:p>
      <w:pPr>
        <w:pStyle w:val="BodyText"/>
        <w:spacing w:line="240" w:lineRule="auto" w:before="125"/>
        <w:ind w:left="1267" w:right="0"/>
        <w:jc w:val="left"/>
        <w:rPr>
          <w:rFonts w:ascii="Times New Roman" w:hAnsi="Times New Roman" w:cs="Times New Roman" w:eastAsia="Times New Roman" w:hint="default"/>
        </w:rPr>
      </w:pPr>
      <w:r>
        <w:rPr>
          <w:rFonts w:ascii="Times New Roman"/>
        </w:rPr>
        <w:t>44030 019218</w:t>
      </w:r>
      <w:r>
        <w:rPr>
          <w:rFonts w:ascii="Times New Roman"/>
          <w:spacing w:val="-7"/>
        </w:rPr>
        <w:t> </w:t>
      </w:r>
      <w:r>
        <w:rPr>
          <w:rFonts w:ascii="Times New Roman"/>
        </w:rPr>
        <w:t>259X</w:t>
      </w:r>
    </w:p>
    <w:p>
      <w:pPr>
        <w:pStyle w:val="BodyText"/>
        <w:spacing w:line="240" w:lineRule="auto" w:before="59"/>
        <w:ind w:left="637" w:right="0"/>
        <w:jc w:val="left"/>
      </w:pPr>
      <w:r>
        <w:rPr/>
        <w:t>（五）组织机构代码</w:t>
      </w:r>
    </w:p>
    <w:p>
      <w:pPr>
        <w:pStyle w:val="BodyText"/>
        <w:spacing w:line="240" w:lineRule="auto" w:before="123"/>
        <w:ind w:left="1267" w:right="0"/>
        <w:jc w:val="left"/>
        <w:rPr>
          <w:rFonts w:ascii="Times New Roman" w:hAnsi="Times New Roman" w:cs="Times New Roman" w:eastAsia="Times New Roman" w:hint="default"/>
        </w:rPr>
      </w:pPr>
      <w:r>
        <w:rPr>
          <w:rFonts w:ascii="Times New Roman"/>
        </w:rPr>
        <w:t>19218259-X</w:t>
      </w:r>
    </w:p>
    <w:p>
      <w:pPr>
        <w:pStyle w:val="BodyText"/>
        <w:spacing w:line="240" w:lineRule="auto" w:before="68"/>
        <w:ind w:left="637" w:right="0"/>
        <w:jc w:val="left"/>
      </w:pPr>
      <w:r>
        <w:rPr/>
        <w:t>（六）聘请的会计师事务所名称、办公地址</w:t>
      </w:r>
    </w:p>
    <w:p>
      <w:pPr>
        <w:pStyle w:val="BodyText"/>
        <w:tabs>
          <w:tab w:pos="1898" w:val="left" w:leader="none"/>
        </w:tabs>
        <w:spacing w:line="240" w:lineRule="auto" w:before="27"/>
        <w:ind w:left="1267" w:right="0"/>
        <w:jc w:val="left"/>
      </w:pPr>
      <w:r>
        <w:rPr/>
        <w:t>名</w:t>
        <w:tab/>
        <w:t>称：</w:t>
      </w:r>
      <w:r>
        <w:rPr>
          <w:spacing w:val="-2"/>
        </w:rPr>
        <w:t> </w:t>
      </w:r>
      <w:r>
        <w:rPr/>
        <w:t>中审国际会计师事务所有限公司</w:t>
      </w:r>
    </w:p>
    <w:p>
      <w:pPr>
        <w:pStyle w:val="BodyText"/>
        <w:spacing w:line="240" w:lineRule="auto" w:before="94"/>
        <w:ind w:left="1267" w:right="0"/>
        <w:jc w:val="left"/>
      </w:pPr>
      <w:r>
        <w:rPr/>
        <w:t>办公地址：</w:t>
      </w:r>
      <w:r>
        <w:rPr>
          <w:spacing w:val="-2"/>
        </w:rPr>
        <w:t> </w:t>
      </w:r>
      <w:r>
        <w:rPr/>
        <w:t>北京市海淀区阜成路</w:t>
      </w:r>
      <w:r>
        <w:rPr>
          <w:spacing w:val="-54"/>
        </w:rPr>
        <w:t> </w:t>
      </w:r>
      <w:r>
        <w:rPr>
          <w:rFonts w:ascii="Times New Roman" w:hAnsi="Times New Roman" w:cs="Times New Roman" w:eastAsia="Times New Roman" w:hint="default"/>
        </w:rPr>
        <w:t>73</w:t>
      </w:r>
      <w:r>
        <w:rPr>
          <w:rFonts w:ascii="Times New Roman" w:hAnsi="Times New Roman" w:cs="Times New Roman" w:eastAsia="Times New Roman" w:hint="default"/>
          <w:spacing w:val="-2"/>
        </w:rPr>
        <w:t> </w:t>
      </w:r>
      <w:r>
        <w:rPr/>
        <w:t>号裕惠大厦</w:t>
      </w:r>
      <w:r>
        <w:rPr>
          <w:spacing w:val="-54"/>
        </w:rPr>
        <w:t> </w:t>
      </w: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t>座</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层</w:t>
      </w:r>
    </w:p>
    <w:p>
      <w:pPr>
        <w:spacing w:line="240" w:lineRule="auto" w:before="2"/>
        <w:rPr>
          <w:rFonts w:ascii="宋体" w:hAnsi="宋体" w:cs="宋体" w:eastAsia="宋体" w:hint="default"/>
          <w:sz w:val="32"/>
          <w:szCs w:val="32"/>
        </w:rPr>
      </w:pPr>
    </w:p>
    <w:p>
      <w:pPr>
        <w:pStyle w:val="Heading3"/>
        <w:spacing w:line="240" w:lineRule="auto"/>
        <w:ind w:left="217" w:right="0"/>
        <w:jc w:val="left"/>
        <w:rPr>
          <w:b w:val="0"/>
          <w:bCs w:val="0"/>
        </w:rPr>
      </w:pPr>
      <w:r>
        <w:rPr/>
        <w:t>八、释义</w:t>
      </w:r>
      <w:r>
        <w:rPr>
          <w:b w:val="0"/>
          <w:bCs w:val="0"/>
        </w:rPr>
      </w:r>
    </w:p>
    <w:p>
      <w:pPr>
        <w:pStyle w:val="BodyText"/>
        <w:spacing w:line="240" w:lineRule="auto" w:before="26"/>
        <w:ind w:left="639" w:right="0"/>
        <w:jc w:val="left"/>
      </w:pPr>
      <w:r>
        <w:rPr/>
        <w:t>除特别注明外，本报告的以下简称所代表的内容是：</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548"/>
        <w:gridCol w:w="4680"/>
        <w:gridCol w:w="2300"/>
      </w:tblGrid>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简称</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代表内容</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20" w:right="0"/>
              <w:jc w:val="left"/>
              <w:rPr>
                <w:rFonts w:ascii="宋体" w:hAnsi="宋体" w:cs="宋体" w:eastAsia="宋体" w:hint="default"/>
                <w:sz w:val="21"/>
                <w:szCs w:val="21"/>
              </w:rPr>
            </w:pPr>
            <w:r>
              <w:rPr>
                <w:rFonts w:ascii="宋体" w:hAnsi="宋体" w:cs="宋体" w:eastAsia="宋体" w:hint="default"/>
                <w:sz w:val="21"/>
                <w:szCs w:val="21"/>
              </w:rPr>
              <w:t>与公司关系</w:t>
            </w:r>
          </w:p>
        </w:tc>
      </w:tr>
      <w:tr>
        <w:trPr>
          <w:trHeight w:val="709"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5"/>
                <w:sz w:val="21"/>
                <w:szCs w:val="21"/>
              </w:rPr>
              <w:t> </w:t>
            </w:r>
            <w:r>
              <w:rPr>
                <w:rFonts w:ascii="宋体" w:hAnsi="宋体" w:cs="宋体" w:eastAsia="宋体" w:hint="default"/>
                <w:spacing w:val="13"/>
                <w:sz w:val="21"/>
                <w:szCs w:val="21"/>
              </w:rPr>
              <w:t>本公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w:t>
            </w:r>
          </w:p>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集团公司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深圳市深信泰丰（集团）股份有限公司</w:t>
            </w: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泰丰科技公司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深圳市泰丰科技有限公司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汇德祥公司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深圳市汇德祥贸易有限公司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华宝饲料公司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深圳市华宝（集团）饲料有限公司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泰丰投资公司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深圳市深信泰丰投资发展有限公司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华宝实业公司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深圳市宝安华宝实业有限公司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华宝物业公司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深圳市华宝西部物业管理有限公司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西部公司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深圳市深信西部房地产有限公司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华宝经发公司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深圳市龙岗区华宝经济发展有限公司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中委公司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深圳市中委农业投资有限公司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的企业</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希格玛公司</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中国希格玛有限公司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控股股东</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宝投</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深圳市宝安区投资管理有限公司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第二大股东</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重庆润江</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重庆润江基础设施投资有限公司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第三大股东</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深国投</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第四大股东</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监管机构</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深圳证监局</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中国证券监督管理委员会深圳监管局</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监管机构</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深圳中院</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深圳市中级人民法院</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重整案件受理法院</w:t>
            </w:r>
          </w:p>
        </w:tc>
      </w:tr>
      <w:tr>
        <w:trPr>
          <w:trHeight w:val="7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34"/>
              <w:ind w:left="103" w:right="101"/>
              <w:jc w:val="left"/>
              <w:rPr>
                <w:rFonts w:ascii="宋体" w:hAnsi="宋体" w:cs="宋体" w:eastAsia="宋体" w:hint="default"/>
                <w:sz w:val="21"/>
                <w:szCs w:val="21"/>
              </w:rPr>
            </w:pPr>
            <w:r>
              <w:rPr>
                <w:rFonts w:ascii="宋体" w:hAnsi="宋体" w:cs="宋体" w:eastAsia="宋体" w:hint="default"/>
                <w:sz w:val="21"/>
                <w:szCs w:val="21"/>
              </w:rPr>
              <w:t>公司管理人</w:t>
            </w:r>
            <w:r>
              <w:rPr>
                <w:rFonts w:ascii="Times New Roman" w:hAnsi="Times New Roman" w:cs="Times New Roman" w:eastAsia="Times New Roman" w:hint="default"/>
                <w:sz w:val="21"/>
                <w:szCs w:val="21"/>
              </w:rPr>
              <w:t>/</w:t>
            </w:r>
            <w:r>
              <w:rPr>
                <w:rFonts w:ascii="宋体" w:hAnsi="宋体" w:cs="宋体" w:eastAsia="宋体" w:hint="default"/>
                <w:sz w:val="21"/>
                <w:szCs w:val="21"/>
              </w:rPr>
              <w:t>管</w:t>
            </w:r>
            <w:r>
              <w:rPr>
                <w:rFonts w:ascii="宋体" w:hAnsi="宋体" w:cs="宋体" w:eastAsia="宋体" w:hint="default"/>
                <w:spacing w:val="-95"/>
                <w:sz w:val="21"/>
                <w:szCs w:val="21"/>
              </w:rPr>
              <w:t> </w:t>
            </w:r>
            <w:r>
              <w:rPr>
                <w:rFonts w:ascii="宋体" w:hAnsi="宋体" w:cs="宋体" w:eastAsia="宋体" w:hint="default"/>
                <w:sz w:val="21"/>
                <w:szCs w:val="21"/>
              </w:rPr>
              <w:t>理人</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4"/>
              <w:ind w:left="103" w:right="102"/>
              <w:jc w:val="left"/>
              <w:rPr>
                <w:rFonts w:ascii="宋体" w:hAnsi="宋体" w:cs="宋体" w:eastAsia="宋体" w:hint="default"/>
                <w:sz w:val="21"/>
                <w:szCs w:val="21"/>
              </w:rPr>
            </w:pPr>
            <w:r>
              <w:rPr>
                <w:rFonts w:ascii="宋体" w:hAnsi="宋体" w:cs="宋体" w:eastAsia="宋体" w:hint="default"/>
                <w:spacing w:val="2"/>
                <w:sz w:val="21"/>
                <w:szCs w:val="21"/>
              </w:rPr>
              <w:t>深圳市深信泰丰（集团）股份有限公司管理人或</w:t>
            </w:r>
            <w:r>
              <w:rPr>
                <w:rFonts w:ascii="宋体" w:hAnsi="宋体" w:cs="宋体" w:eastAsia="宋体" w:hint="default"/>
                <w:sz w:val="21"/>
                <w:szCs w:val="21"/>
              </w:rPr>
              <w:t> 公司及下属四家子公司破产重整管理人的统称</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4"/>
              <w:ind w:left="103" w:right="78"/>
              <w:jc w:val="left"/>
              <w:rPr>
                <w:rFonts w:ascii="宋体" w:hAnsi="宋体" w:cs="宋体" w:eastAsia="宋体" w:hint="default"/>
                <w:sz w:val="21"/>
                <w:szCs w:val="21"/>
              </w:rPr>
            </w:pPr>
            <w:r>
              <w:rPr>
                <w:rFonts w:ascii="宋体" w:hAnsi="宋体" w:cs="宋体" w:eastAsia="宋体" w:hint="default"/>
                <w:spacing w:val="21"/>
                <w:sz w:val="21"/>
                <w:szCs w:val="21"/>
              </w:rPr>
              <w:t>公司及下属四家子公</w:t>
            </w:r>
            <w:r>
              <w:rPr>
                <w:rFonts w:ascii="宋体" w:hAnsi="宋体" w:cs="宋体" w:eastAsia="宋体" w:hint="default"/>
                <w:spacing w:val="-102"/>
                <w:sz w:val="21"/>
                <w:szCs w:val="21"/>
              </w:rPr>
              <w:t> </w:t>
            </w:r>
            <w:r>
              <w:rPr>
                <w:rFonts w:ascii="宋体" w:hAnsi="宋体" w:cs="宋体" w:eastAsia="宋体" w:hint="default"/>
                <w:sz w:val="21"/>
                <w:szCs w:val="21"/>
              </w:rPr>
              <w:t>司重整管理人</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35"/>
              <w:jc w:val="left"/>
              <w:rPr>
                <w:rFonts w:ascii="宋体" w:hAnsi="宋体" w:cs="宋体" w:eastAsia="宋体" w:hint="default"/>
                <w:sz w:val="21"/>
                <w:szCs w:val="21"/>
              </w:rPr>
            </w:pPr>
            <w:r>
              <w:rPr>
                <w:rFonts w:ascii="宋体" w:hAnsi="宋体" w:cs="宋体" w:eastAsia="宋体" w:hint="default"/>
                <w:sz w:val="21"/>
                <w:szCs w:val="21"/>
              </w:rPr>
              <w:t>《企业破产法》</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《中华人民共和国企业破产法》</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公司重整适用的法律</w:t>
            </w:r>
          </w:p>
        </w:tc>
      </w:tr>
      <w:tr>
        <w:trPr>
          <w:trHeight w:val="151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90" w:lineRule="auto" w:before="172"/>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pacing w:val="31"/>
                <w:sz w:val="21"/>
                <w:szCs w:val="21"/>
              </w:rPr>
              <w:t>模式</w:t>
            </w:r>
            <w:r>
              <w:rPr>
                <w:rFonts w:ascii="宋体" w:hAnsi="宋体" w:cs="宋体" w:eastAsia="宋体" w:hint="default"/>
                <w:spacing w:val="-35"/>
                <w:sz w:val="21"/>
                <w:szCs w:val="21"/>
              </w:rPr>
              <w:t> </w:t>
            </w:r>
            <w:r>
              <w:rPr>
                <w:rFonts w:ascii="宋体" w:hAnsi="宋体" w:cs="宋体" w:eastAsia="宋体" w:hint="default"/>
                <w:sz w:val="21"/>
                <w:szCs w:val="21"/>
              </w:rPr>
              <w:t>的</w:t>
            </w:r>
            <w:r>
              <w:rPr>
                <w:rFonts w:ascii="宋体" w:hAnsi="宋体" w:cs="宋体" w:eastAsia="宋体" w:hint="default"/>
                <w:sz w:val="21"/>
                <w:szCs w:val="21"/>
              </w:rPr>
              <w:t> 破产重整</w:t>
            </w:r>
          </w:p>
        </w:tc>
        <w:tc>
          <w:tcPr>
            <w:tcW w:w="6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3" w:right="23"/>
              <w:jc w:val="both"/>
              <w:rPr>
                <w:rFonts w:ascii="宋体" w:hAnsi="宋体" w:cs="宋体" w:eastAsia="宋体" w:hint="default"/>
                <w:sz w:val="21"/>
                <w:szCs w:val="21"/>
              </w:rPr>
            </w:pPr>
            <w:r>
              <w:rPr>
                <w:rFonts w:ascii="宋体" w:hAnsi="宋体" w:cs="宋体" w:eastAsia="宋体" w:hint="default"/>
                <w:sz w:val="21"/>
                <w:szCs w:val="21"/>
              </w:rPr>
              <w:t>依照《企业破产法》的规定，公司和下属四家子公司泰丰科技公司、华宝</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饲料公司、西部房地产公司、华宝实业公司分别进入破产重整程序，均采</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取用本公司股东无偿让渡的股票清偿部分债务，依照《重整计划》减免的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债务，公司和下属四家子公司不再承担清偿责任，从而保留下属四家子公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司的有效经营资产、且该四家子公司成为本公司直接控股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的子公司。</w:t>
            </w:r>
          </w:p>
        </w:tc>
      </w:tr>
    </w:tbl>
    <w:p>
      <w:pPr>
        <w:spacing w:after="0" w:line="261" w:lineRule="auto"/>
        <w:jc w:val="both"/>
        <w:rPr>
          <w:rFonts w:ascii="宋体" w:hAnsi="宋体" w:cs="宋体" w:eastAsia="宋体" w:hint="default"/>
          <w:sz w:val="21"/>
          <w:szCs w:val="21"/>
        </w:rPr>
        <w:sectPr>
          <w:pgSz w:w="11910" w:h="16840"/>
          <w:pgMar w:header="877" w:footer="975" w:top="1100" w:bottom="1160" w:left="1580" w:right="1560"/>
        </w:sectPr>
      </w:pPr>
    </w:p>
    <w:p>
      <w:pPr>
        <w:spacing w:line="240" w:lineRule="auto" w:before="4"/>
        <w:rPr>
          <w:rFonts w:ascii="宋体" w:hAnsi="宋体" w:cs="宋体" w:eastAsia="宋体" w:hint="default"/>
          <w:sz w:val="23"/>
          <w:szCs w:val="23"/>
        </w:rPr>
      </w:pPr>
    </w:p>
    <w:p>
      <w:pPr>
        <w:pStyle w:val="Heading1"/>
        <w:tabs>
          <w:tab w:pos="4070" w:val="left" w:leader="none"/>
        </w:tabs>
        <w:spacing w:line="240" w:lineRule="auto"/>
        <w:ind w:left="2946" w:right="0"/>
        <w:jc w:val="left"/>
        <w:rPr>
          <w:b w:val="0"/>
          <w:bCs w:val="0"/>
        </w:rPr>
      </w:pPr>
      <w:bookmarkStart w:name="_TOC_250008" w:id="2"/>
      <w:r>
        <w:rPr>
          <w:w w:val="95"/>
        </w:rPr>
        <w:t>第二节</w:t>
        <w:tab/>
      </w:r>
      <w:r>
        <w:rPr/>
        <w:t>会计数据和业务数据摘要</w:t>
      </w:r>
      <w:bookmarkEnd w:id="2"/>
      <w:r>
        <w:rPr>
          <w:b w:val="0"/>
          <w:bCs w:val="0"/>
        </w:rPr>
      </w:r>
    </w:p>
    <w:p>
      <w:pPr>
        <w:spacing w:line="240" w:lineRule="auto" w:before="10"/>
        <w:rPr>
          <w:rFonts w:ascii="宋体" w:hAnsi="宋体" w:cs="宋体" w:eastAsia="宋体" w:hint="default"/>
          <w:b/>
          <w:bCs/>
          <w:sz w:val="36"/>
          <w:szCs w:val="36"/>
        </w:rPr>
      </w:pPr>
    </w:p>
    <w:p>
      <w:pPr>
        <w:tabs>
          <w:tab w:pos="7281" w:val="left" w:leader="none"/>
        </w:tabs>
        <w:spacing w:before="0"/>
        <w:ind w:left="897" w:right="0" w:firstLine="0"/>
        <w:jc w:val="left"/>
        <w:rPr>
          <w:rFonts w:ascii="宋体" w:hAnsi="宋体" w:cs="宋体" w:eastAsia="宋体" w:hint="default"/>
          <w:sz w:val="24"/>
          <w:szCs w:val="24"/>
        </w:rPr>
      </w:pPr>
      <w:r>
        <w:rPr>
          <w:rFonts w:ascii="宋体" w:hAnsi="宋体" w:cs="宋体" w:eastAsia="宋体" w:hint="default"/>
          <w:b/>
          <w:bCs/>
          <w:w w:val="95"/>
          <w:sz w:val="24"/>
          <w:szCs w:val="24"/>
        </w:rPr>
        <w:t>一、本年度主要利润指标</w:t>
        <w:tab/>
      </w:r>
      <w:r>
        <w:rPr>
          <w:rFonts w:ascii="宋体" w:hAnsi="宋体" w:cs="宋体" w:eastAsia="宋体" w:hint="default"/>
          <w:sz w:val="24"/>
          <w:szCs w:val="24"/>
        </w:rPr>
        <w:t>单位：人民币元</w:t>
      </w:r>
    </w:p>
    <w:p>
      <w:pPr>
        <w:spacing w:line="240" w:lineRule="auto" w:before="6"/>
        <w:rPr>
          <w:rFonts w:ascii="宋体" w:hAnsi="宋体" w:cs="宋体" w:eastAsia="宋体" w:hint="default"/>
          <w:sz w:val="3"/>
          <w:szCs w:val="3"/>
        </w:rPr>
      </w:pPr>
    </w:p>
    <w:tbl>
      <w:tblPr>
        <w:tblW w:w="0" w:type="auto"/>
        <w:jc w:val="left"/>
        <w:tblInd w:w="784" w:type="dxa"/>
        <w:tblLayout w:type="fixed"/>
        <w:tblCellMar>
          <w:top w:w="0" w:type="dxa"/>
          <w:left w:w="0" w:type="dxa"/>
          <w:bottom w:w="0" w:type="dxa"/>
          <w:right w:w="0" w:type="dxa"/>
        </w:tblCellMar>
        <w:tblLook w:val="01E0"/>
      </w:tblPr>
      <w:tblGrid>
        <w:gridCol w:w="5688"/>
        <w:gridCol w:w="2840"/>
      </w:tblGrid>
      <w:tr>
        <w:trPr>
          <w:trHeight w:val="410"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项 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金 额</w:t>
            </w:r>
          </w:p>
        </w:tc>
      </w:tr>
      <w:tr>
        <w:trPr>
          <w:trHeight w:val="409"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11,058,008.89</w:t>
            </w:r>
          </w:p>
        </w:tc>
      </w:tr>
      <w:tr>
        <w:trPr>
          <w:trHeight w:val="410"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21"/>
                <w:szCs w:val="21"/>
              </w:rPr>
            </w:pPr>
            <w:r>
              <w:rPr>
                <w:rFonts w:ascii="Times New Roman"/>
                <w:spacing w:val="-1"/>
                <w:sz w:val="21"/>
              </w:rPr>
              <w:t>499,320,879.55</w:t>
            </w:r>
          </w:p>
        </w:tc>
      </w:tr>
      <w:tr>
        <w:trPr>
          <w:trHeight w:val="410"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21"/>
                <w:szCs w:val="21"/>
              </w:rPr>
            </w:pPr>
            <w:r>
              <w:rPr>
                <w:rFonts w:ascii="Times New Roman"/>
                <w:spacing w:val="-1"/>
                <w:sz w:val="21"/>
              </w:rPr>
              <w:t>498,142,241.73</w:t>
            </w:r>
          </w:p>
        </w:tc>
      </w:tr>
      <w:tr>
        <w:trPr>
          <w:trHeight w:val="409"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4,552,728.00</w:t>
            </w:r>
          </w:p>
        </w:tc>
      </w:tr>
      <w:tr>
        <w:trPr>
          <w:trHeight w:val="410"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40,345,175.96</w:t>
            </w:r>
          </w:p>
        </w:tc>
      </w:tr>
    </w:tbl>
    <w:p>
      <w:pPr>
        <w:spacing w:line="240" w:lineRule="auto" w:before="0"/>
        <w:rPr>
          <w:rFonts w:ascii="宋体" w:hAnsi="宋体" w:cs="宋体" w:eastAsia="宋体" w:hint="default"/>
          <w:sz w:val="20"/>
          <w:szCs w:val="20"/>
        </w:rPr>
      </w:pPr>
    </w:p>
    <w:p>
      <w:pPr>
        <w:tabs>
          <w:tab w:pos="7475" w:val="left" w:leader="none"/>
        </w:tabs>
        <w:spacing w:before="179"/>
        <w:ind w:left="897" w:right="0" w:firstLine="0"/>
        <w:jc w:val="left"/>
        <w:rPr>
          <w:rFonts w:ascii="宋体" w:hAnsi="宋体" w:cs="宋体" w:eastAsia="宋体" w:hint="default"/>
          <w:sz w:val="24"/>
          <w:szCs w:val="24"/>
        </w:rPr>
      </w:pPr>
      <w:r>
        <w:rPr>
          <w:rFonts w:ascii="宋体" w:hAnsi="宋体" w:cs="宋体" w:eastAsia="宋体" w:hint="default"/>
          <w:sz w:val="24"/>
          <w:szCs w:val="24"/>
        </w:rPr>
        <w:t>非经常性损益项目和涉及金额</w:t>
        <w:tab/>
        <w:t>单位：人民币元</w:t>
      </w:r>
    </w:p>
    <w:p>
      <w:pPr>
        <w:spacing w:line="240" w:lineRule="auto" w:before="6"/>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5200"/>
        <w:gridCol w:w="2600"/>
        <w:gridCol w:w="1800"/>
      </w:tblGrid>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-1,005,753.07</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w:t>
            </w:r>
            <w:r>
              <w:rPr>
                <w:rFonts w:ascii="宋体" w:hAnsi="宋体" w:cs="宋体" w:eastAsia="宋体" w:hint="default"/>
                <w:sz w:val="21"/>
                <w:szCs w:val="21"/>
              </w:rPr>
            </w:r>
          </w:p>
          <w:p>
            <w:pPr>
              <w:pStyle w:val="TableParagraph"/>
              <w:spacing w:line="273" w:lineRule="auto" w:before="37"/>
              <w:ind w:left="21" w:right="16"/>
              <w:jc w:val="both"/>
              <w:rPr>
                <w:rFonts w:ascii="宋体" w:hAnsi="宋体" w:cs="宋体" w:eastAsia="宋体" w:hint="default"/>
                <w:sz w:val="21"/>
                <w:szCs w:val="21"/>
              </w:rPr>
            </w:pPr>
            <w:r>
              <w:rPr>
                <w:rFonts w:ascii="宋体" w:hAnsi="宋体" w:cs="宋体" w:eastAsia="宋体" w:hint="default"/>
                <w:spacing w:val="3"/>
                <w:sz w:val="21"/>
                <w:szCs w:val="21"/>
              </w:rPr>
              <w:t>有交易性金融资产、交易性金融负债产生的公允价值变</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动损益，以及处置交易性金融资产、交易性金融负债和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可供出售金融资产取得的投资收益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70,032.81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488,916,069.84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5,256,610.26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6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352,553.89</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493,589,513.73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w:t>
            </w:r>
          </w:p>
        </w:tc>
      </w:tr>
    </w:tbl>
    <w:p>
      <w:pPr>
        <w:spacing w:before="40"/>
        <w:ind w:left="897" w:right="0" w:firstLine="0"/>
        <w:jc w:val="left"/>
        <w:rPr>
          <w:rFonts w:ascii="宋体" w:hAnsi="宋体" w:cs="宋体" w:eastAsia="宋体" w:hint="default"/>
          <w:sz w:val="24"/>
          <w:szCs w:val="24"/>
        </w:rPr>
      </w:pPr>
      <w:r>
        <w:rPr>
          <w:rFonts w:ascii="宋体" w:hAnsi="宋体" w:cs="宋体" w:eastAsia="宋体" w:hint="default"/>
          <w:b/>
          <w:bCs/>
          <w:sz w:val="24"/>
          <w:szCs w:val="24"/>
        </w:rPr>
        <w:t>二、截止报告期末公司前 </w:t>
      </w: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b/>
          <w:bCs/>
          <w:spacing w:val="-10"/>
          <w:sz w:val="24"/>
          <w:szCs w:val="24"/>
        </w:rPr>
        <w:t> </w:t>
      </w:r>
      <w:r>
        <w:rPr>
          <w:rFonts w:ascii="宋体" w:hAnsi="宋体" w:cs="宋体" w:eastAsia="宋体" w:hint="default"/>
          <w:b/>
          <w:bCs/>
          <w:sz w:val="24"/>
          <w:szCs w:val="24"/>
        </w:rPr>
        <w:t>年的主要会计数据和财务指标</w:t>
      </w:r>
      <w:r>
        <w:rPr>
          <w:rFonts w:ascii="宋体" w:hAnsi="宋体" w:cs="宋体" w:eastAsia="宋体" w:hint="default"/>
          <w:sz w:val="24"/>
          <w:szCs w:val="24"/>
        </w:rPr>
      </w:r>
    </w:p>
    <w:p>
      <w:pPr>
        <w:tabs>
          <w:tab w:pos="7573" w:val="left" w:leader="none"/>
        </w:tabs>
        <w:spacing w:before="68"/>
        <w:ind w:left="897" w:right="0" w:firstLine="0"/>
        <w:jc w:val="left"/>
        <w:rPr>
          <w:rFonts w:ascii="宋体" w:hAnsi="宋体" w:cs="宋体" w:eastAsia="宋体" w:hint="default"/>
          <w:sz w:val="24"/>
          <w:szCs w:val="24"/>
        </w:rPr>
      </w:pPr>
      <w:r>
        <w:rPr>
          <w:rFonts w:ascii="宋体" w:hAnsi="宋体" w:cs="宋体" w:eastAsia="宋体" w:hint="default"/>
          <w:spacing w:val="-5"/>
          <w:sz w:val="24"/>
          <w:szCs w:val="24"/>
        </w:rPr>
        <w:t>（一）主要会计数据</w:t>
        <w:tab/>
      </w:r>
      <w:r>
        <w:rPr>
          <w:rFonts w:ascii="宋体" w:hAnsi="宋体" w:cs="宋体" w:eastAsia="宋体" w:hint="default"/>
          <w:spacing w:val="-7"/>
          <w:sz w:val="24"/>
          <w:szCs w:val="24"/>
        </w:rPr>
        <w:t>单位：人民币元</w:t>
      </w:r>
    </w:p>
    <w:p>
      <w:pPr>
        <w:spacing w:line="240" w:lineRule="auto" w:before="6"/>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860"/>
        <w:gridCol w:w="1620"/>
        <w:gridCol w:w="1980"/>
        <w:gridCol w:w="2520"/>
        <w:gridCol w:w="1848"/>
      </w:tblGrid>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32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402,162,769.87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339,365,609.55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18.50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279,719,231.71</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499,320,879.55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123,851,556.23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303.16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-281,350,447.65</w:t>
            </w:r>
          </w:p>
        </w:tc>
      </w:tr>
      <w:tr>
        <w:trPr>
          <w:trHeight w:val="63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东的净利润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498,142,241.73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133,403,579.37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273.41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-257,094,725.71</w:t>
            </w:r>
          </w:p>
        </w:tc>
      </w:tr>
      <w:tr>
        <w:trPr>
          <w:trHeight w:val="94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2"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auto" w:before="37"/>
              <w:ind w:left="292" w:right="85" w:hanging="210"/>
              <w:jc w:val="left"/>
              <w:rPr>
                <w:rFonts w:ascii="宋体" w:hAnsi="宋体" w:cs="宋体" w:eastAsia="宋体" w:hint="default"/>
                <w:sz w:val="21"/>
                <w:szCs w:val="21"/>
              </w:rPr>
            </w:pPr>
            <w:r>
              <w:rPr>
                <w:rFonts w:ascii="宋体" w:hAnsi="宋体" w:cs="宋体" w:eastAsia="宋体" w:hint="default"/>
                <w:sz w:val="21"/>
                <w:szCs w:val="21"/>
              </w:rPr>
              <w:t>东的扣除非经常性 损益的净利润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4,552,728.00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-22,075,264.76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120.62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-165,022,422.79</w:t>
            </w:r>
          </w:p>
        </w:tc>
      </w:tr>
      <w:tr>
        <w:trPr>
          <w:trHeight w:val="63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40,345,175.96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259,812.81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15,428.56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2,341,569.95</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2"/>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188,887,579.65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150,792,439.15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25.26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184,408,591.81</w:t>
            </w:r>
          </w:p>
        </w:tc>
      </w:tr>
      <w:tr>
        <w:trPr>
          <w:trHeight w:val="63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东的所有者权益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66,057,111.65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-809,339,489.20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108.16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-1,146,217,796.49</w:t>
            </w:r>
          </w:p>
        </w:tc>
      </w:tr>
      <w:tr>
        <w:trPr>
          <w:trHeight w:val="32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357,973,531.00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357,973,531.00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357,973,531.00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5" w:top="1100" w:bottom="1160" w:left="900" w:right="940"/>
        </w:sectPr>
      </w:pPr>
    </w:p>
    <w:p>
      <w:pPr>
        <w:spacing w:line="240" w:lineRule="auto" w:before="12"/>
        <w:rPr>
          <w:rFonts w:ascii="宋体" w:hAnsi="宋体" w:cs="宋体" w:eastAsia="宋体" w:hint="default"/>
          <w:sz w:val="25"/>
          <w:szCs w:val="25"/>
        </w:rPr>
      </w:pPr>
    </w:p>
    <w:p>
      <w:pPr>
        <w:spacing w:before="26"/>
        <w:ind w:left="897" w:right="0" w:firstLine="0"/>
        <w:jc w:val="left"/>
        <w:rPr>
          <w:rFonts w:ascii="宋体" w:hAnsi="宋体" w:cs="宋体" w:eastAsia="宋体" w:hint="default"/>
          <w:sz w:val="24"/>
          <w:szCs w:val="24"/>
        </w:rPr>
      </w:pPr>
      <w:r>
        <w:rPr>
          <w:rFonts w:ascii="宋体" w:hAnsi="宋体" w:cs="宋体" w:eastAsia="宋体" w:hint="default"/>
          <w:sz w:val="24"/>
          <w:szCs w:val="24"/>
        </w:rPr>
        <w:t>（二）主要财务指标</w:t>
      </w:r>
    </w:p>
    <w:p>
      <w:pPr>
        <w:spacing w:line="240" w:lineRule="auto" w:before="6"/>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288"/>
        <w:gridCol w:w="1924"/>
        <w:gridCol w:w="1924"/>
        <w:gridCol w:w="2024"/>
        <w:gridCol w:w="271"/>
        <w:gridCol w:w="1349"/>
      </w:tblGrid>
      <w:tr>
        <w:trPr>
          <w:trHeight w:val="32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本年比上年增减（％</w:t>
            </w:r>
          </w:p>
        </w:tc>
        <w:tc>
          <w:tcPr>
            <w:tcW w:w="27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38" w:right="0"/>
              <w:jc w:val="left"/>
              <w:rPr>
                <w:rFonts w:ascii="宋体" w:hAnsi="宋体" w:cs="宋体" w:eastAsia="宋体" w:hint="default"/>
                <w:sz w:val="21"/>
                <w:szCs w:val="21"/>
              </w:rPr>
            </w:pPr>
            <w:r>
              <w:rPr>
                <w:rFonts w:ascii="宋体" w:hAnsi="宋体" w:cs="宋体" w:eastAsia="宋体" w:hint="default"/>
                <w:sz w:val="21"/>
                <w:szCs w:val="21"/>
              </w:rPr>
              <w:t>）</w:t>
            </w:r>
          </w:p>
        </w:tc>
        <w:tc>
          <w:tcPr>
            <w:tcW w:w="1349"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32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4"/>
              <w:jc w:val="center"/>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1.39</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0.37</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275.68</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95"/>
                <w:sz w:val="21"/>
              </w:rPr>
              <w:t>-0.72</w:t>
            </w:r>
            <w:r>
              <w:rPr>
                <w:rFonts w:ascii="Times New Roman"/>
                <w:sz w:val="21"/>
              </w:rPr>
            </w:r>
          </w:p>
        </w:tc>
      </w:tr>
      <w:tr>
        <w:trPr>
          <w:trHeight w:val="32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4"/>
              <w:jc w:val="center"/>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1.39</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0.37</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275.68</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95"/>
                <w:sz w:val="21"/>
              </w:rPr>
              <w:t>-0.72</w:t>
            </w:r>
            <w:r>
              <w:rPr>
                <w:rFonts w:ascii="Times New Roman"/>
                <w:sz w:val="21"/>
              </w:rPr>
            </w:r>
          </w:p>
        </w:tc>
      </w:tr>
      <w:tr>
        <w:trPr>
          <w:trHeight w:val="63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-0.06</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116.67</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-0.46</w:t>
            </w:r>
            <w:r>
              <w:rPr>
                <w:rFonts w:ascii="Times New Roman"/>
                <w:sz w:val="21"/>
              </w:rPr>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134.04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16.48</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117.56</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40" w:right="0"/>
              <w:jc w:val="left"/>
              <w:rPr>
                <w:rFonts w:ascii="Times New Roman" w:hAnsi="Times New Roman" w:cs="Times New Roman" w:eastAsia="Times New Roman" w:hint="default"/>
                <w:sz w:val="21"/>
                <w:szCs w:val="21"/>
              </w:rPr>
            </w:pPr>
            <w:r>
              <w:rPr>
                <w:rFonts w:ascii="Times New Roman"/>
                <w:sz w:val="21"/>
              </w:rPr>
              <w:t>-22.43</w:t>
            </w:r>
          </w:p>
        </w:tc>
      </w:tr>
      <w:tr>
        <w:trPr>
          <w:trHeight w:val="94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-2.73</w:t>
            </w:r>
            <w:r>
              <w:rPr>
                <w:rFonts w:ascii="Times New Roman"/>
                <w:sz w:val="21"/>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3.96</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41" w:right="0"/>
              <w:jc w:val="left"/>
              <w:rPr>
                <w:rFonts w:ascii="Times New Roman" w:hAnsi="Times New Roman" w:cs="Times New Roman" w:eastAsia="Times New Roman" w:hint="default"/>
                <w:sz w:val="21"/>
                <w:szCs w:val="21"/>
              </w:rPr>
            </w:pPr>
            <w:r>
              <w:rPr>
                <w:rFonts w:ascii="Times New Roman"/>
                <w:sz w:val="21"/>
              </w:rPr>
              <w:t>-14.40</w:t>
            </w:r>
          </w:p>
        </w:tc>
      </w:tr>
      <w:tr>
        <w:trPr>
          <w:trHeight w:val="63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0.113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0.0007</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16,042.86</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0.01</w:t>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63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0.18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-2.26</w:t>
            </w:r>
            <w:r>
              <w:rPr>
                <w:rFonts w:ascii="Times New Roman"/>
                <w:sz w:val="21"/>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107.96</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-3.20</w:t>
            </w:r>
            <w:r>
              <w:rPr>
                <w:rFonts w:ascii="Times New Roman"/>
                <w:sz w:val="21"/>
              </w:rPr>
            </w:r>
          </w:p>
        </w:tc>
      </w:tr>
    </w:tbl>
    <w:p>
      <w:pPr>
        <w:pStyle w:val="BodyText"/>
        <w:spacing w:line="240" w:lineRule="auto" w:before="42"/>
        <w:ind w:left="897" w:right="0"/>
        <w:jc w:val="left"/>
      </w:pPr>
      <w:r>
        <w:rPr/>
        <w:t>注：部分数据发生重大变化的原因详见本报告第七节</w:t>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75" w:top="1100" w:bottom="1160" w:left="900" w:right="980"/>
        </w:sectPr>
      </w:pPr>
    </w:p>
    <w:p>
      <w:pPr>
        <w:spacing w:before="26"/>
        <w:ind w:left="897" w:right="-18" w:firstLine="0"/>
        <w:jc w:val="left"/>
        <w:rPr>
          <w:rFonts w:ascii="宋体" w:hAnsi="宋体" w:cs="宋体" w:eastAsia="宋体" w:hint="default"/>
          <w:sz w:val="24"/>
          <w:szCs w:val="24"/>
        </w:rPr>
      </w:pPr>
      <w:r>
        <w:rPr>
          <w:rFonts w:ascii="宋体" w:hAnsi="宋体" w:cs="宋体" w:eastAsia="宋体" w:hint="default"/>
          <w:b/>
          <w:bCs/>
          <w:sz w:val="24"/>
          <w:szCs w:val="24"/>
        </w:rPr>
        <w:t>三、股东权益变动情况及变化原因</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59"/>
        <w:ind w:left="897" w:right="0"/>
        <w:jc w:val="left"/>
      </w:pPr>
      <w:r>
        <w:rPr/>
        <w:t>单位：人民币元</w:t>
      </w:r>
    </w:p>
    <w:p>
      <w:pPr>
        <w:spacing w:after="0" w:line="240" w:lineRule="auto"/>
        <w:jc w:val="left"/>
        <w:sectPr>
          <w:type w:val="continuous"/>
          <w:pgSz w:w="11910" w:h="16840"/>
          <w:pgMar w:top="1100" w:bottom="1200" w:left="900" w:right="980"/>
          <w:cols w:num="2" w:equalWidth="0">
            <w:col w:w="4514" w:space="2329"/>
            <w:col w:w="3187"/>
          </w:cols>
        </w:sectPr>
      </w:pPr>
    </w:p>
    <w:p>
      <w:pPr>
        <w:spacing w:line="240" w:lineRule="auto" w:before="3"/>
        <w:rPr>
          <w:rFonts w:ascii="宋体" w:hAnsi="宋体" w:cs="宋体" w:eastAsia="宋体" w:hint="default"/>
          <w:sz w:val="3"/>
          <w:szCs w:val="3"/>
        </w:rPr>
      </w:pPr>
    </w:p>
    <w:tbl>
      <w:tblPr>
        <w:tblW w:w="0" w:type="auto"/>
        <w:jc w:val="left"/>
        <w:tblInd w:w="784" w:type="dxa"/>
        <w:tblLayout w:type="fixed"/>
        <w:tblCellMar>
          <w:top w:w="0" w:type="dxa"/>
          <w:left w:w="0" w:type="dxa"/>
          <w:bottom w:w="0" w:type="dxa"/>
          <w:right w:w="0" w:type="dxa"/>
        </w:tblCellMar>
        <w:tblLook w:val="01E0"/>
      </w:tblPr>
      <w:tblGrid>
        <w:gridCol w:w="1643"/>
        <w:gridCol w:w="1770"/>
        <w:gridCol w:w="1711"/>
        <w:gridCol w:w="1650"/>
        <w:gridCol w:w="1748"/>
      </w:tblGrid>
      <w:tr>
        <w:trPr>
          <w:trHeight w:val="370"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tabs>
                <w:tab w:pos="1025" w:val="left" w:leader="none"/>
              </w:tabs>
              <w:spacing w:line="240" w:lineRule="auto" w:before="42"/>
              <w:ind w:left="39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年度期初数</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年度增加数</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年度减少数</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年度期末数</w:t>
            </w:r>
          </w:p>
        </w:tc>
      </w:tr>
      <w:tr>
        <w:trPr>
          <w:trHeight w:val="32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股</w:t>
              <w:tab/>
              <w:t>本</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357,973,531.00</w:t>
            </w:r>
          </w:p>
        </w:tc>
        <w:tc>
          <w:tcPr>
            <w:tcW w:w="1711"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357,973,531.00</w:t>
            </w:r>
          </w:p>
        </w:tc>
      </w:tr>
      <w:tr>
        <w:trPr>
          <w:trHeight w:val="323"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262,748,052.05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5"/>
              <w:jc w:val="right"/>
              <w:rPr>
                <w:rFonts w:ascii="Times New Roman" w:hAnsi="Times New Roman" w:cs="Times New Roman" w:eastAsia="Times New Roman" w:hint="default"/>
                <w:sz w:val="21"/>
                <w:szCs w:val="21"/>
              </w:rPr>
            </w:pPr>
            <w:r>
              <w:rPr>
                <w:rFonts w:ascii="Times New Roman"/>
                <w:spacing w:val="-1"/>
                <w:sz w:val="21"/>
              </w:rPr>
              <w:t>377,254,359.12</w:t>
            </w:r>
          </w:p>
        </w:tc>
        <w:tc>
          <w:tcPr>
            <w:tcW w:w="16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640,002,411.17</w:t>
            </w:r>
          </w:p>
        </w:tc>
      </w:tr>
      <w:tr>
        <w:trPr>
          <w:trHeight w:val="32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65,738,593.50</w:t>
            </w:r>
          </w:p>
        </w:tc>
        <w:tc>
          <w:tcPr>
            <w:tcW w:w="1711"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65,738,593.50</w:t>
            </w:r>
          </w:p>
        </w:tc>
      </w:tr>
      <w:tr>
        <w:trPr>
          <w:trHeight w:val="32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-1,495,799,665.75</w:t>
            </w:r>
            <w:r>
              <w:rPr>
                <w:rFonts w:ascii="Times New Roman"/>
                <w:sz w:val="21"/>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498,142,241.73</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-997,657,424.02</w:t>
            </w:r>
          </w:p>
        </w:tc>
      </w:tr>
      <w:tr>
        <w:trPr>
          <w:trHeight w:val="323"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2,945,390.88</w:t>
            </w:r>
          </w:p>
        </w:tc>
        <w:tc>
          <w:tcPr>
            <w:tcW w:w="1711"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2,945,390.88</w:t>
            </w: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-806,394,098.32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875,396,600.85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2,945,390.88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2"/>
                <w:sz w:val="21"/>
              </w:rPr>
              <w:t>66,057,111.65</w:t>
            </w:r>
          </w:p>
        </w:tc>
      </w:tr>
    </w:tbl>
    <w:p>
      <w:pPr>
        <w:pStyle w:val="BodyText"/>
        <w:spacing w:line="240" w:lineRule="auto" w:before="42"/>
        <w:ind w:left="1317" w:right="0"/>
        <w:jc w:val="left"/>
      </w:pPr>
      <w:r>
        <w:rPr/>
        <w:t>变动原因：</w:t>
      </w:r>
    </w:p>
    <w:p>
      <w:pPr>
        <w:pStyle w:val="BodyText"/>
        <w:spacing w:line="309" w:lineRule="auto" w:before="85"/>
        <w:ind w:left="897" w:right="811" w:firstLine="420"/>
        <w:jc w:val="both"/>
      </w:pPr>
      <w:r>
        <w:rPr>
          <w:rFonts w:ascii="Times New Roman" w:hAnsi="Times New Roman" w:cs="Times New Roman" w:eastAsia="Times New Roman" w:hint="default"/>
          <w:spacing w:val="-3"/>
        </w:rPr>
        <w:t>1</w:t>
      </w:r>
      <w:r>
        <w:rPr>
          <w:spacing w:val="-3"/>
        </w:rPr>
        <w:t>、资本公积增加的主要原因是：报告期内公司完成了</w:t>
      </w:r>
      <w:r>
        <w:rPr>
          <w:rFonts w:ascii="Times New Roman" w:hAnsi="Times New Roman" w:cs="Times New Roman" w:eastAsia="Times New Roman" w:hint="default"/>
          <w:spacing w:val="-3"/>
        </w:rPr>
        <w:t>“1+4”</w:t>
      </w:r>
      <w:r>
        <w:rPr>
          <w:spacing w:val="-3"/>
        </w:rPr>
        <w:t>模式的破产重整，股东依照</w:t>
      </w:r>
      <w:r>
        <w:rPr/>
        <w:t> </w:t>
      </w:r>
      <w:r>
        <w:rPr>
          <w:spacing w:val="-3"/>
        </w:rPr>
        <w:t>重整计划无偿让渡股份，用于代本公司清偿债务、保全下属四家子公司有效资产等事项。依</w:t>
      </w:r>
      <w:r>
        <w:rPr>
          <w:spacing w:val="-72"/>
        </w:rPr>
        <w:t> </w:t>
      </w:r>
      <w:r>
        <w:rPr>
          <w:spacing w:val="-72"/>
        </w:rPr>
      </w:r>
      <w:r>
        <w:rPr>
          <w:spacing w:val="-3"/>
        </w:rPr>
        <w:t>照相关规定，股东让渡股份代本公司清偿债务的部分和下属四家子公司用保全资产的股份清</w:t>
      </w:r>
      <w:r>
        <w:rPr>
          <w:spacing w:val="-73"/>
        </w:rPr>
        <w:t> </w:t>
      </w:r>
      <w:r>
        <w:rPr>
          <w:spacing w:val="-73"/>
        </w:rPr>
      </w:r>
      <w:r>
        <w:rPr/>
        <w:t>偿债务的部分，该部分收益应计入资本公积。</w:t>
      </w:r>
    </w:p>
    <w:p>
      <w:pPr>
        <w:pStyle w:val="BodyText"/>
        <w:spacing w:line="240" w:lineRule="auto" w:before="24"/>
        <w:ind w:left="1317"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、未分配利润增加的原因是：本公司和下属四家子公司重整成功，债权人依照</w:t>
      </w:r>
      <w:r>
        <w:rPr>
          <w:rFonts w:ascii="Times New Roman" w:hAnsi="Times New Roman" w:cs="Times New Roman" w:eastAsia="Times New Roman" w:hint="default"/>
        </w:rPr>
        <w:t>“1+4”</w:t>
      </w:r>
    </w:p>
    <w:p>
      <w:pPr>
        <w:pStyle w:val="BodyText"/>
        <w:spacing w:line="314" w:lineRule="auto" w:before="69"/>
        <w:ind w:left="897" w:right="812"/>
        <w:jc w:val="both"/>
      </w:pPr>
      <w:r>
        <w:rPr>
          <w:spacing w:val="-3"/>
        </w:rPr>
        <w:t>《重整计划》获得了部分清偿。根据《重整计划》减免的债务，依照《企业破产法》第九十</w:t>
      </w:r>
      <w:r>
        <w:rPr>
          <w:spacing w:val="-78"/>
        </w:rPr>
        <w:t> </w:t>
      </w:r>
      <w:r>
        <w:rPr>
          <w:spacing w:val="-78"/>
        </w:rPr>
      </w:r>
      <w:r>
        <w:rPr>
          <w:spacing w:val="-3"/>
        </w:rPr>
        <w:t>四条的规定，本公司和下属四家子公司不再承担清偿责任。为此，形成了债务重组收益，这</w:t>
      </w:r>
      <w:r>
        <w:rPr>
          <w:spacing w:val="-75"/>
        </w:rPr>
        <w:t> </w:t>
      </w:r>
      <w:r>
        <w:rPr>
          <w:spacing w:val="-75"/>
        </w:rPr>
      </w:r>
      <w:r>
        <w:rPr>
          <w:spacing w:val="-3"/>
        </w:rPr>
        <w:t>部分重组收益大幅度增加了未分配利润。另外，报告期内公司生产经营实现了盈利，也增加</w:t>
      </w:r>
      <w:r>
        <w:rPr>
          <w:spacing w:val="-74"/>
        </w:rPr>
        <w:t> </w:t>
      </w:r>
      <w:r>
        <w:rPr>
          <w:spacing w:val="-74"/>
        </w:rPr>
      </w:r>
      <w:r>
        <w:rPr/>
        <w:t>了未分配利润。</w:t>
      </w:r>
    </w:p>
    <w:p>
      <w:pPr>
        <w:spacing w:after="0" w:line="314" w:lineRule="auto"/>
        <w:jc w:val="both"/>
        <w:sectPr>
          <w:type w:val="continuous"/>
          <w:pgSz w:w="11910" w:h="16840"/>
          <w:pgMar w:top="1100" w:bottom="1200" w:left="900" w:right="980"/>
        </w:sectPr>
      </w:pPr>
    </w:p>
    <w:p>
      <w:pPr>
        <w:spacing w:line="240" w:lineRule="auto" w:before="4"/>
        <w:rPr>
          <w:rFonts w:ascii="宋体" w:hAnsi="宋体" w:cs="宋体" w:eastAsia="宋体" w:hint="default"/>
          <w:sz w:val="23"/>
          <w:szCs w:val="23"/>
        </w:rPr>
      </w:pPr>
    </w:p>
    <w:p>
      <w:pPr>
        <w:pStyle w:val="Heading1"/>
        <w:tabs>
          <w:tab w:pos="4510" w:val="left" w:leader="none"/>
        </w:tabs>
        <w:spacing w:line="240" w:lineRule="auto"/>
        <w:ind w:left="3386" w:right="727"/>
        <w:jc w:val="left"/>
        <w:rPr>
          <w:b w:val="0"/>
          <w:bCs w:val="0"/>
        </w:rPr>
      </w:pPr>
      <w:bookmarkStart w:name="_TOC_250007" w:id="3"/>
      <w:r>
        <w:rPr>
          <w:w w:val="95"/>
        </w:rPr>
        <w:t>第三节</w:t>
        <w:tab/>
      </w:r>
      <w:r>
        <w:rPr/>
        <w:t>股本变动及股东情况</w:t>
      </w:r>
      <w:bookmarkEnd w:id="3"/>
      <w:r>
        <w:rPr>
          <w:b w:val="0"/>
          <w:bCs w:val="0"/>
        </w:rPr>
      </w:r>
    </w:p>
    <w:p>
      <w:pPr>
        <w:spacing w:line="240" w:lineRule="auto" w:before="10"/>
        <w:rPr>
          <w:rFonts w:ascii="宋体" w:hAnsi="宋体" w:cs="宋体" w:eastAsia="宋体" w:hint="default"/>
          <w:b/>
          <w:bCs/>
          <w:sz w:val="36"/>
          <w:szCs w:val="36"/>
        </w:rPr>
      </w:pPr>
    </w:p>
    <w:p>
      <w:pPr>
        <w:spacing w:before="0"/>
        <w:ind w:left="1057" w:right="727" w:firstLine="0"/>
        <w:jc w:val="left"/>
        <w:rPr>
          <w:rFonts w:ascii="宋体" w:hAnsi="宋体" w:cs="宋体" w:eastAsia="宋体" w:hint="default"/>
          <w:sz w:val="24"/>
          <w:szCs w:val="24"/>
        </w:rPr>
      </w:pPr>
      <w:r>
        <w:rPr>
          <w:rFonts w:ascii="宋体" w:hAnsi="宋体" w:cs="宋体" w:eastAsia="宋体" w:hint="default"/>
          <w:b/>
          <w:bCs/>
          <w:sz w:val="24"/>
          <w:szCs w:val="24"/>
        </w:rPr>
        <w:t>一、公司股份变动情况表</w:t>
      </w:r>
      <w:r>
        <w:rPr>
          <w:rFonts w:ascii="宋体" w:hAnsi="宋体" w:cs="宋体" w:eastAsia="宋体" w:hint="default"/>
          <w:sz w:val="24"/>
          <w:szCs w:val="24"/>
        </w:rPr>
      </w:r>
    </w:p>
    <w:p>
      <w:pPr>
        <w:tabs>
          <w:tab w:pos="8214" w:val="left" w:leader="none"/>
        </w:tabs>
        <w:spacing w:before="85"/>
        <w:ind w:left="1417" w:right="727" w:firstLine="0"/>
        <w:jc w:val="left"/>
        <w:rPr>
          <w:rFonts w:ascii="宋体" w:hAnsi="宋体" w:cs="宋体" w:eastAsia="宋体" w:hint="default"/>
          <w:sz w:val="21"/>
          <w:szCs w:val="21"/>
        </w:rPr>
      </w:pPr>
      <w:r>
        <w:rPr>
          <w:rFonts w:ascii="宋体" w:hAnsi="宋体" w:cs="宋体" w:eastAsia="宋体" w:hint="default"/>
          <w:spacing w:val="-2"/>
          <w:sz w:val="24"/>
          <w:szCs w:val="24"/>
        </w:rPr>
        <w:t>（一）股份变动情况表（截止</w:t>
      </w:r>
      <w:r>
        <w:rPr>
          <w:rFonts w:ascii="Times New Roman" w:hAnsi="Times New Roman" w:cs="Times New Roman" w:eastAsia="Times New Roman" w:hint="default"/>
          <w:spacing w:val="-2"/>
          <w:sz w:val="24"/>
          <w:szCs w:val="24"/>
        </w:rPr>
        <w:t>2010</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12</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31</w:t>
      </w:r>
      <w:r>
        <w:rPr>
          <w:rFonts w:ascii="宋体" w:hAnsi="宋体" w:cs="宋体" w:eastAsia="宋体" w:hint="default"/>
          <w:spacing w:val="-2"/>
          <w:sz w:val="24"/>
          <w:szCs w:val="24"/>
        </w:rPr>
        <w:t>日）</w:t>
        <w:tab/>
      </w:r>
      <w:r>
        <w:rPr>
          <w:rFonts w:ascii="宋体" w:hAnsi="宋体" w:cs="宋体" w:eastAsia="宋体" w:hint="default"/>
          <w:sz w:val="21"/>
          <w:szCs w:val="21"/>
        </w:rPr>
        <w:t>（单位：股）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35"/>
        <w:ind w:left="0" w:right="98"/>
        <w:jc w:val="right"/>
      </w:pPr>
      <w:r>
        <w:rPr/>
        <w:pict>
          <v:shape style="position:absolute;margin-left:42.66pt;margin-top:-21.923016pt;width:509.2pt;height:430.7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0"/>
                    <w:gridCol w:w="1120"/>
                    <w:gridCol w:w="910"/>
                    <w:gridCol w:w="530"/>
                    <w:gridCol w:w="700"/>
                    <w:gridCol w:w="690"/>
                    <w:gridCol w:w="1220"/>
                    <w:gridCol w:w="1170"/>
                    <w:gridCol w:w="1260"/>
                    <w:gridCol w:w="910"/>
                  </w:tblGrid>
                  <w:tr>
                    <w:trPr>
                      <w:trHeight w:val="323" w:hRule="exact"/>
                    </w:trPr>
                    <w:tc>
                      <w:tcPr>
                        <w:tcW w:w="1660" w:type="dxa"/>
                        <w:vMerge w:val="restart"/>
                        <w:tcBorders>
                          <w:top w:val="single" w:sz="4" w:space="0" w:color="000000"/>
                          <w:left w:val="single" w:sz="4" w:space="0" w:color="000000"/>
                          <w:right w:val="single" w:sz="4" w:space="0" w:color="000000"/>
                        </w:tcBorders>
                      </w:tcPr>
                      <w:p>
                        <w:pPr/>
                      </w:p>
                    </w:tc>
                    <w:tc>
                      <w:tcPr>
                        <w:tcW w:w="2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0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1660" w:type="dxa"/>
                        <w:vMerge/>
                        <w:tcBorders>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4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比例（</w:t>
                        </w:r>
                        <w:r>
                          <w:rPr>
                            <w:rFonts w:ascii="Times New Roman" w:hAnsi="Times New Roman" w:cs="Times New Roman" w:eastAsia="Times New Roman" w:hint="default"/>
                            <w:spacing w:val="-15"/>
                            <w:sz w:val="21"/>
                            <w:szCs w:val="21"/>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4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156" w:lineRule="exact"/>
                          <w:ind w:left="-138"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5" w:lineRule="exact"/>
                          <w:ind w:left="4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1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比例（</w:t>
                        </w:r>
                        <w:r>
                          <w:rPr>
                            <w:rFonts w:ascii="Times New Roman" w:hAnsi="Times New Roman" w:cs="Times New Roman" w:eastAsia="Times New Roman" w:hint="default"/>
                            <w:spacing w:val="-15"/>
                            <w:sz w:val="21"/>
                            <w:szCs w:val="21"/>
                          </w:rPr>
                          <w:t>%</w:t>
                        </w:r>
                      </w:p>
                    </w:tc>
                  </w:tr>
                  <w:tr>
                    <w:trPr>
                      <w:trHeight w:val="634"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一、有限售条件股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169,443,303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47.33</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-14,708,699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-14,708,699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154,734,604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43.23</w:t>
                        </w:r>
                      </w:p>
                    </w:tc>
                  </w:tr>
                  <w:tr>
                    <w:trPr>
                      <w:trHeight w:val="323"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55,173,386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15.41</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-6,188,771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-6,188,771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48,984,615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13.68</w:t>
                        </w:r>
                      </w:p>
                    </w:tc>
                  </w:tr>
                  <w:tr>
                    <w:trPr>
                      <w:trHeight w:val="32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2"/>
                            <w:sz w:val="21"/>
                          </w:rPr>
                          <w:t>114,263,394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31.92</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-8,519,928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-8,519,928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105,743,466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29.54</w:t>
                        </w:r>
                      </w:p>
                    </w:tc>
                  </w:tr>
                  <w:tr>
                    <w:trPr>
                      <w:trHeight w:val="635"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114,263,394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31.92</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-8,590,743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-8,590,743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105,672,651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29.52</w:t>
                        </w:r>
                      </w:p>
                    </w:tc>
                  </w:tr>
                  <w:tr>
                    <w:trPr>
                      <w:trHeight w:val="634"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49"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70,815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70,815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70,815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0.02</w:t>
                        </w:r>
                      </w:p>
                    </w:tc>
                  </w:tr>
                  <w:tr>
                    <w:trPr>
                      <w:trHeight w:val="32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5"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4"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49"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6,523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6,523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5"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二、无限售条件股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188,530,228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52.67</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14,708,699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14,708,699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203,238,927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56.77</w:t>
                        </w:r>
                      </w:p>
                    </w:tc>
                  </w:tr>
                  <w:tr>
                    <w:trPr>
                      <w:trHeight w:val="32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188,530,228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52.67</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14,708,699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14,708,699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203,238,927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56.77</w:t>
                        </w:r>
                      </w:p>
                    </w:tc>
                  </w:tr>
                  <w:tr>
                    <w:trPr>
                      <w:trHeight w:val="634"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5"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357,973,531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357,973,531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73" w:lineRule="auto" w:before="35"/>
        <w:ind w:left="1477" w:right="727" w:hanging="420"/>
        <w:jc w:val="left"/>
      </w:pPr>
      <w:r>
        <w:rPr>
          <w:spacing w:val="-3"/>
        </w:rPr>
        <w:t>注：股份变化的主要原因为报告期内公司重整程序中股东权益调整和限售股份第二次解除限</w:t>
      </w:r>
      <w:r>
        <w:rPr>
          <w:spacing w:val="-73"/>
        </w:rPr>
        <w:t> </w:t>
      </w:r>
      <w:r>
        <w:rPr>
          <w:spacing w:val="-73"/>
        </w:rPr>
      </w:r>
      <w:r>
        <w:rPr/>
        <w:t>售。</w:t>
      </w:r>
    </w:p>
    <w:p>
      <w:pPr>
        <w:spacing w:after="0" w:line="273" w:lineRule="auto"/>
        <w:jc w:val="left"/>
        <w:sectPr>
          <w:pgSz w:w="11910" w:h="16840"/>
          <w:pgMar w:header="877" w:footer="975" w:top="1100" w:bottom="1160" w:left="740" w:right="700"/>
        </w:sectPr>
      </w:pP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5" w:top="1100" w:bottom="1160" w:left="420" w:right="800"/>
        </w:sectPr>
      </w:pPr>
    </w:p>
    <w:p>
      <w:pPr>
        <w:spacing w:before="26"/>
        <w:ind w:left="1857" w:right="-20" w:firstLine="0"/>
        <w:jc w:val="left"/>
        <w:rPr>
          <w:rFonts w:ascii="宋体" w:hAnsi="宋体" w:cs="宋体" w:eastAsia="宋体" w:hint="default"/>
          <w:sz w:val="24"/>
          <w:szCs w:val="24"/>
        </w:rPr>
      </w:pPr>
      <w:r>
        <w:rPr>
          <w:rFonts w:ascii="宋体" w:hAnsi="宋体" w:cs="宋体" w:eastAsia="宋体" w:hint="default"/>
          <w:sz w:val="24"/>
          <w:szCs w:val="24"/>
        </w:rPr>
        <w:t>（二）限售股份变动情况表</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ind w:left="1857" w:right="0"/>
        <w:jc w:val="left"/>
      </w:pPr>
      <w:r>
        <w:rPr/>
        <w:t>单位：股</w:t>
      </w:r>
    </w:p>
    <w:p>
      <w:pPr>
        <w:spacing w:after="0" w:line="240" w:lineRule="auto"/>
        <w:jc w:val="left"/>
        <w:sectPr>
          <w:type w:val="continuous"/>
          <w:pgSz w:w="11910" w:h="16840"/>
          <w:pgMar w:top="1100" w:bottom="1200" w:left="420" w:right="800"/>
          <w:cols w:num="2" w:equalWidth="0">
            <w:col w:w="4738" w:space="2254"/>
            <w:col w:w="3698"/>
          </w:cols>
        </w:sectPr>
      </w:pP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79"/>
        <w:gridCol w:w="1082"/>
        <w:gridCol w:w="1079"/>
        <w:gridCol w:w="1084"/>
        <w:gridCol w:w="1136"/>
        <w:gridCol w:w="1031"/>
        <w:gridCol w:w="2149"/>
      </w:tblGrid>
      <w:tr>
        <w:trPr>
          <w:trHeight w:val="65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351" w:right="169" w:hanging="180"/>
              <w:jc w:val="left"/>
              <w:rPr>
                <w:rFonts w:ascii="宋体" w:hAnsi="宋体" w:cs="宋体" w:eastAsia="宋体" w:hint="default"/>
                <w:sz w:val="18"/>
                <w:szCs w:val="18"/>
              </w:rPr>
            </w:pPr>
            <w:r>
              <w:rPr>
                <w:rFonts w:ascii="宋体" w:hAnsi="宋体" w:cs="宋体" w:eastAsia="宋体" w:hint="default"/>
                <w:sz w:val="18"/>
                <w:szCs w:val="18"/>
              </w:rPr>
              <w:t>年初限售 股数</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169" w:right="168"/>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171" w:right="170"/>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378" w:right="197" w:hanging="180"/>
              <w:jc w:val="left"/>
              <w:rPr>
                <w:rFonts w:ascii="宋体" w:hAnsi="宋体" w:cs="宋体" w:eastAsia="宋体" w:hint="default"/>
                <w:sz w:val="18"/>
                <w:szCs w:val="18"/>
              </w:rPr>
            </w:pPr>
            <w:r>
              <w:rPr>
                <w:rFonts w:ascii="宋体" w:hAnsi="宋体" w:cs="宋体" w:eastAsia="宋体" w:hint="default"/>
                <w:sz w:val="18"/>
                <w:szCs w:val="18"/>
              </w:rPr>
              <w:t>年末限售 股数</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500"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83,763,394</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6,713,204</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5"/>
              <w:jc w:val="right"/>
              <w:rPr>
                <w:rFonts w:ascii="Times New Roman" w:hAnsi="Times New Roman" w:cs="Times New Roman" w:eastAsia="Times New Roman" w:hint="default"/>
                <w:sz w:val="18"/>
                <w:szCs w:val="18"/>
              </w:rPr>
            </w:pPr>
            <w:r>
              <w:rPr>
                <w:rFonts w:ascii="Times New Roman"/>
                <w:w w:val="95"/>
                <w:sz w:val="18"/>
              </w:rPr>
              <w:t>-12,564,509</w:t>
            </w:r>
            <w:r>
              <w:rPr>
                <w:rFonts w:ascii="Times New Roman"/>
                <w:sz w:val="18"/>
              </w:rPr>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64,485,681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5" w:lineRule="exact"/>
              <w:ind w:left="98" w:right="0"/>
              <w:jc w:val="left"/>
              <w:rPr>
                <w:rFonts w:ascii="宋体" w:hAnsi="宋体" w:cs="宋体" w:eastAsia="宋体" w:hint="default"/>
                <w:sz w:val="18"/>
                <w:szCs w:val="18"/>
              </w:rPr>
            </w:pPr>
            <w:r>
              <w:rPr>
                <w:rFonts w:ascii="宋体" w:hAnsi="宋体" w:cs="宋体" w:eastAsia="宋体" w:hint="default"/>
                <w:sz w:val="18"/>
                <w:szCs w:val="18"/>
              </w:rPr>
              <w:t>第二次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00"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 w:right="0"/>
              <w:jc w:val="left"/>
              <w:rPr>
                <w:rFonts w:ascii="宋体" w:hAnsi="宋体" w:cs="宋体" w:eastAsia="宋体" w:hint="default"/>
                <w:sz w:val="18"/>
                <w:szCs w:val="18"/>
              </w:rPr>
            </w:pPr>
            <w:r>
              <w:rPr>
                <w:rFonts w:ascii="宋体" w:hAnsi="宋体" w:cs="宋体" w:eastAsia="宋体" w:hint="default"/>
                <w:sz w:val="18"/>
                <w:szCs w:val="18"/>
              </w:rPr>
              <w:t>深圳市宝安区投资管理有限公司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34,112,597</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2,733,949</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184" w:right="0"/>
              <w:jc w:val="left"/>
              <w:rPr>
                <w:rFonts w:ascii="Times New Roman" w:hAnsi="Times New Roman" w:cs="Times New Roman" w:eastAsia="Times New Roman" w:hint="default"/>
                <w:sz w:val="18"/>
                <w:szCs w:val="18"/>
              </w:rPr>
            </w:pPr>
            <w:r>
              <w:rPr>
                <w:rFonts w:ascii="Times New Roman"/>
                <w:sz w:val="18"/>
              </w:rPr>
              <w:t>-5,116,889</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26,261,759</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5" w:lineRule="exact"/>
              <w:ind w:left="98" w:right="0"/>
              <w:jc w:val="left"/>
              <w:rPr>
                <w:rFonts w:ascii="宋体" w:hAnsi="宋体" w:cs="宋体" w:eastAsia="宋体" w:hint="default"/>
                <w:sz w:val="18"/>
                <w:szCs w:val="18"/>
              </w:rPr>
            </w:pPr>
            <w:r>
              <w:rPr>
                <w:rFonts w:ascii="宋体" w:hAnsi="宋体" w:cs="宋体" w:eastAsia="宋体" w:hint="default"/>
                <w:sz w:val="18"/>
                <w:szCs w:val="18"/>
              </w:rPr>
              <w:t>第二次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8"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98" w:right="0"/>
              <w:jc w:val="left"/>
              <w:rPr>
                <w:rFonts w:ascii="宋体" w:hAnsi="宋体" w:cs="宋体" w:eastAsia="宋体" w:hint="default"/>
                <w:sz w:val="18"/>
                <w:szCs w:val="18"/>
              </w:rPr>
            </w:pPr>
            <w:r>
              <w:rPr>
                <w:rFonts w:ascii="宋体" w:hAnsi="宋体" w:cs="宋体" w:eastAsia="宋体" w:hint="default"/>
                <w:sz w:val="18"/>
                <w:szCs w:val="18"/>
              </w:rPr>
              <w:t>重庆润江基础设施投资有限公司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sz w:val="18"/>
              </w:rPr>
              <w:t>30,500,000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sz w:val="18"/>
              </w:rPr>
              <w:t>2,592,500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184" w:right="0"/>
              <w:jc w:val="left"/>
              <w:rPr>
                <w:rFonts w:ascii="Times New Roman" w:hAnsi="Times New Roman" w:cs="Times New Roman" w:eastAsia="Times New Roman" w:hint="default"/>
                <w:sz w:val="18"/>
                <w:szCs w:val="18"/>
              </w:rPr>
            </w:pPr>
            <w:r>
              <w:rPr>
                <w:rFonts w:ascii="Times New Roman"/>
                <w:sz w:val="18"/>
              </w:rPr>
              <w:t>-4,575,000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sz w:val="18"/>
              </w:rPr>
              <w:t>23,332,500</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98"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8"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98" w:right="0"/>
              <w:jc w:val="left"/>
              <w:rPr>
                <w:rFonts w:ascii="宋体" w:hAnsi="宋体" w:cs="宋体" w:eastAsia="宋体" w:hint="default"/>
                <w:sz w:val="18"/>
                <w:szCs w:val="18"/>
              </w:rPr>
            </w:pPr>
            <w:r>
              <w:rPr>
                <w:rFonts w:ascii="宋体" w:hAnsi="宋体" w:cs="宋体" w:eastAsia="宋体" w:hint="default"/>
                <w:sz w:val="18"/>
                <w:szCs w:val="18"/>
              </w:rPr>
              <w:t>华润深国投信托有限公司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sz w:val="18"/>
              </w:rPr>
              <w:t>21,060,789</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184" w:right="0"/>
              <w:jc w:val="left"/>
              <w:rPr>
                <w:rFonts w:ascii="Times New Roman" w:hAnsi="Times New Roman" w:cs="Times New Roman" w:eastAsia="Times New Roman" w:hint="default"/>
                <w:sz w:val="18"/>
                <w:szCs w:val="18"/>
              </w:rPr>
            </w:pPr>
            <w:r>
              <w:rPr>
                <w:rFonts w:ascii="Times New Roman"/>
                <w:sz w:val="18"/>
              </w:rPr>
              <w:t>-3,159,118</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sz w:val="18"/>
              </w:rPr>
              <w:t>17,901,671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w:t>
            </w:r>
          </w:p>
        </w:tc>
      </w:tr>
      <w:tr>
        <w:trPr>
          <w:trHeight w:val="47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中国东方资产管理公司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244" w:right="0"/>
              <w:jc w:val="left"/>
              <w:rPr>
                <w:rFonts w:ascii="Times New Roman" w:hAnsi="Times New Roman" w:cs="Times New Roman" w:eastAsia="Times New Roman" w:hint="default"/>
                <w:sz w:val="18"/>
                <w:szCs w:val="18"/>
              </w:rPr>
            </w:pPr>
            <w:r>
              <w:rPr>
                <w:rFonts w:ascii="Times New Roman"/>
                <w:sz w:val="18"/>
              </w:rPr>
              <w:t>4,743,835</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4,743,835</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r>
      <w:tr>
        <w:trPr>
          <w:trHeight w:val="499"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深圳市深信泰丰（集团）股份有限</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公司管理人</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2,669,046</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169" w:right="0"/>
              <w:jc w:val="left"/>
              <w:rPr>
                <w:rFonts w:ascii="Times New Roman" w:hAnsi="Times New Roman" w:cs="Times New Roman" w:eastAsia="Times New Roman" w:hint="default"/>
                <w:sz w:val="18"/>
                <w:szCs w:val="18"/>
              </w:rPr>
            </w:pPr>
            <w:r>
              <w:rPr>
                <w:rFonts w:ascii="Times New Roman"/>
                <w:sz w:val="18"/>
              </w:rPr>
              <w:t>5,216,916</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2,547,870</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中国农业银行深圳红岭北路支行</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44" w:right="0"/>
              <w:jc w:val="left"/>
              <w:rPr>
                <w:rFonts w:ascii="Times New Roman" w:hAnsi="Times New Roman" w:cs="Times New Roman" w:eastAsia="Times New Roman" w:hint="default"/>
                <w:sz w:val="18"/>
                <w:szCs w:val="18"/>
              </w:rPr>
            </w:pPr>
            <w:r>
              <w:rPr>
                <w:rFonts w:ascii="Times New Roman"/>
                <w:sz w:val="18"/>
              </w:rPr>
              <w:t>2,502,362</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2,502,362</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44" w:right="0"/>
              <w:jc w:val="left"/>
              <w:rPr>
                <w:rFonts w:ascii="Times New Roman" w:hAnsi="Times New Roman" w:cs="Times New Roman" w:eastAsia="Times New Roman" w:hint="default"/>
                <w:sz w:val="18"/>
                <w:szCs w:val="18"/>
              </w:rPr>
            </w:pPr>
            <w:r>
              <w:rPr>
                <w:rFonts w:ascii="Times New Roman"/>
                <w:sz w:val="18"/>
              </w:rPr>
              <w:t>2,359,870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2,359,870</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深圳市海王健康连锁店有限公司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44" w:right="0"/>
              <w:jc w:val="left"/>
              <w:rPr>
                <w:rFonts w:ascii="Times New Roman" w:hAnsi="Times New Roman" w:cs="Times New Roman" w:eastAsia="Times New Roman" w:hint="default"/>
                <w:sz w:val="18"/>
                <w:szCs w:val="18"/>
              </w:rPr>
            </w:pPr>
            <w:r>
              <w:rPr>
                <w:rFonts w:ascii="Times New Roman"/>
                <w:sz w:val="18"/>
              </w:rPr>
              <w:t>1,819,143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1,819,143</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深圳市深国投实业有限公司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44" w:right="0"/>
              <w:jc w:val="left"/>
              <w:rPr>
                <w:rFonts w:ascii="Times New Roman" w:hAnsi="Times New Roman" w:cs="Times New Roman" w:eastAsia="Times New Roman" w:hint="default"/>
                <w:sz w:val="18"/>
                <w:szCs w:val="18"/>
              </w:rPr>
            </w:pPr>
            <w:r>
              <w:rPr>
                <w:rFonts w:ascii="Times New Roman"/>
                <w:sz w:val="18"/>
              </w:rPr>
              <w:t>1,015,117</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1,015,117</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兴业银行股份有限公司深圳分行</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846,366</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846,366</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499"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z w:val="18"/>
                <w:szCs w:val="18"/>
              </w:rPr>
              <w:t>广东发展银行股份有限公司南京</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824,343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824,343</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深圳农村商业银行股份有限公司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701,653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701,653</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500"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z w:val="18"/>
                <w:szCs w:val="18"/>
              </w:rPr>
              <w:t>广东发展银行股份有限公司深圳</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642,848</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642,848</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w:t>
            </w:r>
          </w:p>
        </w:tc>
      </w:tr>
      <w:tr>
        <w:trPr>
          <w:trHeight w:val="499"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深圳市龙岗区华宝经济发展有限公</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622,534</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622,534</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609,565</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609,565</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广州文瑞生物科技有限公司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576,500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576,500</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深圳海王药业有限公司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473,103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473,103</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500"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深圳分行</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466,474</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466,474</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深圳市穗安物业有限公司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384,057</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384,057</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深圳发展银行股份有限公司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383,447</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383,447</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深圳市宝安建鑫实业有限公司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352,382</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352,382</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深圳市深信泰丰投资发展有限公司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213,771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213,771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深圳南海益田置业有限公司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150,358</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150,358</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深圳市共乐股份合作公司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92,710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92,710</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开平市工业资产经营公司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77,350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77,350</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烟台园城企业集团股份有限公司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66,093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66,093</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江苏益荣模具科技有限公司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65,330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65,330</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深圳市汇德祥贸易有限公司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58,485</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58,485</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7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98" w:right="0"/>
              <w:jc w:val="left"/>
              <w:rPr>
                <w:rFonts w:ascii="宋体" w:hAnsi="宋体" w:cs="宋体" w:eastAsia="宋体" w:hint="default"/>
                <w:sz w:val="18"/>
                <w:szCs w:val="18"/>
              </w:rPr>
            </w:pPr>
            <w:r>
              <w:rPr>
                <w:rFonts w:ascii="宋体" w:hAnsi="宋体" w:cs="宋体" w:eastAsia="宋体" w:hint="default"/>
                <w:sz w:val="18"/>
                <w:szCs w:val="18"/>
              </w:rPr>
              <w:t>深圳市华宝西部物业管理有限公司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49,563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49,563</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杨恒</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45,013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45,013</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深圳市科源建设集团有限公司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16,374</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16,374</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苏彩娣</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15,049</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15,049</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420" w:right="800"/>
        </w:sectPr>
      </w:pPr>
    </w:p>
    <w:p>
      <w:pPr>
        <w:spacing w:line="240" w:lineRule="auto" w:before="11"/>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879"/>
        <w:gridCol w:w="1082"/>
        <w:gridCol w:w="1079"/>
        <w:gridCol w:w="1084"/>
        <w:gridCol w:w="1136"/>
        <w:gridCol w:w="1031"/>
        <w:gridCol w:w="2149"/>
      </w:tblGrid>
      <w:tr>
        <w:trPr>
          <w:trHeight w:val="278"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梁侠</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18"/>
                <w:szCs w:val="18"/>
              </w:rPr>
            </w:pPr>
            <w:r>
              <w:rPr>
                <w:rFonts w:ascii="Times New Roman"/>
                <w:sz w:val="18"/>
              </w:rPr>
              <w:t>6,523</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18"/>
                <w:szCs w:val="18"/>
              </w:rPr>
            </w:pPr>
            <w:r>
              <w:rPr>
                <w:rFonts w:ascii="Times New Roman"/>
                <w:sz w:val="18"/>
              </w:rPr>
              <w:t>-652</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18"/>
                <w:szCs w:val="18"/>
              </w:rPr>
            </w:pPr>
            <w:r>
              <w:rPr>
                <w:rFonts w:ascii="Times New Roman"/>
                <w:sz w:val="18"/>
              </w:rPr>
              <w:t>5,871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高管股份</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按交易所有关规定执行</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佛山市南海区线路板厂</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5,781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5,781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r>
      <w:tr>
        <w:trPr>
          <w:trHeight w:val="358"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left="98" w:right="0"/>
              <w:jc w:val="left"/>
              <w:rPr>
                <w:rFonts w:ascii="宋体" w:hAnsi="宋体" w:cs="宋体" w:eastAsia="宋体" w:hint="default"/>
                <w:sz w:val="18"/>
                <w:szCs w:val="18"/>
              </w:rPr>
            </w:pPr>
            <w:r>
              <w:rPr>
                <w:rFonts w:ascii="宋体" w:hAnsi="宋体" w:cs="宋体" w:eastAsia="宋体" w:hint="default"/>
                <w:sz w:val="18"/>
                <w:szCs w:val="18"/>
              </w:rPr>
              <w:t>东阳市向荣电声有限公司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pacing w:val="-1"/>
                <w:sz w:val="18"/>
              </w:rPr>
              <w:t>3,503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z w:val="18"/>
              </w:rPr>
              <w:t>3,503</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深圳市华彩文化传播有限公司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2,888</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2,888</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李继文</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2,271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2,271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李铭园</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2,242</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2,242</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何春方</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1,621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1,621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张丹</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1,411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1,411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深圳知己讯联通讯有限公司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1,286</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1,286</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张威娜</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1,070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1,070</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广东风华高新科技股份有限公司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1,025</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1,025</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5"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沈志峰</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907</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907</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杨燕</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810</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周维伟</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421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421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w:t>
            </w:r>
          </w:p>
        </w:tc>
      </w:tr>
      <w:tr>
        <w:trPr>
          <w:trHeight w:val="500"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深圳市松本先天下科技发展有限</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321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Times New Roman" w:hAnsi="Times New Roman" w:cs="Times New Roman" w:eastAsia="Times New Roman" w:hint="default"/>
                <w:sz w:val="18"/>
                <w:szCs w:val="18"/>
              </w:rPr>
            </w:pPr>
            <w:r>
              <w:rPr>
                <w:rFonts w:ascii="Times New Roman"/>
                <w:sz w:val="18"/>
              </w:rPr>
              <w:t>321</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89"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169,443,303</w:t>
            </w:r>
          </w:p>
        </w:tc>
        <w:tc>
          <w:tcPr>
            <w:tcW w:w="1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58" w:right="-10"/>
              <w:jc w:val="left"/>
              <w:rPr>
                <w:rFonts w:ascii="Times New Roman" w:hAnsi="Times New Roman" w:cs="Times New Roman" w:eastAsia="Times New Roman" w:hint="default"/>
                <w:sz w:val="18"/>
                <w:szCs w:val="18"/>
              </w:rPr>
            </w:pPr>
            <w:r>
              <w:rPr>
                <w:rFonts w:ascii="Times New Roman"/>
                <w:sz w:val="18"/>
              </w:rPr>
              <w:t>14,708,699</w:t>
            </w:r>
          </w:p>
        </w:tc>
        <w:tc>
          <w:tcPr>
            <w:tcW w:w="1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154,734,604</w:t>
            </w:r>
          </w:p>
        </w:tc>
        <w:tc>
          <w:tcPr>
            <w:tcW w:w="1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348" w:lineRule="auto" w:before="76"/>
        <w:ind w:left="2113" w:right="981" w:hanging="316"/>
        <w:jc w:val="left"/>
      </w:pPr>
      <w:r>
        <w:rPr>
          <w:spacing w:val="-3"/>
        </w:rPr>
        <w:t>注：限售股份变化的主要原因为报告期内公司重整程序中股东权益调整和限售股份第二</w:t>
      </w:r>
      <w:r>
        <w:rPr>
          <w:spacing w:val="-79"/>
        </w:rPr>
        <w:t> </w:t>
      </w:r>
      <w:r>
        <w:rPr>
          <w:spacing w:val="-79"/>
        </w:rPr>
      </w:r>
      <w:r>
        <w:rPr/>
        <w:t>次解除限售。</w:t>
      </w:r>
    </w:p>
    <w:p>
      <w:pPr>
        <w:spacing w:line="240" w:lineRule="auto" w:before="6"/>
        <w:rPr>
          <w:rFonts w:ascii="宋体" w:hAnsi="宋体" w:cs="宋体" w:eastAsia="宋体" w:hint="default"/>
          <w:sz w:val="27"/>
          <w:szCs w:val="27"/>
        </w:rPr>
      </w:pPr>
    </w:p>
    <w:p>
      <w:pPr>
        <w:pStyle w:val="Heading3"/>
        <w:spacing w:line="240" w:lineRule="auto"/>
        <w:ind w:left="1799" w:right="981"/>
        <w:jc w:val="left"/>
        <w:rPr>
          <w:b w:val="0"/>
          <w:bCs w:val="0"/>
        </w:rPr>
      </w:pPr>
      <w:r>
        <w:rPr/>
        <w:t>三、近三年证券发行与上市情况</w:t>
      </w:r>
      <w:r>
        <w:rPr>
          <w:b w:val="0"/>
          <w:bCs w:val="0"/>
        </w:rPr>
      </w:r>
    </w:p>
    <w:p>
      <w:pPr>
        <w:pStyle w:val="BodyText"/>
        <w:spacing w:line="240" w:lineRule="auto" w:before="85"/>
        <w:ind w:left="1797" w:right="981"/>
        <w:jc w:val="left"/>
      </w:pPr>
      <w:r>
        <w:rPr/>
        <w:t>（一）</w:t>
      </w:r>
      <w:r>
        <w:rPr>
          <w:rFonts w:ascii="Times New Roman" w:hAnsi="Times New Roman" w:cs="Times New Roman" w:eastAsia="Times New Roman" w:hint="default"/>
        </w:rPr>
        <w:t>2008</w:t>
      </w:r>
      <w:r>
        <w:rPr/>
        <w:t>年实施股改时的股份变化</w:t>
      </w:r>
    </w:p>
    <w:p>
      <w:pPr>
        <w:pStyle w:val="BodyText"/>
        <w:spacing w:line="240" w:lineRule="auto" w:before="69"/>
        <w:ind w:left="1797" w:right="981"/>
        <w:jc w:val="left"/>
      </w:pPr>
      <w:r>
        <w:rPr>
          <w:rFonts w:ascii="Times New Roman" w:hAnsi="Times New Roman" w:cs="Times New Roman" w:eastAsia="Times New Roman" w:hint="default"/>
        </w:rPr>
        <w:t>2008</w:t>
      </w:r>
      <w:r>
        <w:rPr/>
        <w:t>年度，公司通过资本公积金转增股本方式实施股改，股本由</w:t>
      </w:r>
      <w:r>
        <w:rPr>
          <w:rFonts w:ascii="Times New Roman" w:hAnsi="Times New Roman" w:cs="Times New Roman" w:eastAsia="Times New Roman" w:hint="default"/>
        </w:rPr>
        <w:t>311,139,400</w:t>
      </w:r>
      <w:r>
        <w:rPr/>
        <w:t>股增加到</w:t>
      </w:r>
    </w:p>
    <w:p>
      <w:pPr>
        <w:pStyle w:val="BodyText"/>
        <w:spacing w:line="240" w:lineRule="auto" w:before="69"/>
        <w:ind w:left="1377" w:right="981"/>
        <w:jc w:val="left"/>
      </w:pPr>
      <w:r>
        <w:rPr>
          <w:rFonts w:ascii="Times New Roman" w:hAnsi="Times New Roman" w:cs="Times New Roman" w:eastAsia="Times New Roman" w:hint="default"/>
        </w:rPr>
        <w:t>357,973,531</w:t>
      </w:r>
      <w:r>
        <w:rPr/>
        <w:t>股，公司股票于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日起恢复交易。</w:t>
      </w:r>
    </w:p>
    <w:p>
      <w:pPr>
        <w:pStyle w:val="BodyText"/>
        <w:spacing w:line="240" w:lineRule="auto" w:before="69"/>
        <w:ind w:left="1797" w:right="981"/>
        <w:jc w:val="left"/>
      </w:pPr>
      <w:r>
        <w:rPr/>
        <w:t>（二）</w:t>
      </w:r>
      <w:r>
        <w:rPr>
          <w:rFonts w:ascii="Times New Roman" w:hAnsi="Times New Roman" w:cs="Times New Roman" w:eastAsia="Times New Roman" w:hint="default"/>
        </w:rPr>
        <w:t>2009</w:t>
      </w:r>
      <w:r>
        <w:rPr/>
        <w:t>年第一次解除限售</w:t>
      </w:r>
    </w:p>
    <w:p>
      <w:pPr>
        <w:pStyle w:val="BodyText"/>
        <w:spacing w:line="297" w:lineRule="auto" w:before="69"/>
        <w:ind w:left="1377" w:right="981" w:firstLine="420"/>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日，公司完成第一次股份解除限售工作，解除限售股份共</w:t>
      </w:r>
      <w:r>
        <w:rPr>
          <w:rFonts w:ascii="Times New Roman" w:hAnsi="Times New Roman" w:cs="Times New Roman" w:eastAsia="Times New Roman" w:hint="default"/>
          <w:spacing w:val="-2"/>
        </w:rPr>
        <w:t>57,043,754</w:t>
      </w:r>
      <w:r>
        <w:rPr>
          <w:spacing w:val="-2"/>
        </w:rPr>
        <w:t>股，占</w:t>
      </w:r>
      <w:r>
        <w:rPr/>
        <w:t> 公司总股本的</w:t>
      </w:r>
      <w:r>
        <w:rPr>
          <w:rFonts w:ascii="Times New Roman" w:hAnsi="Times New Roman" w:cs="Times New Roman" w:eastAsia="Times New Roman" w:hint="default"/>
        </w:rPr>
        <w:t>15.94%</w:t>
      </w:r>
      <w:r>
        <w:rPr/>
        <w:t>。</w:t>
      </w:r>
    </w:p>
    <w:p>
      <w:pPr>
        <w:pStyle w:val="BodyText"/>
        <w:spacing w:line="240" w:lineRule="auto" w:before="13"/>
        <w:ind w:left="1797" w:right="981"/>
        <w:jc w:val="left"/>
      </w:pPr>
      <w:r>
        <w:rPr/>
        <w:t>（三）</w:t>
      </w:r>
      <w:r>
        <w:rPr>
          <w:rFonts w:ascii="Times New Roman" w:hAnsi="Times New Roman" w:cs="Times New Roman" w:eastAsia="Times New Roman" w:hint="default"/>
        </w:rPr>
        <w:t>2010</w:t>
      </w:r>
      <w:r>
        <w:rPr/>
        <w:t>年第二次解除限售</w:t>
      </w:r>
    </w:p>
    <w:p>
      <w:pPr>
        <w:pStyle w:val="BodyText"/>
        <w:spacing w:line="240" w:lineRule="auto" w:before="69"/>
        <w:ind w:left="1797" w:right="981"/>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日，公司实施第二次解除限售，本次限售股份中实际可上市流通数量为</w:t>
      </w:r>
    </w:p>
    <w:p>
      <w:pPr>
        <w:pStyle w:val="BodyText"/>
        <w:spacing w:line="240" w:lineRule="auto" w:before="69"/>
        <w:ind w:left="1362" w:right="5806"/>
        <w:jc w:val="center"/>
      </w:pPr>
      <w:r>
        <w:rPr>
          <w:rFonts w:ascii="Times New Roman" w:hAnsi="Times New Roman" w:cs="Times New Roman" w:eastAsia="Times New Roman" w:hint="default"/>
        </w:rPr>
        <w:t>14,708,699</w:t>
      </w:r>
      <w:r>
        <w:rPr>
          <w:rFonts w:ascii="Times New Roman" w:hAnsi="Times New Roman" w:cs="Times New Roman" w:eastAsia="Times New Roman" w:hint="default"/>
          <w:spacing w:val="45"/>
        </w:rPr>
        <w:t> </w:t>
      </w:r>
      <w:r>
        <w:rPr/>
        <w:t>股，占总股本比例</w:t>
      </w:r>
      <w:r>
        <w:rPr>
          <w:rFonts w:ascii="Times New Roman" w:hAnsi="Times New Roman" w:cs="Times New Roman" w:eastAsia="Times New Roman" w:hint="default"/>
        </w:rPr>
        <w:t>4.11%</w:t>
      </w:r>
      <w:r>
        <w:rPr/>
        <w:t>。</w:t>
      </w:r>
    </w:p>
    <w:p>
      <w:pPr>
        <w:pStyle w:val="BodyText"/>
        <w:spacing w:line="314" w:lineRule="auto" w:before="69"/>
        <w:ind w:left="1377" w:right="991" w:firstLine="420"/>
        <w:jc w:val="both"/>
      </w:pPr>
      <w:r>
        <w:rPr>
          <w:spacing w:val="-3"/>
        </w:rPr>
        <w:t>（四）除上述变化外，近三年内，公司没有因配股、增发新股、非公开发行股票、权证</w:t>
      </w:r>
      <w:r>
        <w:rPr/>
        <w:t> </w:t>
      </w:r>
      <w:r>
        <w:rPr>
          <w:spacing w:val="-3"/>
        </w:rPr>
        <w:t>行权、实施股权激励计划、吸收合并、可转换公司债券转股、减资、内部职工股上市、债券</w:t>
      </w:r>
      <w:r>
        <w:rPr>
          <w:spacing w:val="-75"/>
        </w:rPr>
        <w:t> </w:t>
      </w:r>
      <w:r>
        <w:rPr>
          <w:spacing w:val="-75"/>
        </w:rPr>
      </w:r>
      <w:r>
        <w:rPr/>
        <w:t>发行或其他原因引起公司股份总数变动及结构较大变动的情形。</w:t>
      </w:r>
    </w:p>
    <w:p>
      <w:pPr>
        <w:pStyle w:val="BodyText"/>
        <w:spacing w:line="314" w:lineRule="auto" w:before="20"/>
        <w:ind w:left="1377" w:right="981" w:firstLine="420"/>
        <w:jc w:val="left"/>
      </w:pPr>
      <w:r>
        <w:rPr>
          <w:spacing w:val="-3"/>
        </w:rPr>
        <w:t>（五）近三年内，没有发行可转换公司债券、分离交易的可转换公司债券、公司债券及</w:t>
      </w:r>
      <w:r>
        <w:rPr/>
        <w:t> 其他衍生证券。</w:t>
      </w:r>
    </w:p>
    <w:p>
      <w:pPr>
        <w:pStyle w:val="BodyText"/>
        <w:spacing w:line="240" w:lineRule="auto" w:before="20"/>
        <w:ind w:left="1797" w:right="981"/>
        <w:jc w:val="left"/>
      </w:pPr>
      <w:r>
        <w:rPr/>
        <w:t>（六）报告期内公司没有内部职工股。</w:t>
      </w:r>
    </w:p>
    <w:p>
      <w:pPr>
        <w:spacing w:after="0" w:line="240" w:lineRule="auto"/>
        <w:jc w:val="left"/>
        <w:sectPr>
          <w:pgSz w:w="11910" w:h="16840"/>
          <w:pgMar w:header="877" w:footer="975" w:top="1100" w:bottom="1160" w:left="420" w:right="800"/>
        </w:sect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5" w:top="1100" w:bottom="1160" w:left="960" w:right="980"/>
        </w:sectPr>
      </w:pPr>
    </w:p>
    <w:p>
      <w:pPr>
        <w:pStyle w:val="Heading3"/>
        <w:spacing w:line="240" w:lineRule="auto" w:before="35"/>
        <w:ind w:left="1260" w:right="0"/>
        <w:jc w:val="left"/>
        <w:rPr>
          <w:b w:val="0"/>
          <w:bCs w:val="0"/>
        </w:rPr>
      </w:pPr>
      <w:r>
        <w:rPr/>
        <w:t>四、股东情况介绍</w:t>
      </w:r>
      <w:r>
        <w:rPr>
          <w:b w:val="0"/>
          <w:bCs w:val="0"/>
        </w:rPr>
      </w:r>
    </w:p>
    <w:p>
      <w:pPr>
        <w:pStyle w:val="Heading3"/>
        <w:spacing w:line="240" w:lineRule="auto" w:before="85"/>
        <w:ind w:left="1153" w:right="0"/>
        <w:jc w:val="left"/>
        <w:rPr>
          <w:b w:val="0"/>
          <w:bCs w:val="0"/>
        </w:rPr>
      </w:pPr>
      <w:r>
        <w:rPr/>
        <w:t>（一）报告期末股东总数</w:t>
      </w:r>
      <w:r>
        <w:rPr>
          <w:b w:val="0"/>
          <w:bCs w:val="0"/>
        </w:rPr>
      </w:r>
    </w:p>
    <w:p>
      <w:pPr>
        <w:pStyle w:val="BodyText"/>
        <w:spacing w:line="240" w:lineRule="auto" w:before="85"/>
        <w:ind w:left="1257"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日，公司股东总数为</w:t>
      </w:r>
      <w:r>
        <w:rPr>
          <w:rFonts w:ascii="Times New Roman" w:hAnsi="Times New Roman" w:cs="Times New Roman" w:eastAsia="Times New Roman" w:hint="default"/>
        </w:rPr>
        <w:t>28,514</w:t>
      </w:r>
      <w:r>
        <w:rPr/>
        <w:t>人。</w:t>
      </w:r>
    </w:p>
    <w:p>
      <w:pPr>
        <w:pStyle w:val="Heading3"/>
        <w:spacing w:line="240" w:lineRule="auto" w:before="69"/>
        <w:ind w:left="1153" w:right="0"/>
        <w:jc w:val="left"/>
        <w:rPr>
          <w:b w:val="0"/>
          <w:bCs w:val="0"/>
        </w:rPr>
      </w:pPr>
      <w:r>
        <w:rPr>
          <w:w w:val="95"/>
        </w:rPr>
        <w:t>（二）前</w:t>
      </w:r>
      <w:r>
        <w:rPr>
          <w:rFonts w:ascii="Times New Roman" w:hAnsi="Times New Roman" w:cs="Times New Roman" w:eastAsia="Times New Roman" w:hint="default"/>
          <w:w w:val="95"/>
        </w:rPr>
        <w:t>10</w:t>
      </w:r>
      <w:r>
        <w:rPr>
          <w:w w:val="95"/>
        </w:rPr>
        <w:t>名股东持股情况（</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BodyText"/>
        <w:spacing w:line="240" w:lineRule="auto"/>
        <w:ind w:left="1153" w:right="0"/>
        <w:jc w:val="left"/>
      </w:pPr>
      <w:r>
        <w:rPr/>
        <w:t>单位：股</w:t>
      </w:r>
    </w:p>
    <w:p>
      <w:pPr>
        <w:spacing w:after="0" w:line="240" w:lineRule="auto"/>
        <w:jc w:val="left"/>
        <w:sectPr>
          <w:type w:val="continuous"/>
          <w:pgSz w:w="11910" w:h="16840"/>
          <w:pgMar w:top="1100" w:bottom="1200" w:left="960" w:right="980"/>
          <w:cols w:num="2" w:equalWidth="0">
            <w:col w:w="5576" w:space="1729"/>
            <w:col w:w="2665"/>
          </w:cols>
        </w:sectPr>
      </w:pP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060"/>
        <w:gridCol w:w="1648"/>
        <w:gridCol w:w="1232"/>
        <w:gridCol w:w="1069"/>
        <w:gridCol w:w="1441"/>
        <w:gridCol w:w="1284"/>
      </w:tblGrid>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名股东持股总数</w:t>
            </w:r>
          </w:p>
        </w:tc>
        <w:tc>
          <w:tcPr>
            <w:tcW w:w="66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170,900,092</w:t>
            </w:r>
          </w:p>
        </w:tc>
      </w:tr>
      <w:tr>
        <w:trPr>
          <w:trHeight w:val="323" w:hRule="exact"/>
        </w:trPr>
        <w:tc>
          <w:tcPr>
            <w:tcW w:w="97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63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7"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0"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1"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40" w:lineRule="auto" w:before="37"/>
              <w:ind w:left="111"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中国希格玛有限公司</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8"/>
              <w:jc w:val="right"/>
              <w:rPr>
                <w:rFonts w:ascii="宋体" w:hAnsi="宋体" w:cs="宋体" w:eastAsia="宋体" w:hint="default"/>
                <w:sz w:val="21"/>
                <w:szCs w:val="21"/>
              </w:rPr>
            </w:pPr>
            <w:r>
              <w:rPr>
                <w:rFonts w:ascii="宋体" w:hAnsi="宋体" w:cs="宋体" w:eastAsia="宋体" w:hint="default"/>
                <w:sz w:val="21"/>
                <w:szCs w:val="21"/>
              </w:rPr>
              <w:t>境内一般法人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78,306,968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21.88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64,485,681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4" w:right="0"/>
              <w:jc w:val="left"/>
              <w:rPr>
                <w:rFonts w:ascii="Times New Roman" w:hAnsi="Times New Roman" w:cs="Times New Roman" w:eastAsia="Times New Roman" w:hint="default"/>
                <w:sz w:val="21"/>
                <w:szCs w:val="21"/>
              </w:rPr>
            </w:pPr>
            <w:r>
              <w:rPr>
                <w:rFonts w:ascii="Times New Roman"/>
                <w:sz w:val="21"/>
              </w:rPr>
              <w:t>78,306,968</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深圳市宝安区投资管理有限公司</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8"/>
              <w:jc w:val="right"/>
              <w:rPr>
                <w:rFonts w:ascii="宋体" w:hAnsi="宋体" w:cs="宋体" w:eastAsia="宋体" w:hint="default"/>
                <w:sz w:val="21"/>
                <w:szCs w:val="21"/>
              </w:rPr>
            </w:pPr>
            <w:r>
              <w:rPr>
                <w:rFonts w:ascii="宋体" w:hAnsi="宋体" w:cs="宋体" w:eastAsia="宋体" w:hint="default"/>
                <w:sz w:val="21"/>
                <w:szCs w:val="21"/>
              </w:rPr>
              <w:t>国有法人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26,261,759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7.34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26,261,759</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重庆润江基础设施投资有限公司</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8"/>
              <w:jc w:val="right"/>
              <w:rPr>
                <w:rFonts w:ascii="宋体" w:hAnsi="宋体" w:cs="宋体" w:eastAsia="宋体" w:hint="default"/>
                <w:sz w:val="21"/>
                <w:szCs w:val="21"/>
              </w:rPr>
            </w:pPr>
            <w:r>
              <w:rPr>
                <w:rFonts w:ascii="宋体" w:hAnsi="宋体" w:cs="宋体" w:eastAsia="宋体" w:hint="default"/>
                <w:sz w:val="21"/>
                <w:szCs w:val="21"/>
              </w:rPr>
              <w:t>境内一般法人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25,162,500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7.03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23,332,500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8"/>
              <w:jc w:val="right"/>
              <w:rPr>
                <w:rFonts w:ascii="宋体" w:hAnsi="宋体" w:cs="宋体" w:eastAsia="宋体" w:hint="default"/>
                <w:sz w:val="21"/>
                <w:szCs w:val="21"/>
              </w:rPr>
            </w:pPr>
            <w:r>
              <w:rPr>
                <w:rFonts w:ascii="宋体" w:hAnsi="宋体" w:cs="宋体" w:eastAsia="宋体" w:hint="default"/>
                <w:sz w:val="21"/>
                <w:szCs w:val="21"/>
              </w:rPr>
              <w:t>国有法人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17,901,671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17,901,671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0" w:right="0"/>
              <w:jc w:val="left"/>
              <w:rPr>
                <w:rFonts w:ascii="Times New Roman" w:hAnsi="Times New Roman" w:cs="Times New Roman" w:eastAsia="Times New Roman" w:hint="default"/>
                <w:sz w:val="21"/>
                <w:szCs w:val="21"/>
              </w:rPr>
            </w:pPr>
            <w:r>
              <w:rPr>
                <w:rFonts w:ascii="Times New Roman"/>
                <w:sz w:val="21"/>
              </w:rPr>
              <w:t>17,901,671</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3"/>
              <w:jc w:val="right"/>
              <w:rPr>
                <w:rFonts w:ascii="宋体" w:hAnsi="宋体" w:cs="宋体" w:eastAsia="宋体" w:hint="default"/>
                <w:sz w:val="21"/>
                <w:szCs w:val="21"/>
              </w:rPr>
            </w:pPr>
            <w:r>
              <w:rPr>
                <w:rFonts w:ascii="宋体" w:hAnsi="宋体" w:cs="宋体" w:eastAsia="宋体" w:hint="default"/>
                <w:sz w:val="21"/>
                <w:szCs w:val="21"/>
              </w:rPr>
              <w:t>国有法人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21"/>
                <w:szCs w:val="21"/>
              </w:rPr>
            </w:pPr>
            <w:r>
              <w:rPr>
                <w:rFonts w:ascii="Times New Roman"/>
                <w:spacing w:val="-1"/>
                <w:sz w:val="21"/>
              </w:rPr>
              <w:t>8,104,529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Times New Roman" w:hAnsi="Times New Roman" w:cs="Times New Roman" w:eastAsia="Times New Roman" w:hint="default"/>
                <w:sz w:val="21"/>
                <w:szCs w:val="21"/>
              </w:rPr>
            </w:pPr>
            <w:r>
              <w:rPr>
                <w:rFonts w:ascii="Times New Roman"/>
                <w:spacing w:val="-1"/>
                <w:sz w:val="21"/>
              </w:rPr>
              <w:t>2.26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4,743,835</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中国农业银行深圳红岭北路支行</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8"/>
              <w:jc w:val="right"/>
              <w:rPr>
                <w:rFonts w:ascii="宋体" w:hAnsi="宋体" w:cs="宋体" w:eastAsia="宋体" w:hint="default"/>
                <w:sz w:val="21"/>
                <w:szCs w:val="21"/>
              </w:rPr>
            </w:pPr>
            <w:r>
              <w:rPr>
                <w:rFonts w:ascii="宋体" w:hAnsi="宋体" w:cs="宋体" w:eastAsia="宋体" w:hint="default"/>
                <w:sz w:val="21"/>
                <w:szCs w:val="21"/>
              </w:rPr>
              <w:t>境内一般法人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4,246,817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1.19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2,502,362</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8"/>
              <w:jc w:val="right"/>
              <w:rPr>
                <w:rFonts w:ascii="宋体" w:hAnsi="宋体" w:cs="宋体" w:eastAsia="宋体" w:hint="default"/>
                <w:sz w:val="21"/>
                <w:szCs w:val="21"/>
              </w:rPr>
            </w:pPr>
            <w:r>
              <w:rPr>
                <w:rFonts w:ascii="宋体" w:hAnsi="宋体" w:cs="宋体" w:eastAsia="宋体" w:hint="default"/>
                <w:sz w:val="21"/>
                <w:szCs w:val="21"/>
              </w:rPr>
              <w:t>境内一般法人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4,206,084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1.17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2,359,870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深圳市深信泰丰（集团）股份有</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限公司管理人</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
              <w:jc w:val="right"/>
              <w:rPr>
                <w:rFonts w:ascii="宋体" w:hAnsi="宋体" w:cs="宋体" w:eastAsia="宋体" w:hint="default"/>
                <w:sz w:val="21"/>
                <w:szCs w:val="21"/>
              </w:rPr>
            </w:pPr>
            <w:r>
              <w:rPr>
                <w:rFonts w:ascii="宋体" w:hAnsi="宋体" w:cs="宋体" w:eastAsia="宋体" w:hint="default"/>
                <w:sz w:val="21"/>
                <w:szCs w:val="21"/>
              </w:rPr>
              <w:t>境内一般法人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2,547,870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0.71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2,547,870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吕玉清</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2,307,574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0.64</w:t>
            </w:r>
            <w:r>
              <w:rPr>
                <w:rFonts w:ascii="Times New Roman"/>
                <w:sz w:val="21"/>
              </w:rPr>
            </w:r>
          </w:p>
        </w:tc>
        <w:tc>
          <w:tcPr>
            <w:tcW w:w="144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李永和</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1,854,320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0.52</w:t>
            </w:r>
            <w:r>
              <w:rPr>
                <w:rFonts w:ascii="Times New Roman"/>
                <w:sz w:val="21"/>
              </w:rPr>
            </w:r>
          </w:p>
        </w:tc>
        <w:tc>
          <w:tcPr>
            <w:tcW w:w="144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9" w:lineRule="auto" w:before="42"/>
        <w:ind w:left="837" w:right="813" w:firstLine="420"/>
        <w:jc w:val="both"/>
      </w:pPr>
      <w:r>
        <w:rPr/>
        <w:t>注：</w:t>
      </w:r>
      <w:r>
        <w:rPr>
          <w:spacing w:val="-49"/>
        </w:rPr>
        <w:t> </w:t>
      </w:r>
      <w:r>
        <w:rPr>
          <w:rFonts w:ascii="Times New Roman" w:hAnsi="Times New Roman" w:cs="Times New Roman" w:eastAsia="Times New Roman" w:hint="default"/>
          <w:spacing w:val="-7"/>
        </w:rPr>
        <w:t>1</w:t>
      </w:r>
      <w:r>
        <w:rPr>
          <w:spacing w:val="-7"/>
        </w:rPr>
        <w:t>、前十名股东中，公司第一大股东与其他股东之间不存在关联关系，也不属于《上</w:t>
      </w:r>
      <w:r>
        <w:rPr/>
        <w:t> </w:t>
      </w:r>
      <w:r>
        <w:rPr>
          <w:spacing w:val="-3"/>
        </w:rPr>
        <w:t>市公司股东持股变动信息披露管理办法》规定的一致行动人；深圳市宝安区投资管理有限公</w:t>
      </w:r>
      <w:r>
        <w:rPr>
          <w:spacing w:val="-75"/>
        </w:rPr>
        <w:t> </w:t>
      </w:r>
      <w:r>
        <w:rPr>
          <w:spacing w:val="-75"/>
        </w:rPr>
      </w:r>
      <w:r>
        <w:rPr>
          <w:spacing w:val="-3"/>
        </w:rPr>
        <w:t>司与中国宝安集团股份有限公司之间存在关联关系；其他股东之间的关联关系不详，也未知</w:t>
      </w:r>
      <w:r>
        <w:rPr>
          <w:spacing w:val="-75"/>
        </w:rPr>
        <w:t> </w:t>
      </w:r>
      <w:r>
        <w:rPr>
          <w:spacing w:val="-75"/>
        </w:rPr>
      </w:r>
      <w:r>
        <w:rPr/>
        <w:t>其之间是否属于《上市公司持股变动信息披露管理办法》中规定的一致行动人。</w:t>
      </w:r>
    </w:p>
    <w:p>
      <w:pPr>
        <w:pStyle w:val="BodyText"/>
        <w:spacing w:line="297" w:lineRule="auto" w:before="24"/>
        <w:ind w:left="837" w:right="0" w:firstLine="945"/>
        <w:jc w:val="left"/>
      </w:pPr>
      <w:r>
        <w:rPr>
          <w:rFonts w:ascii="Times New Roman" w:hAnsi="Times New Roman" w:cs="Times New Roman" w:eastAsia="Times New Roman" w:hint="default"/>
          <w:spacing w:val="-3"/>
        </w:rPr>
        <w:t>2</w:t>
      </w:r>
      <w:r>
        <w:rPr>
          <w:spacing w:val="-3"/>
        </w:rPr>
        <w:t>、未知其他股东之间是否存在关联关系或属于《上市公司股东持股变动信息披露</w:t>
      </w:r>
      <w:r>
        <w:rPr/>
        <w:t> 管理办法》中规定的一致行动人。</w:t>
      </w:r>
    </w:p>
    <w:p>
      <w:pPr>
        <w:pStyle w:val="Heading3"/>
        <w:spacing w:line="240" w:lineRule="auto" w:before="34"/>
        <w:ind w:left="1259" w:right="0"/>
        <w:jc w:val="left"/>
        <w:rPr>
          <w:b w:val="0"/>
          <w:bCs w:val="0"/>
        </w:rPr>
      </w:pPr>
      <w:r>
        <w:rPr/>
        <w:t>（三）前</w:t>
      </w:r>
      <w:r>
        <w:rPr>
          <w:rFonts w:ascii="Times New Roman" w:hAnsi="Times New Roman" w:cs="Times New Roman" w:eastAsia="Times New Roman" w:hint="default"/>
        </w:rPr>
        <w:t>10</w:t>
      </w:r>
      <w:r>
        <w:rPr/>
        <w:t>名无限售条件股东持股情况</w:t>
      </w:r>
      <w:r>
        <w:rPr>
          <w:b w:val="0"/>
          <w:bCs w:val="0"/>
        </w:rPr>
      </w:r>
    </w:p>
    <w:p>
      <w:pPr>
        <w:spacing w:line="240" w:lineRule="auto" w:before="1"/>
        <w:rPr>
          <w:rFonts w:ascii="宋体" w:hAnsi="宋体" w:cs="宋体" w:eastAsia="宋体" w:hint="default"/>
          <w:b/>
          <w:bCs/>
          <w:sz w:val="2"/>
          <w:szCs w:val="2"/>
        </w:rPr>
      </w:pPr>
    </w:p>
    <w:tbl>
      <w:tblPr>
        <w:tblW w:w="0" w:type="auto"/>
        <w:jc w:val="left"/>
        <w:tblInd w:w="832" w:type="dxa"/>
        <w:tblLayout w:type="fixed"/>
        <w:tblCellMar>
          <w:top w:w="0" w:type="dxa"/>
          <w:left w:w="0" w:type="dxa"/>
          <w:bottom w:w="0" w:type="dxa"/>
          <w:right w:w="0" w:type="dxa"/>
        </w:tblCellMar>
        <w:tblLook w:val="01E0"/>
      </w:tblPr>
      <w:tblGrid>
        <w:gridCol w:w="2340"/>
        <w:gridCol w:w="1080"/>
        <w:gridCol w:w="2700"/>
        <w:gridCol w:w="2160"/>
      </w:tblGrid>
      <w:tr>
        <w:trPr>
          <w:trHeight w:val="370"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70"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中国希格玛有限公司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pacing w:val="-1"/>
                <w:sz w:val="21"/>
              </w:rPr>
              <w:t>13,821,287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1"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3,360,694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吕玉清</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2,307,574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李永和</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1,854,320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1"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1,846,214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重庆润江基础设施投资有限公司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1,830,000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中国农业银行深圳红岭北路支行</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1,744,455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1"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李韧锋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1,690,532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温秋兰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1,596,025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深圳市深航投资有限公司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pacing w:val="-1"/>
                <w:sz w:val="21"/>
              </w:rPr>
              <w:t>993,200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32" w:right="115"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 致行动的说明</w:t>
            </w:r>
          </w:p>
        </w:tc>
        <w:tc>
          <w:tcPr>
            <w:tcW w:w="594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1" w:right="26"/>
              <w:jc w:val="left"/>
              <w:rPr>
                <w:rFonts w:ascii="宋体" w:hAnsi="宋体" w:cs="宋体" w:eastAsia="宋体" w:hint="default"/>
                <w:sz w:val="21"/>
                <w:szCs w:val="21"/>
              </w:rPr>
            </w:pPr>
            <w:r>
              <w:rPr>
                <w:rFonts w:ascii="宋体" w:hAnsi="宋体" w:cs="宋体" w:eastAsia="宋体" w:hint="default"/>
                <w:sz w:val="21"/>
                <w:szCs w:val="21"/>
              </w:rPr>
              <w:t>公司未知前十名流通股股东之间是否存在关联关系或属于《上市 公司持股变动信息披露管理办法》中规定的一致行动人。</w:t>
            </w:r>
          </w:p>
        </w:tc>
      </w:tr>
    </w:tbl>
    <w:p>
      <w:pPr>
        <w:spacing w:after="0" w:line="314" w:lineRule="auto"/>
        <w:jc w:val="left"/>
        <w:rPr>
          <w:rFonts w:ascii="宋体" w:hAnsi="宋体" w:cs="宋体" w:eastAsia="宋体" w:hint="default"/>
          <w:sz w:val="21"/>
          <w:szCs w:val="21"/>
        </w:rPr>
        <w:sectPr>
          <w:type w:val="continuous"/>
          <w:pgSz w:w="11910" w:h="16840"/>
          <w:pgMar w:top="1100" w:bottom="1200" w:left="96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Heading3"/>
        <w:spacing w:line="240" w:lineRule="auto"/>
        <w:ind w:left="1086" w:right="437"/>
        <w:jc w:val="left"/>
        <w:rPr>
          <w:b w:val="0"/>
          <w:bCs w:val="0"/>
        </w:rPr>
      </w:pPr>
      <w:r>
        <w:rPr/>
        <w:t>（四）前</w:t>
      </w:r>
      <w:r>
        <w:rPr>
          <w:rFonts w:ascii="Times New Roman" w:hAnsi="Times New Roman" w:cs="Times New Roman" w:eastAsia="Times New Roman" w:hint="default"/>
        </w:rPr>
        <w:t>10</w:t>
      </w:r>
      <w:r>
        <w:rPr/>
        <w:t>名有限售条件的股东持股数量及限售条件</w:t>
      </w:r>
      <w:r>
        <w:rPr>
          <w:b w:val="0"/>
          <w:bCs w:val="0"/>
        </w:rPr>
      </w:r>
    </w:p>
    <w:p>
      <w:pPr>
        <w:pStyle w:val="BodyText"/>
        <w:spacing w:line="240" w:lineRule="auto" w:before="11"/>
        <w:ind w:left="0" w:right="452"/>
        <w:jc w:val="right"/>
      </w:pPr>
      <w:r>
        <w:rPr/>
        <w:t>单位：股</w:t>
      </w: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540"/>
        <w:gridCol w:w="2520"/>
        <w:gridCol w:w="1660"/>
        <w:gridCol w:w="1440"/>
        <w:gridCol w:w="1301"/>
        <w:gridCol w:w="1720"/>
      </w:tblGrid>
      <w:tr>
        <w:trPr>
          <w:trHeight w:val="946"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59" w:right="15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06" w:right="0"/>
              <w:jc w:val="left"/>
              <w:rPr>
                <w:rFonts w:ascii="宋体" w:hAnsi="宋体" w:cs="宋体" w:eastAsia="宋体" w:hint="default"/>
                <w:sz w:val="21"/>
                <w:szCs w:val="21"/>
              </w:rPr>
            </w:pPr>
            <w:r>
              <w:rPr>
                <w:rFonts w:ascii="宋体" w:hAnsi="宋体" w:cs="宋体" w:eastAsia="宋体" w:hint="default"/>
                <w:b/>
                <w:bCs/>
                <w:sz w:val="21"/>
                <w:szCs w:val="21"/>
              </w:rPr>
              <w:t>有限售条件股东名称</w:t>
            </w:r>
            <w:r>
              <w:rPr>
                <w:rFonts w:ascii="宋体" w:hAnsi="宋体" w:cs="宋体" w:eastAsia="宋体" w:hint="default"/>
                <w:sz w:val="21"/>
                <w:szCs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92" w:right="192"/>
              <w:jc w:val="left"/>
              <w:rPr>
                <w:rFonts w:ascii="宋体" w:hAnsi="宋体" w:cs="宋体" w:eastAsia="宋体" w:hint="default"/>
                <w:sz w:val="21"/>
                <w:szCs w:val="21"/>
              </w:rPr>
            </w:pPr>
            <w:r>
              <w:rPr>
                <w:rFonts w:ascii="宋体" w:hAnsi="宋体" w:cs="宋体" w:eastAsia="宋体" w:hint="default"/>
                <w:b/>
                <w:bCs/>
                <w:sz w:val="21"/>
                <w:szCs w:val="21"/>
              </w:rPr>
              <w:t>持有的有限售</w:t>
            </w:r>
            <w:r>
              <w:rPr>
                <w:rFonts w:ascii="宋体" w:hAnsi="宋体" w:cs="宋体" w:eastAsia="宋体" w:hint="default"/>
                <w:b/>
                <w:bCs/>
                <w:w w:val="99"/>
                <w:sz w:val="21"/>
                <w:szCs w:val="21"/>
              </w:rPr>
              <w:t> </w:t>
            </w:r>
            <w:r>
              <w:rPr>
                <w:rFonts w:ascii="宋体" w:hAnsi="宋体" w:cs="宋体" w:eastAsia="宋体" w:hint="default"/>
                <w:b/>
                <w:bCs/>
                <w:sz w:val="21"/>
                <w:szCs w:val="21"/>
              </w:rPr>
              <w:t>条件股份数量</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91" w:right="291" w:firstLine="105"/>
              <w:jc w:val="left"/>
              <w:rPr>
                <w:rFonts w:ascii="宋体" w:hAnsi="宋体" w:cs="宋体" w:eastAsia="宋体" w:hint="default"/>
                <w:sz w:val="21"/>
                <w:szCs w:val="21"/>
              </w:rPr>
            </w:pPr>
            <w:r>
              <w:rPr>
                <w:rFonts w:ascii="宋体" w:hAnsi="宋体" w:cs="宋体" w:eastAsia="宋体" w:hint="default"/>
                <w:b/>
                <w:bCs/>
                <w:sz w:val="21"/>
                <w:szCs w:val="21"/>
              </w:rPr>
              <w:t>可上市</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交易时间</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b/>
                <w:bCs/>
                <w:sz w:val="21"/>
                <w:szCs w:val="21"/>
              </w:rPr>
              <w:t>新增可上市</w:t>
            </w:r>
            <w:r>
              <w:rPr>
                <w:rFonts w:ascii="宋体" w:hAnsi="宋体" w:cs="宋体" w:eastAsia="宋体" w:hint="default"/>
                <w:sz w:val="21"/>
                <w:szCs w:val="21"/>
              </w:rPr>
            </w:r>
          </w:p>
          <w:p>
            <w:pPr>
              <w:pStyle w:val="TableParagraph"/>
              <w:spacing w:line="273" w:lineRule="auto" w:before="37"/>
              <w:ind w:left="220" w:right="223"/>
              <w:jc w:val="center"/>
              <w:rPr>
                <w:rFonts w:ascii="宋体" w:hAnsi="宋体" w:cs="宋体" w:eastAsia="宋体" w:hint="default"/>
                <w:sz w:val="21"/>
                <w:szCs w:val="21"/>
              </w:rPr>
            </w:pPr>
            <w:r>
              <w:rPr>
                <w:rFonts w:ascii="宋体" w:hAnsi="宋体" w:cs="宋体" w:eastAsia="宋体" w:hint="default"/>
                <w:b/>
                <w:bCs/>
                <w:sz w:val="21"/>
                <w:szCs w:val="21"/>
              </w:rPr>
              <w:t>交易股份</w:t>
            </w:r>
            <w:r>
              <w:rPr>
                <w:rFonts w:ascii="宋体" w:hAnsi="宋体" w:cs="宋体" w:eastAsia="宋体" w:hint="default"/>
                <w:b/>
                <w:bCs/>
                <w:spacing w:val="1"/>
                <w:w w:val="99"/>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限售条件</w:t>
            </w:r>
            <w:r>
              <w:rPr>
                <w:rFonts w:ascii="宋体" w:hAnsi="宋体" w:cs="宋体" w:eastAsia="宋体" w:hint="default"/>
                <w:sz w:val="21"/>
                <w:szCs w:val="21"/>
              </w:rPr>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中国希格玛有限公司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64,485,681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92"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64,485,681</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center"/>
              <w:rPr>
                <w:rFonts w:ascii="宋体" w:hAnsi="宋体" w:cs="宋体" w:eastAsia="宋体" w:hint="default"/>
                <w:sz w:val="21"/>
                <w:szCs w:val="21"/>
              </w:rPr>
            </w:pPr>
            <w:r>
              <w:rPr>
                <w:rFonts w:ascii="宋体" w:hAnsi="宋体" w:cs="宋体" w:eastAsia="宋体" w:hint="default"/>
                <w:sz w:val="21"/>
                <w:szCs w:val="21"/>
              </w:rPr>
              <w:t>股改承诺</w:t>
            </w:r>
          </w:p>
        </w:tc>
      </w:tr>
      <w:tr>
        <w:trPr>
          <w:trHeight w:val="6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深圳市宝安区投资管理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26,261,759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26,261,759</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center"/>
              <w:rPr>
                <w:rFonts w:ascii="宋体" w:hAnsi="宋体" w:cs="宋体" w:eastAsia="宋体" w:hint="default"/>
                <w:sz w:val="21"/>
                <w:szCs w:val="21"/>
              </w:rPr>
            </w:pPr>
            <w:r>
              <w:rPr>
                <w:rFonts w:ascii="宋体" w:hAnsi="宋体" w:cs="宋体" w:eastAsia="宋体" w:hint="default"/>
                <w:sz w:val="21"/>
                <w:szCs w:val="21"/>
              </w:rPr>
              <w:t>股改承诺</w:t>
            </w:r>
          </w:p>
        </w:tc>
      </w:tr>
      <w:tr>
        <w:trPr>
          <w:trHeight w:val="6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重庆润江基础设施投资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23,332,500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23,332,500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遵守原非流通股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股东的股改承诺</w:t>
            </w:r>
          </w:p>
        </w:tc>
      </w:tr>
      <w:tr>
        <w:trPr>
          <w:trHeight w:val="63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17,901,671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17,901,671</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center"/>
              <w:rPr>
                <w:rFonts w:ascii="宋体" w:hAnsi="宋体" w:cs="宋体" w:eastAsia="宋体" w:hint="default"/>
                <w:sz w:val="21"/>
                <w:szCs w:val="21"/>
              </w:rPr>
            </w:pPr>
            <w:r>
              <w:rPr>
                <w:rFonts w:ascii="宋体" w:hAnsi="宋体" w:cs="宋体" w:eastAsia="宋体" w:hint="default"/>
                <w:sz w:val="21"/>
                <w:szCs w:val="21"/>
              </w:rPr>
              <w:t>股改承诺</w:t>
            </w:r>
          </w:p>
        </w:tc>
      </w:tr>
      <w:tr>
        <w:trPr>
          <w:trHeight w:val="6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4,743,835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4,743,835</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遵守原非流通股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股东的股改承诺</w:t>
            </w:r>
          </w:p>
        </w:tc>
      </w:tr>
      <w:tr>
        <w:trPr>
          <w:trHeight w:val="6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深圳市深信泰丰（集团）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股份有限公司管理人</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2,547,870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2,547,870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遵守原非流通股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股东的股改承诺</w:t>
            </w:r>
          </w:p>
        </w:tc>
      </w:tr>
      <w:tr>
        <w:trPr>
          <w:trHeight w:val="63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中国农业银行深圳红岭</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北路支行</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2,502,362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2,502,362</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遵守原非流通股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股东的股改承诺</w:t>
            </w:r>
          </w:p>
        </w:tc>
      </w:tr>
      <w:tr>
        <w:trPr>
          <w:trHeight w:val="6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中国宝安集团股份有限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2,359,870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2,359,870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遵守原非流通股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股东的股改承诺</w:t>
            </w:r>
          </w:p>
        </w:tc>
      </w:tr>
      <w:tr>
        <w:trPr>
          <w:trHeight w:val="6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深圳市海王健康连锁店</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1,819,143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1,819,143</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遵守原非流通股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股东的股改承诺</w:t>
            </w:r>
          </w:p>
        </w:tc>
      </w:tr>
      <w:tr>
        <w:trPr>
          <w:trHeight w:val="63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深圳市深国投实业有限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1,015,117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3" w:right="0"/>
              <w:jc w:val="left"/>
              <w:rPr>
                <w:rFonts w:ascii="Times New Roman" w:hAnsi="Times New Roman" w:cs="Times New Roman" w:eastAsia="Times New Roman" w:hint="default"/>
                <w:sz w:val="21"/>
                <w:szCs w:val="21"/>
              </w:rPr>
            </w:pPr>
            <w:r>
              <w:rPr>
                <w:rFonts w:ascii="Times New Roman"/>
                <w:sz w:val="21"/>
              </w:rPr>
              <w:t>2011.7.14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1,015,117</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遵守原非流通股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股东的股改承诺</w:t>
            </w:r>
          </w:p>
        </w:tc>
      </w:tr>
    </w:tbl>
    <w:p>
      <w:pPr>
        <w:spacing w:line="240" w:lineRule="auto" w:before="1"/>
        <w:rPr>
          <w:rFonts w:ascii="宋体" w:hAnsi="宋体" w:cs="宋体" w:eastAsia="宋体" w:hint="default"/>
          <w:sz w:val="28"/>
          <w:szCs w:val="28"/>
        </w:rPr>
      </w:pPr>
    </w:p>
    <w:p>
      <w:pPr>
        <w:pStyle w:val="BodyText"/>
        <w:spacing w:line="240" w:lineRule="auto" w:before="35"/>
        <w:ind w:left="1093" w:right="437"/>
        <w:jc w:val="left"/>
      </w:pPr>
      <w:r>
        <w:rPr/>
        <w:t>注：</w:t>
      </w:r>
    </w:p>
    <w:p>
      <w:pPr>
        <w:pStyle w:val="BodyText"/>
        <w:spacing w:line="309" w:lineRule="auto" w:before="85"/>
        <w:ind w:left="657" w:right="451" w:firstLine="435"/>
        <w:jc w:val="both"/>
      </w:pPr>
      <w:r>
        <w:rPr>
          <w:rFonts w:ascii="Times New Roman" w:hAnsi="Times New Roman" w:cs="Times New Roman" w:eastAsia="Times New Roman" w:hint="default"/>
          <w:spacing w:val="-11"/>
        </w:rPr>
        <w:t>1</w:t>
      </w:r>
      <w:r>
        <w:rPr>
          <w:spacing w:val="-11"/>
        </w:rPr>
        <w:t>、公司前</w:t>
      </w:r>
      <w:r>
        <w:rPr>
          <w:spacing w:val="-76"/>
        </w:rPr>
        <w:t>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名有限售条件的股东中，深圳市宝安区投资管理有限公司与中国宝安集团 </w:t>
      </w:r>
      <w:r>
        <w:rPr>
          <w:spacing w:val="-3"/>
        </w:rPr>
        <w:t>股份有限公司之间存在关联关系，华润深国投信托有限公司与深圳市深国投实业有限公司存</w:t>
      </w:r>
      <w:r>
        <w:rPr>
          <w:spacing w:val="-73"/>
        </w:rPr>
        <w:t> </w:t>
      </w:r>
      <w:r>
        <w:rPr>
          <w:spacing w:val="-73"/>
        </w:rPr>
      </w:r>
      <w:r>
        <w:rPr>
          <w:spacing w:val="-3"/>
        </w:rPr>
        <w:t>在关联关系；其他股东之间不存在关联关系，也不属于《上市公司股东持股变动信息披露管</w:t>
      </w:r>
      <w:r>
        <w:rPr>
          <w:spacing w:val="-72"/>
        </w:rPr>
        <w:t> </w:t>
      </w:r>
      <w:r>
        <w:rPr>
          <w:spacing w:val="-72"/>
        </w:rPr>
      </w:r>
      <w:r>
        <w:rPr/>
        <w:t>理办法》中规定的一致行动人。</w:t>
      </w:r>
    </w:p>
    <w:p>
      <w:pPr>
        <w:pStyle w:val="BodyText"/>
        <w:spacing w:line="297" w:lineRule="auto" w:before="24"/>
        <w:ind w:left="657" w:right="437" w:firstLine="435"/>
        <w:jc w:val="left"/>
      </w:pPr>
      <w:r>
        <w:rPr>
          <w:rFonts w:ascii="Times New Roman" w:hAnsi="Times New Roman" w:cs="Times New Roman" w:eastAsia="Times New Roman" w:hint="default"/>
        </w:rPr>
        <w:t>2</w:t>
      </w:r>
      <w:r>
        <w:rPr/>
        <w:t>、有限售条件股份的可上市交易时间和数量最终以深圳证券交易所审核通过的公司解 除股份限售申请及公司的公告为准。</w:t>
      </w:r>
    </w:p>
    <w:p>
      <w:pPr>
        <w:pStyle w:val="BodyText"/>
        <w:spacing w:line="309" w:lineRule="auto" w:before="34"/>
        <w:ind w:left="657" w:right="344" w:firstLine="435"/>
        <w:jc w:val="left"/>
      </w:pPr>
      <w:r>
        <w:rPr>
          <w:rFonts w:ascii="Times New Roman" w:hAnsi="Times New Roman" w:cs="Times New Roman" w:eastAsia="Times New Roman" w:hint="default"/>
          <w:spacing w:val="-3"/>
        </w:rPr>
        <w:t>3</w:t>
      </w:r>
      <w:r>
        <w:rPr>
          <w:spacing w:val="-3"/>
        </w:rPr>
        <w:t>、自股权分置改革方案实施之日起，中国希格玛有限公司、华润深国投信托有限公司、</w:t>
      </w:r>
      <w:r>
        <w:rPr/>
        <w:t> </w:t>
      </w:r>
      <w:r>
        <w:rPr>
          <w:spacing w:val="2"/>
        </w:rPr>
        <w:t>深圳市宝安区投资管理有限公司持有的公司原非流通股股份在十二个月内不上市交易或者</w:t>
      </w:r>
      <w:r>
        <w:rPr>
          <w:spacing w:val="-82"/>
        </w:rPr>
        <w:t> </w:t>
      </w:r>
      <w:r>
        <w:rPr>
          <w:spacing w:val="-82"/>
        </w:rPr>
      </w:r>
      <w:r>
        <w:rPr>
          <w:spacing w:val="-3"/>
        </w:rPr>
        <w:t>转让；在前项规定期满后，通过深交所挂牌交易出售公司原非流通股股份，出售数量占本公</w:t>
      </w:r>
      <w:r>
        <w:rPr>
          <w:spacing w:val="-72"/>
        </w:rPr>
        <w:t> </w:t>
      </w:r>
      <w:r>
        <w:rPr>
          <w:spacing w:val="-72"/>
        </w:rPr>
      </w:r>
      <w:r>
        <w:rPr>
          <w:spacing w:val="-3"/>
        </w:rPr>
        <w:t>司股份总数的比例在十二个月内不超过百分之五，在二十四个月内不超过百分之十，三十六</w:t>
      </w:r>
      <w:r>
        <w:rPr>
          <w:spacing w:val="-75"/>
        </w:rPr>
        <w:t> </w:t>
      </w:r>
      <w:r>
        <w:rPr>
          <w:spacing w:val="-75"/>
        </w:rPr>
      </w:r>
      <w:r>
        <w:rPr/>
        <w:t>个月后剩余的有限售条件的股份可全部上市流通。</w:t>
      </w:r>
    </w:p>
    <w:p>
      <w:pPr>
        <w:pStyle w:val="BodyText"/>
        <w:spacing w:line="240" w:lineRule="auto" w:before="24"/>
        <w:ind w:left="1093" w:right="437"/>
        <w:jc w:val="left"/>
      </w:pPr>
      <w:r>
        <w:rPr>
          <w:rFonts w:ascii="Times New Roman" w:hAnsi="Times New Roman" w:cs="Times New Roman" w:eastAsia="Times New Roman" w:hint="default"/>
        </w:rPr>
        <w:t>4</w:t>
      </w:r>
      <w:r>
        <w:rPr/>
        <w:t>、公司股改方案实施后首个交易日为</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p>
    <w:p>
      <w:pPr>
        <w:spacing w:after="0" w:line="240" w:lineRule="auto"/>
        <w:jc w:val="left"/>
        <w:sectPr>
          <w:pgSz w:w="11910" w:h="16840"/>
          <w:pgMar w:header="877" w:footer="975" w:top="1100" w:bottom="1160" w:left="1140" w:right="1340"/>
        </w:sectPr>
      </w:pPr>
    </w:p>
    <w:p>
      <w:pPr>
        <w:spacing w:line="240" w:lineRule="auto" w:before="6"/>
        <w:rPr>
          <w:rFonts w:ascii="宋体" w:hAnsi="宋体" w:cs="宋体" w:eastAsia="宋体" w:hint="default"/>
          <w:sz w:val="25"/>
          <w:szCs w:val="25"/>
        </w:rPr>
      </w:pPr>
    </w:p>
    <w:p>
      <w:pPr>
        <w:pStyle w:val="BodyText"/>
        <w:spacing w:line="309" w:lineRule="auto" w:before="35"/>
        <w:ind w:left="557" w:right="4727" w:firstLine="15"/>
        <w:jc w:val="left"/>
      </w:pPr>
      <w:r>
        <w:rPr>
          <w:rFonts w:ascii="宋体" w:hAnsi="宋体" w:cs="宋体" w:eastAsia="宋体" w:hint="default"/>
          <w:b/>
          <w:bCs/>
        </w:rPr>
        <w:t>（五）控股股东情况介绍</w:t>
      </w:r>
      <w:r>
        <w:rPr>
          <w:rFonts w:ascii="宋体" w:hAnsi="宋体" w:cs="宋体" w:eastAsia="宋体" w:hint="default"/>
          <w:b/>
          <w:bCs/>
          <w:w w:val="99"/>
        </w:rPr>
        <w:t> </w:t>
      </w:r>
      <w:r>
        <w:rPr/>
        <w:t>控股股东名称：中国希格玛有限公司 法定代表人：王晓岩 成立日期：</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 注册资本：</w:t>
      </w:r>
      <w:r>
        <w:rPr>
          <w:rFonts w:ascii="Times New Roman" w:hAnsi="Times New Roman" w:cs="Times New Roman" w:eastAsia="Times New Roman" w:hint="default"/>
        </w:rPr>
        <w:t>10,037</w:t>
      </w:r>
      <w:r>
        <w:rPr/>
        <w:t>万元人民币</w:t>
      </w:r>
    </w:p>
    <w:p>
      <w:pPr>
        <w:pStyle w:val="BodyText"/>
        <w:spacing w:line="314" w:lineRule="auto" w:before="1"/>
        <w:ind w:left="137" w:right="102" w:firstLine="420"/>
        <w:jc w:val="left"/>
      </w:pPr>
      <w:r>
        <w:rPr>
          <w:spacing w:val="-6"/>
        </w:rPr>
        <w:t>主要经营业务：高新技术、新工艺、新产品开发、生产、销售；化工原材料、建筑材料、</w:t>
      </w:r>
      <w:r>
        <w:rPr/>
        <w:t> </w:t>
      </w:r>
      <w:r>
        <w:rPr>
          <w:spacing w:val="-3"/>
        </w:rPr>
        <w:t>计算机软硬件、电子电器设备、有线通讯设备、机械设备、家用电器开发、生产、销售（国</w:t>
      </w:r>
      <w:r>
        <w:rPr>
          <w:spacing w:val="-77"/>
        </w:rPr>
        <w:t> </w:t>
      </w:r>
      <w:r>
        <w:rPr>
          <w:spacing w:val="-77"/>
        </w:rPr>
      </w:r>
      <w:r>
        <w:rPr>
          <w:spacing w:val="-5"/>
        </w:rPr>
        <w:t>家有专项专营规定的除外）；装饰装修工程；百货的销售；上述范围的项目承包、技术咨询、</w:t>
      </w:r>
      <w:r>
        <w:rPr>
          <w:spacing w:val="-95"/>
        </w:rPr>
        <w:t> </w:t>
      </w:r>
      <w:r>
        <w:rPr>
          <w:spacing w:val="-95"/>
        </w:rPr>
      </w:r>
      <w:r>
        <w:rPr/>
        <w:t>信息服务；信息咨询。</w:t>
      </w:r>
    </w:p>
    <w:p>
      <w:pPr>
        <w:spacing w:line="240" w:lineRule="auto" w:before="0"/>
        <w:rPr>
          <w:rFonts w:ascii="宋体" w:hAnsi="宋体" w:cs="宋体" w:eastAsia="宋体" w:hint="default"/>
          <w:sz w:val="29"/>
          <w:szCs w:val="29"/>
        </w:rPr>
      </w:pPr>
    </w:p>
    <w:p>
      <w:pPr>
        <w:spacing w:line="314" w:lineRule="auto" w:before="0"/>
        <w:ind w:left="557" w:right="5555" w:firstLine="2"/>
        <w:jc w:val="left"/>
        <w:rPr>
          <w:rFonts w:ascii="宋体" w:hAnsi="宋体" w:cs="宋体" w:eastAsia="宋体" w:hint="default"/>
          <w:sz w:val="21"/>
          <w:szCs w:val="21"/>
        </w:rPr>
      </w:pPr>
      <w:r>
        <w:rPr>
          <w:rFonts w:ascii="宋体" w:hAnsi="宋体" w:cs="宋体" w:eastAsia="宋体" w:hint="default"/>
          <w:b/>
          <w:bCs/>
          <w:sz w:val="21"/>
          <w:szCs w:val="21"/>
        </w:rPr>
        <w:t>（六）实际控制人情况介绍</w:t>
      </w:r>
      <w:r>
        <w:rPr>
          <w:rFonts w:ascii="宋体" w:hAnsi="宋体" w:cs="宋体" w:eastAsia="宋体" w:hint="default"/>
          <w:b/>
          <w:bCs/>
          <w:spacing w:val="1"/>
          <w:w w:val="99"/>
          <w:sz w:val="21"/>
          <w:szCs w:val="21"/>
        </w:rPr>
        <w:t> </w:t>
      </w:r>
      <w:r>
        <w:rPr>
          <w:rFonts w:ascii="宋体" w:hAnsi="宋体" w:cs="宋体" w:eastAsia="宋体" w:hint="default"/>
          <w:sz w:val="21"/>
          <w:szCs w:val="21"/>
        </w:rPr>
        <w:t>实际控制人姓名：王晓岩。</w:t>
      </w:r>
    </w:p>
    <w:p>
      <w:pPr>
        <w:spacing w:line="240" w:lineRule="auto" w:before="0"/>
        <w:rPr>
          <w:rFonts w:ascii="宋体" w:hAnsi="宋体" w:cs="宋体" w:eastAsia="宋体" w:hint="default"/>
          <w:sz w:val="29"/>
          <w:szCs w:val="29"/>
        </w:rPr>
      </w:pPr>
    </w:p>
    <w:p>
      <w:pPr>
        <w:pStyle w:val="Heading3"/>
        <w:spacing w:line="240" w:lineRule="auto"/>
        <w:ind w:left="2291" w:right="102"/>
        <w:jc w:val="left"/>
        <w:rPr>
          <w:b w:val="0"/>
          <w:bCs w:val="0"/>
        </w:rPr>
      </w:pPr>
      <w:r>
        <w:rPr/>
        <w:t>公司与实际控制人之间的产权及控制关系方框图</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2581" w:lineRule="exact"/>
        <w:ind w:left="128" w:right="0" w:firstLine="0"/>
        <w:rPr>
          <w:rFonts w:ascii="宋体" w:hAnsi="宋体" w:cs="宋体" w:eastAsia="宋体" w:hint="default"/>
          <w:sz w:val="20"/>
          <w:szCs w:val="20"/>
        </w:rPr>
      </w:pPr>
      <w:r>
        <w:rPr>
          <w:rFonts w:ascii="宋体" w:hAnsi="宋体" w:cs="宋体" w:eastAsia="宋体" w:hint="default"/>
          <w:position w:val="-51"/>
          <w:sz w:val="20"/>
          <w:szCs w:val="20"/>
        </w:rPr>
        <w:pict>
          <v:group style="width:414.75pt;height:129.1pt;mso-position-horizontal-relative:char;mso-position-vertical-relative:line" coordorigin="0,0" coordsize="8295,2582">
            <v:group style="position:absolute;left:2888;top:8;width:2520;height:420" coordorigin="2888,8" coordsize="2520,420">
              <v:shape style="position:absolute;left:2888;top:8;width:2520;height:420" coordorigin="2888,8" coordsize="2520,420" path="m5408,8l2888,8,2888,428,5408,428,5408,8xe" filled="false" stroked="true" strokeweight=".75pt" strokecolor="#000000">
                <v:path arrowok="t"/>
              </v:shape>
            </v:group>
            <v:group style="position:absolute;left:5408;top:271;width:1980;height:2" coordorigin="5408,271" coordsize="1980,2">
              <v:shape style="position:absolute;left:5408;top:271;width:1980;height:2" coordorigin="5408,271" coordsize="1980,0" path="m5408,271l7388,271e" filled="false" stroked="true" strokeweight=".75pt" strokecolor="#000000">
                <v:path arrowok="t"/>
              </v:shape>
            </v:group>
            <v:group style="position:absolute;left:908;top:264;width:1980;height:2" coordorigin="908,264" coordsize="1980,2">
              <v:shape style="position:absolute;left:908;top:264;width:1980;height:2" coordorigin="908,264" coordsize="1980,0" path="m908,264l2888,264e" filled="false" stroked="true" strokeweight=".75pt" strokecolor="#000000">
                <v:path arrowok="t"/>
              </v:shape>
            </v:group>
            <v:group style="position:absolute;left:846;top:264;width:120;height:788" coordorigin="846,264" coordsize="120,788">
              <v:shape style="position:absolute;left:846;top:264;width:120;height:788" coordorigin="846,264" coordsize="120,788" path="m899,931l846,931,906,1051,952,959,906,959,900,957,899,952,899,931xe" filled="true" fillcolor="#000000" stroked="false">
                <v:path arrowok="t"/>
                <v:fill type="solid"/>
              </v:shape>
              <v:shape style="position:absolute;left:846;top:264;width:120;height:788" coordorigin="846,264" coordsize="120,788" path="m906,264l900,267,899,271,899,952,900,957,906,959,911,957,913,952,913,271,911,267,906,264xe" filled="true" fillcolor="#000000" stroked="false">
                <v:path arrowok="t"/>
                <v:fill type="solid"/>
              </v:shape>
              <v:shape style="position:absolute;left:846;top:264;width:120;height:788" coordorigin="846,264" coordsize="120,788" path="m966,931l913,931,913,952,911,957,906,959,952,959,966,931xe" filled="true" fillcolor="#000000" stroked="false">
                <v:path arrowok="t"/>
                <v:fill type="solid"/>
              </v:shape>
            </v:group>
            <v:group style="position:absolute;left:4988;top:420;width:120;height:632" coordorigin="4988,420" coordsize="120,632">
              <v:shape style="position:absolute;left:4988;top:420;width:120;height:632" coordorigin="4988,420" coordsize="120,632" path="m5040,931l4988,931,5048,1051,5094,959,5048,959,5043,957,5040,952,5040,931xe" filled="true" fillcolor="#000000" stroked="false">
                <v:path arrowok="t"/>
                <v:fill type="solid"/>
              </v:shape>
              <v:shape style="position:absolute;left:4988;top:420;width:120;height:632" coordorigin="4988,420" coordsize="120,632" path="m5048,420l5043,423,5040,427,5040,952,5043,957,5048,959,5054,957,5056,952,5056,427,5054,423,5048,420xe" filled="true" fillcolor="#000000" stroked="false">
                <v:path arrowok="t"/>
                <v:fill type="solid"/>
              </v:shape>
              <v:shape style="position:absolute;left:4988;top:420;width:120;height:632" coordorigin="4988,420" coordsize="120,632" path="m5108,931l5056,931,5056,952,5054,957,5048,959,5094,959,5108,931xe" filled="true" fillcolor="#000000" stroked="false">
                <v:path arrowok="t"/>
                <v:fill type="solid"/>
              </v:shape>
            </v:group>
            <v:group style="position:absolute;left:3188;top:420;width:120;height:632" coordorigin="3188,420" coordsize="120,632">
              <v:shape style="position:absolute;left:3188;top:420;width:120;height:632" coordorigin="3188,420" coordsize="120,632" path="m3240,931l3188,931,3248,1051,3294,959,3248,959,3243,957,3240,952,3240,931xe" filled="true" fillcolor="#000000" stroked="false">
                <v:path arrowok="t"/>
                <v:fill type="solid"/>
              </v:shape>
              <v:shape style="position:absolute;left:3188;top:420;width:120;height:632" coordorigin="3188,420" coordsize="120,632" path="m3248,420l3243,423,3240,427,3240,952,3243,957,3248,959,3253,957,3256,952,3256,427,3253,423,3248,420xe" filled="true" fillcolor="#000000" stroked="false">
                <v:path arrowok="t"/>
                <v:fill type="solid"/>
              </v:shape>
              <v:shape style="position:absolute;left:3188;top:420;width:120;height:632" coordorigin="3188,420" coordsize="120,632" path="m3308,931l3256,931,3256,952,3253,957,3248,959,3294,959,3308,931xe" filled="true" fillcolor="#000000" stroked="false">
                <v:path arrowok="t"/>
                <v:fill type="solid"/>
              </v:shape>
            </v:group>
            <v:group style="position:absolute;left:7328;top:264;width:120;height:788" coordorigin="7328,264" coordsize="120,788">
              <v:shape style="position:absolute;left:7328;top:264;width:120;height:788" coordorigin="7328,264" coordsize="120,788" path="m7380,931l7328,931,7388,1051,7434,959,7388,959,7383,957,7380,952,7380,931xe" filled="true" fillcolor="#000000" stroked="false">
                <v:path arrowok="t"/>
                <v:fill type="solid"/>
              </v:shape>
              <v:shape style="position:absolute;left:7328;top:264;width:120;height:788" coordorigin="7328,264" coordsize="120,788" path="m7388,264l7383,267,7380,271,7380,952,7383,957,7388,959,7394,957,7396,952,7396,271,7394,267,7388,264xe" filled="true" fillcolor="#000000" stroked="false">
                <v:path arrowok="t"/>
                <v:fill type="solid"/>
              </v:shape>
              <v:shape style="position:absolute;left:7328;top:264;width:120;height:788" coordorigin="7328,264" coordsize="120,788" path="m7448,931l7396,931,7396,952,7394,957,7388,959,7434,959,7448,931xe" filled="true" fillcolor="#000000" stroked="false">
                <v:path arrowok="t"/>
                <v:fill type="solid"/>
              </v:shape>
            </v:group>
            <v:group style="position:absolute;left:8;top:1052;width:1620;height:468" coordorigin="8,1052" coordsize="1620,468">
              <v:shape style="position:absolute;left:8;top:1052;width:1620;height:468" coordorigin="8,1052" coordsize="1620,468" path="m1628,1052l8,1052,8,1520,1628,1520,1628,1052xe" filled="false" stroked="true" strokeweight=".75pt" strokecolor="#000000">
                <v:path arrowok="t"/>
              </v:shape>
            </v:group>
            <v:group style="position:absolute;left:905;top:1520;width:2;height:858" coordorigin="905,1520" coordsize="2,858">
              <v:shape style="position:absolute;left:905;top:1520;width:2;height:858" coordorigin="905,1520" coordsize="0,858" path="m905,1520l905,2378e" filled="false" stroked="true" strokeweight=".75pt" strokecolor="#000000">
                <v:path arrowok="t"/>
              </v:shape>
            </v:group>
            <v:group style="position:absolute;left:900;top:2324;width:1988;height:120" coordorigin="900,2324" coordsize="1988,120">
              <v:shape style="position:absolute;left:900;top:2324;width:1988;height:120" coordorigin="900,2324" coordsize="1988,120" path="m2768,2324l2768,2444,2873,2391,2788,2391,2794,2388,2795,2384,2794,2379,2788,2376,2873,2376,2768,2324xe" filled="true" fillcolor="#000000" stroked="false">
                <v:path arrowok="t"/>
                <v:fill type="solid"/>
              </v:shape>
              <v:shape style="position:absolute;left:900;top:2324;width:1988;height:120" coordorigin="900,2324" coordsize="1988,120" path="m2768,2376l908,2376,903,2379,900,2384,903,2388,908,2391,2768,2391,2768,2376xe" filled="true" fillcolor="#000000" stroked="false">
                <v:path arrowok="t"/>
                <v:fill type="solid"/>
              </v:shape>
              <v:shape style="position:absolute;left:900;top:2324;width:1988;height:120" coordorigin="900,2324" coordsize="1988,120" path="m2873,2376l2788,2376,2794,2379,2795,2384,2794,2388,2788,2391,2873,2391,2888,2384,2873,2376xe" filled="true" fillcolor="#000000" stroked="false">
                <v:path arrowok="t"/>
                <v:fill type="solid"/>
              </v:shape>
            </v:group>
            <v:group style="position:absolute;left:3188;top:1512;width:120;height:632" coordorigin="3188,1512" coordsize="120,632">
              <v:shape style="position:absolute;left:3188;top:1512;width:120;height:632" coordorigin="3188,1512" coordsize="120,632" path="m3240,2024l3188,2024,3248,2144,3294,2051,3248,2051,3243,2049,3240,2044,3240,2024xe" filled="true" fillcolor="#000000" stroked="false">
                <v:path arrowok="t"/>
                <v:fill type="solid"/>
              </v:shape>
              <v:shape style="position:absolute;left:3188;top:1512;width:120;height:632" coordorigin="3188,1512" coordsize="120,632" path="m3248,1512l3243,1515,3240,1520,3240,2044,3243,2049,3248,2051,3253,2049,3256,2044,3256,1520,3253,1515,3248,1512xe" filled="true" fillcolor="#000000" stroked="false">
                <v:path arrowok="t"/>
                <v:fill type="solid"/>
              </v:shape>
              <v:shape style="position:absolute;left:3188;top:1512;width:120;height:632" coordorigin="3188,1512" coordsize="120,632" path="m3308,2024l3256,2024,3256,2044,3253,2049,3248,2051,3294,2051,3308,2024xe" filled="true" fillcolor="#000000" stroked="false">
                <v:path arrowok="t"/>
                <v:fill type="solid"/>
              </v:shape>
            </v:group>
            <v:group style="position:absolute;left:6668;top:1063;width:1620;height:468" coordorigin="6668,1063" coordsize="1620,468">
              <v:shape style="position:absolute;left:6668;top:1063;width:1620;height:468" coordorigin="6668,1063" coordsize="1620,468" path="m8288,1063l6668,1063,6668,1531,8288,1531,8288,1063xe" filled="false" stroked="true" strokeweight=".75pt" strokecolor="#000000">
                <v:path arrowok="t"/>
              </v:shape>
            </v:group>
            <v:group style="position:absolute;left:7423;top:1531;width:2;height:858" coordorigin="7423,1531" coordsize="2,858">
              <v:shape style="position:absolute;left:7423;top:1531;width:2;height:858" coordorigin="7423,1531" coordsize="0,858" path="m7423,1531l7423,2389e" filled="false" stroked="true" strokeweight=".75pt" strokecolor="#000000">
                <v:path arrowok="t"/>
              </v:shape>
            </v:group>
            <v:group style="position:absolute;left:5443;top:2336;width:1989;height:120" coordorigin="5443,2336" coordsize="1989,120">
              <v:shape style="position:absolute;left:5443;top:2336;width:1989;height:120" coordorigin="5443,2336" coordsize="1989,120" path="m5563,2336l5443,2396,5563,2456,5563,2403,5544,2403,5538,2400,5537,2396,5538,2391,5544,2388,5563,2388,5563,2336xe" filled="true" fillcolor="#000000" stroked="false">
                <v:path arrowok="t"/>
                <v:fill type="solid"/>
              </v:shape>
              <v:shape style="position:absolute;left:5443;top:2336;width:1989;height:120" coordorigin="5443,2336" coordsize="1989,120" path="m5563,2388l5544,2388,5538,2391,5537,2396,5538,2400,5544,2403,5563,2403,5563,2388xe" filled="true" fillcolor="#000000" stroked="false">
                <v:path arrowok="t"/>
                <v:fill type="solid"/>
              </v:shape>
              <v:shape style="position:absolute;left:5443;top:2336;width:1989;height:120" coordorigin="5443,2336" coordsize="1989,120" path="m7423,2388l5563,2388,5563,2403,7423,2403,7429,2400,7432,2396,7429,2391,7423,2388xe" filled="true" fillcolor="#000000" stroked="false">
                <v:path arrowok="t"/>
                <v:fill type="solid"/>
              </v:shape>
            </v:group>
            <v:group style="position:absolute;left:5948;top:1220;width:729;height:120" coordorigin="5948,1220" coordsize="729,120">
              <v:shape style="position:absolute;left:5948;top:1220;width:729;height:120" coordorigin="5948,1220" coordsize="729,120" path="m6068,1220l5948,1280,6068,1340,6068,1287,6048,1287,6042,1284,6041,1280,6042,1275,6048,1272,6068,1272,6068,1220xe" filled="true" fillcolor="#000000" stroked="false">
                <v:path arrowok="t"/>
                <v:fill type="solid"/>
              </v:shape>
              <v:shape style="position:absolute;left:5948;top:1220;width:729;height:120" coordorigin="5948,1220" coordsize="729,120" path="m6068,1272l6048,1272,6042,1275,6041,1280,6042,1284,6048,1287,6068,1287,6068,1272xe" filled="true" fillcolor="#000000" stroked="false">
                <v:path arrowok="t"/>
                <v:fill type="solid"/>
              </v:shape>
              <v:shape style="position:absolute;left:5948;top:1220;width:729;height:120" coordorigin="5948,1220" coordsize="729,120" path="m6668,1272l6068,1272,6068,1287,6668,1287,6674,1284,6676,1280,6674,1275,6668,1272xe" filled="true" fillcolor="#000000" stroked="false">
                <v:path arrowok="t"/>
                <v:fill type="solid"/>
              </v:shape>
            </v:group>
            <v:group style="position:absolute;left:4988;top:1515;width:120;height:632" coordorigin="4988,1515" coordsize="120,632">
              <v:shape style="position:absolute;left:4988;top:1515;width:120;height:632" coordorigin="4988,1515" coordsize="120,632" path="m5040,2026l4988,2026,5048,2146,5094,2054,5048,2054,5043,2052,5040,2046,5040,2026xe" filled="true" fillcolor="#000000" stroked="false">
                <v:path arrowok="t"/>
                <v:fill type="solid"/>
              </v:shape>
              <v:shape style="position:absolute;left:4988;top:1515;width:120;height:632" coordorigin="4988,1515" coordsize="120,632" path="m5048,1515l5043,1517,5040,1522,5040,2046,5043,2052,5048,2054,5054,2052,5056,2046,5056,1522,5054,1517,5048,1515xe" filled="true" fillcolor="#000000" stroked="false">
                <v:path arrowok="t"/>
                <v:fill type="solid"/>
              </v:shape>
              <v:shape style="position:absolute;left:4988;top:1515;width:120;height:632" coordorigin="4988,1515" coordsize="120,632" path="m5108,2026l5056,2026,5056,2046,5054,2052,5048,2054,5094,2054,5108,2026xe" filled="true" fillcolor="#000000" stroked="false">
                <v:path arrowok="t"/>
                <v:fill type="solid"/>
              </v:shape>
              <v:shape style="position:absolute;left:2888;top:8;width:2520;height:420" type="#_x0000_t202" filled="false" stroked="false">
                <v:textbox inset="0,0,0,0">
                  <w:txbxContent>
                    <w:p>
                      <w:pPr>
                        <w:spacing w:before="65"/>
                        <w:ind w:left="1" w:right="0" w:firstLine="0"/>
                        <w:jc w:val="center"/>
                        <w:rPr>
                          <w:rFonts w:ascii="宋体" w:hAnsi="宋体" w:cs="宋体" w:eastAsia="宋体" w:hint="default"/>
                          <w:sz w:val="21"/>
                          <w:szCs w:val="21"/>
                        </w:rPr>
                      </w:pPr>
                      <w:r>
                        <w:rPr>
                          <w:rFonts w:ascii="宋体" w:hAnsi="宋体" w:cs="宋体" w:eastAsia="宋体" w:hint="default"/>
                          <w:sz w:val="21"/>
                          <w:szCs w:val="21"/>
                        </w:rPr>
                        <w:t>王晓岩</w:t>
                      </w:r>
                    </w:p>
                  </w:txbxContent>
                </v:textbox>
                <w10:wrap type="none"/>
              </v:shape>
              <v:shape style="position:absolute;left:8;top:1052;width:1620;height:468" type="#_x0000_t202" filled="false" stroked="false">
                <v:textbox inset="0,0,0,0">
                  <w:txbxContent>
                    <w:p>
                      <w:pPr>
                        <w:spacing w:before="65"/>
                        <w:ind w:left="285" w:right="0" w:firstLine="0"/>
                        <w:jc w:val="left"/>
                        <w:rPr>
                          <w:rFonts w:ascii="宋体" w:hAnsi="宋体" w:cs="宋体" w:eastAsia="宋体" w:hint="default"/>
                          <w:sz w:val="21"/>
                          <w:szCs w:val="21"/>
                        </w:rPr>
                      </w:pPr>
                      <w:r>
                        <w:rPr>
                          <w:rFonts w:ascii="宋体" w:hAnsi="宋体" w:cs="宋体" w:eastAsia="宋体" w:hint="default"/>
                          <w:sz w:val="21"/>
                          <w:szCs w:val="21"/>
                        </w:rPr>
                        <w:t>深海鸿投资</w:t>
                      </w:r>
                    </w:p>
                  </w:txbxContent>
                </v:textbox>
                <w10:wrap type="none"/>
              </v:shape>
              <v:shape style="position:absolute;left:6668;top:1063;width:1620;height:468" type="#_x0000_t202" filled="false" stroked="false">
                <v:textbox inset="0,0,0,0">
                  <w:txbxContent>
                    <w:p>
                      <w:pPr>
                        <w:spacing w:before="65"/>
                        <w:ind w:left="285" w:right="0" w:firstLine="0"/>
                        <w:jc w:val="left"/>
                        <w:rPr>
                          <w:rFonts w:ascii="宋体" w:hAnsi="宋体" w:cs="宋体" w:eastAsia="宋体" w:hint="default"/>
                          <w:sz w:val="21"/>
                          <w:szCs w:val="21"/>
                        </w:rPr>
                      </w:pPr>
                      <w:r>
                        <w:rPr>
                          <w:rFonts w:ascii="宋体" w:hAnsi="宋体" w:cs="宋体" w:eastAsia="宋体" w:hint="default"/>
                          <w:sz w:val="21"/>
                          <w:szCs w:val="21"/>
                        </w:rPr>
                        <w:t>金英合投资</w:t>
                      </w:r>
                    </w:p>
                  </w:txbxContent>
                </v:textbox>
                <w10:wrap type="none"/>
              </v:shape>
              <v:shape style="position:absolute;left:955;top:641;width:385;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80%</w:t>
                      </w:r>
                    </w:p>
                  </w:txbxContent>
                </v:textbox>
                <w10:wrap type="none"/>
              </v:shape>
              <v:shape style="position:absolute;left:3334;top:641;width:438;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6.9%</w:t>
                      </w:r>
                    </w:p>
                  </w:txbxContent>
                </v:textbox>
                <w10:wrap type="none"/>
              </v:shape>
              <v:shape style="position:absolute;left:5136;top:641;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30%</w:t>
                      </w:r>
                    </w:p>
                  </w:txbxContent>
                </v:textbox>
                <w10:wrap type="none"/>
              </v:shape>
              <v:shape style="position:absolute;left:7516;top:641;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47%</w:t>
                      </w:r>
                    </w:p>
                  </w:txbxContent>
                </v:textbox>
                <w10:wrap type="none"/>
              </v:shape>
              <v:shape style="position:absolute;left:6202;top:1001;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40%</w:t>
                      </w:r>
                    </w:p>
                  </w:txbxContent>
                </v:textbox>
                <w10:wrap type="none"/>
              </v:shape>
              <v:shape style="position:absolute;left:954;top:1723;width:648;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29.89%</w:t>
                      </w:r>
                    </w:p>
                  </w:txbxContent>
                </v:textbox>
                <w10:wrap type="none"/>
              </v:shape>
              <v:shape style="position:absolute;left:3386;top:1723;width:75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19.926%</w:t>
                      </w:r>
                    </w:p>
                  </w:txbxContent>
                </v:textbox>
                <w10:wrap type="none"/>
              </v:shape>
              <v:shape style="position:absolute;left:5189;top:1723;width:75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20.295%</w:t>
                      </w:r>
                    </w:p>
                  </w:txbxContent>
                </v:textbox>
                <w10:wrap type="none"/>
              </v:shape>
              <v:shape style="position:absolute;left:7516;top:1723;width:75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19.926%</w:t>
                      </w:r>
                    </w:p>
                  </w:txbxContent>
                </v:textbox>
                <w10:wrap type="none"/>
              </v:shape>
              <v:shape style="position:absolute;left:2168;top:1052;width:1620;height:468" type="#_x0000_t202" filled="false" stroked="true" strokeweight=".75pt" strokecolor="#000000">
                <v:textbox inset="0,0,0,0">
                  <w:txbxContent>
                    <w:p>
                      <w:pPr>
                        <w:spacing w:before="58"/>
                        <w:ind w:left="383" w:right="0" w:firstLine="0"/>
                        <w:jc w:val="left"/>
                        <w:rPr>
                          <w:rFonts w:ascii="宋体" w:hAnsi="宋体" w:cs="宋体" w:eastAsia="宋体" w:hint="default"/>
                          <w:sz w:val="21"/>
                          <w:szCs w:val="21"/>
                        </w:rPr>
                      </w:pPr>
                      <w:r>
                        <w:rPr>
                          <w:rFonts w:ascii="宋体" w:hAnsi="宋体" w:cs="宋体" w:eastAsia="宋体" w:hint="default"/>
                          <w:sz w:val="21"/>
                          <w:szCs w:val="21"/>
                        </w:rPr>
                        <w:t>万隆置业</w:t>
                      </w:r>
                    </w:p>
                  </w:txbxContent>
                </v:textbox>
                <w10:wrap type="none"/>
              </v:shape>
              <v:shape style="position:absolute;left:4328;top:1052;width:1620;height:468" type="#_x0000_t202" filled="false" stroked="true" strokeweight=".75pt" strokecolor="#000000">
                <v:textbox inset="0,0,0,0">
                  <w:txbxContent>
                    <w:p>
                      <w:pPr>
                        <w:spacing w:before="58"/>
                        <w:ind w:left="278" w:right="0" w:firstLine="0"/>
                        <w:jc w:val="left"/>
                        <w:rPr>
                          <w:rFonts w:ascii="宋体" w:hAnsi="宋体" w:cs="宋体" w:eastAsia="宋体" w:hint="default"/>
                          <w:sz w:val="21"/>
                          <w:szCs w:val="21"/>
                        </w:rPr>
                      </w:pPr>
                      <w:r>
                        <w:rPr>
                          <w:rFonts w:ascii="宋体" w:hAnsi="宋体" w:cs="宋体" w:eastAsia="宋体" w:hint="default"/>
                          <w:sz w:val="21"/>
                          <w:szCs w:val="21"/>
                        </w:rPr>
                        <w:t>天地缘投资</w:t>
                      </w:r>
                    </w:p>
                  </w:txbxContent>
                </v:textbox>
                <w10:wrap type="none"/>
              </v:shape>
              <v:shape style="position:absolute;left:2905;top:2161;width:2520;height:420" type="#_x0000_t202" filled="false" stroked="true" strokeweight=".75pt" strokecolor="#000000">
                <v:textbox inset="0,0,0,0">
                  <w:txbxContent>
                    <w:p>
                      <w:pPr>
                        <w:spacing w:before="58"/>
                        <w:ind w:left="1" w:right="0" w:firstLine="0"/>
                        <w:jc w:val="center"/>
                        <w:rPr>
                          <w:rFonts w:ascii="宋体" w:hAnsi="宋体" w:cs="宋体" w:eastAsia="宋体" w:hint="default"/>
                          <w:sz w:val="21"/>
                          <w:szCs w:val="21"/>
                        </w:rPr>
                      </w:pPr>
                      <w:r>
                        <w:rPr>
                          <w:rFonts w:ascii="宋体" w:hAnsi="宋体" w:cs="宋体" w:eastAsia="宋体" w:hint="default"/>
                          <w:sz w:val="21"/>
                          <w:szCs w:val="21"/>
                        </w:rPr>
                        <w:t>希格玛</w:t>
                      </w:r>
                    </w:p>
                  </w:txbxContent>
                </v:textbox>
                <w10:wrap type="none"/>
              </v:shape>
            </v:group>
          </v:group>
        </w:pict>
      </w:r>
      <w:r>
        <w:rPr>
          <w:rFonts w:ascii="宋体" w:hAnsi="宋体" w:cs="宋体" w:eastAsia="宋体" w:hint="default"/>
          <w:position w:val="-51"/>
          <w:sz w:val="20"/>
          <w:szCs w:val="20"/>
        </w:rPr>
      </w:r>
    </w:p>
    <w:p>
      <w:pPr>
        <w:spacing w:line="240" w:lineRule="auto" w:before="4"/>
        <w:rPr>
          <w:rFonts w:ascii="宋体" w:hAnsi="宋体" w:cs="宋体" w:eastAsia="宋体" w:hint="default"/>
          <w:b/>
          <w:bCs/>
          <w:sz w:val="9"/>
          <w:szCs w:val="9"/>
        </w:rPr>
      </w:pPr>
    </w:p>
    <w:p>
      <w:pPr>
        <w:pStyle w:val="BodyText"/>
        <w:spacing w:line="240" w:lineRule="auto" w:before="73"/>
        <w:ind w:left="866" w:right="0"/>
        <w:jc w:val="center"/>
        <w:rPr>
          <w:rFonts w:ascii="Times New Roman" w:hAnsi="Times New Roman" w:cs="Times New Roman" w:eastAsia="Times New Roman" w:hint="default"/>
        </w:rPr>
      </w:pPr>
      <w:r>
        <w:rPr/>
        <w:pict>
          <v:group style="position:absolute;margin-left:296.820007pt;margin-top:-6.698068pt;width:6pt;height:31.6pt;mso-position-horizontal-relative:page;mso-position-vertical-relative:paragraph;z-index:-728944" coordorigin="5936,-134" coordsize="120,632">
            <v:shape style="position:absolute;left:5936;top:-134;width:120;height:632" coordorigin="5936,-134" coordsize="120,632" path="m5989,377l5936,377,5996,497,6043,405,5996,405,5992,402,5989,398,5989,377xe" filled="true" fillcolor="#000000" stroked="false">
              <v:path arrowok="t"/>
              <v:fill type="solid"/>
            </v:shape>
            <v:shape style="position:absolute;left:5936;top:-134;width:120;height:632" coordorigin="5936,-134" coordsize="120,632" path="m5996,-134l5992,-132,5989,-127,5989,398,5992,402,5996,405,6002,402,6005,398,6005,-127,6002,-132,5996,-134xe" filled="true" fillcolor="#000000" stroked="false">
              <v:path arrowok="t"/>
              <v:fill type="solid"/>
            </v:shape>
            <v:shape style="position:absolute;left:5936;top:-134;width:120;height:632" coordorigin="5936,-134" coordsize="120,632" path="m6056,377l6005,377,6005,398,6002,402,5996,405,6043,405,6056,377xe" filled="true" fillcolor="#000000" stroked="false">
              <v:path arrowok="t"/>
              <v:fill type="solid"/>
            </v:shape>
            <w10:wrap type="none"/>
          </v:group>
        </w:pict>
      </w:r>
      <w:r>
        <w:rPr>
          <w:rFonts w:ascii="Times New Roman"/>
        </w:rPr>
        <w:t>21.88%</w:t>
      </w:r>
    </w:p>
    <w:p>
      <w:pPr>
        <w:spacing w:line="240" w:lineRule="auto" w:before="11"/>
        <w:rPr>
          <w:rFonts w:ascii="Times New Roman" w:hAnsi="Times New Roman" w:cs="Times New Roman" w:eastAsia="Times New Roman" w:hint="default"/>
          <w:sz w:val="16"/>
          <w:szCs w:val="16"/>
        </w:rPr>
      </w:pPr>
    </w:p>
    <w:p>
      <w:pPr>
        <w:spacing w:line="420" w:lineRule="exact"/>
        <w:ind w:left="30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126pt;height:21pt;mso-position-horizontal-relative:char;mso-position-vertical-relative:line" type="#_x0000_t202" filled="false" stroked="true" strokeweight=".75pt" strokecolor="#000000">
            <w10:anchorlock/>
            <v:textbox inset="0,0,0,0">
              <w:txbxContent>
                <w:p>
                  <w:pPr>
                    <w:pStyle w:val="BodyText"/>
                    <w:spacing w:line="240" w:lineRule="auto" w:before="58"/>
                    <w:ind w:left="2" w:right="0"/>
                    <w:jc w:val="center"/>
                  </w:pPr>
                  <w:r>
                    <w:rPr>
                      <w:rFonts w:ascii="Times New Roman" w:hAnsi="Times New Roman" w:cs="Times New Roman" w:eastAsia="Times New Roman" w:hint="default"/>
                    </w:rPr>
                    <w:t>ST</w:t>
                  </w:r>
                  <w:r>
                    <w:rPr>
                      <w:rFonts w:ascii="Times New Roman" w:hAnsi="Times New Roman" w:cs="Times New Roman" w:eastAsia="Times New Roman" w:hint="default"/>
                      <w:spacing w:val="-2"/>
                    </w:rPr>
                    <w:t> </w:t>
                  </w:r>
                  <w:r>
                    <w:rPr/>
                    <w:t>深泰</w:t>
                  </w:r>
                </w:p>
              </w:txbxContent>
            </v:textbox>
          </v:shape>
        </w:pict>
      </w:r>
      <w:r>
        <w:rPr>
          <w:rFonts w:ascii="Times New Roman" w:hAnsi="Times New Roman" w:cs="Times New Roman" w:eastAsia="Times New Roman" w:hint="default"/>
          <w:position w:val="-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spacing w:line="297" w:lineRule="auto" w:before="35"/>
        <w:ind w:left="573" w:right="791" w:firstLine="0"/>
        <w:jc w:val="left"/>
        <w:rPr>
          <w:rFonts w:ascii="宋体" w:hAnsi="宋体" w:cs="宋体" w:eastAsia="宋体" w:hint="default"/>
          <w:sz w:val="21"/>
          <w:szCs w:val="21"/>
        </w:rPr>
      </w:pPr>
      <w:r>
        <w:rPr>
          <w:rFonts w:ascii="宋体" w:hAnsi="宋体" w:cs="宋体" w:eastAsia="宋体" w:hint="default"/>
          <w:b/>
          <w:bCs/>
          <w:sz w:val="21"/>
          <w:szCs w:val="21"/>
        </w:rPr>
        <w:t>（七）其他持股在</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以上（含</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）的法人股东情况</w:t>
      </w:r>
      <w:r>
        <w:rPr>
          <w:rFonts w:ascii="宋体" w:hAnsi="宋体" w:cs="宋体" w:eastAsia="宋体" w:hint="default"/>
          <w:b/>
          <w:bCs/>
          <w:spacing w:val="1"/>
          <w:w w:val="99"/>
          <w:sz w:val="21"/>
          <w:szCs w:val="21"/>
        </w:rPr>
        <w:t> </w:t>
      </w:r>
      <w:r>
        <w:rPr>
          <w:rFonts w:ascii="宋体" w:hAnsi="宋体" w:cs="宋体" w:eastAsia="宋体" w:hint="default"/>
          <w:sz w:val="21"/>
          <w:szCs w:val="21"/>
        </w:rPr>
        <w:t>除中国希格玛有限公司外，公司无其他持股在</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以上（含</w:t>
      </w:r>
      <w:r>
        <w:rPr>
          <w:rFonts w:ascii="Times New Roman" w:hAnsi="Times New Roman" w:cs="Times New Roman" w:eastAsia="Times New Roman" w:hint="default"/>
          <w:sz w:val="21"/>
          <w:szCs w:val="21"/>
        </w:rPr>
        <w:t>10%</w:t>
      </w:r>
      <w:r>
        <w:rPr>
          <w:rFonts w:ascii="宋体" w:hAnsi="宋体" w:cs="宋体" w:eastAsia="宋体" w:hint="default"/>
          <w:sz w:val="21"/>
          <w:szCs w:val="21"/>
        </w:rPr>
        <w:t>）的法人股东。</w:t>
      </w:r>
    </w:p>
    <w:p>
      <w:pPr>
        <w:spacing w:after="0" w:line="297" w:lineRule="auto"/>
        <w:jc w:val="left"/>
        <w:rPr>
          <w:rFonts w:ascii="宋体" w:hAnsi="宋体" w:cs="宋体" w:eastAsia="宋体" w:hint="default"/>
          <w:sz w:val="21"/>
          <w:szCs w:val="21"/>
        </w:rPr>
        <w:sectPr>
          <w:pgSz w:w="11910" w:h="16840"/>
          <w:pgMar w:header="877" w:footer="975" w:top="1100" w:bottom="1160" w:left="1660" w:right="1580"/>
        </w:sectPr>
      </w:pPr>
    </w:p>
    <w:p>
      <w:pPr>
        <w:spacing w:line="240" w:lineRule="auto" w:before="4"/>
        <w:rPr>
          <w:rFonts w:ascii="宋体" w:hAnsi="宋体" w:cs="宋体" w:eastAsia="宋体" w:hint="default"/>
          <w:sz w:val="23"/>
          <w:szCs w:val="23"/>
        </w:rPr>
      </w:pPr>
    </w:p>
    <w:p>
      <w:pPr>
        <w:pStyle w:val="Heading1"/>
        <w:tabs>
          <w:tab w:pos="3166" w:val="left" w:leader="none"/>
        </w:tabs>
        <w:spacing w:line="240" w:lineRule="auto"/>
        <w:ind w:left="2042" w:right="0"/>
        <w:jc w:val="left"/>
        <w:rPr>
          <w:b w:val="0"/>
          <w:bCs w:val="0"/>
        </w:rPr>
      </w:pPr>
      <w:bookmarkStart w:name="_TOC_250006" w:id="4"/>
      <w:r>
        <w:rPr>
          <w:w w:val="95"/>
        </w:rPr>
        <w:t>第四节</w:t>
        <w:tab/>
      </w:r>
      <w:r>
        <w:rPr/>
        <w:t>董事、监事、高级管理人员和员工情况</w:t>
      </w:r>
      <w:bookmarkEnd w:id="4"/>
      <w:r>
        <w:rPr>
          <w:b w:val="0"/>
          <w:bCs w:val="0"/>
        </w:rPr>
      </w:r>
    </w:p>
    <w:p>
      <w:pPr>
        <w:spacing w:line="240" w:lineRule="auto" w:before="12"/>
        <w:rPr>
          <w:rFonts w:ascii="宋体" w:hAnsi="宋体" w:cs="宋体" w:eastAsia="宋体" w:hint="default"/>
          <w:b/>
          <w:bCs/>
          <w:sz w:val="36"/>
          <w:szCs w:val="36"/>
        </w:rPr>
      </w:pPr>
    </w:p>
    <w:p>
      <w:pPr>
        <w:pStyle w:val="Heading3"/>
        <w:spacing w:line="240" w:lineRule="auto"/>
        <w:ind w:left="837" w:right="0"/>
        <w:jc w:val="left"/>
        <w:rPr>
          <w:b w:val="0"/>
          <w:bCs w:val="0"/>
        </w:rPr>
      </w:pPr>
      <w:r>
        <w:rPr/>
        <w:t>一、</w:t>
      </w:r>
      <w:r>
        <w:rPr>
          <w:spacing w:val="-10"/>
        </w:rPr>
        <w:t> </w:t>
      </w:r>
      <w:r>
        <w:rPr/>
        <w:t>董事、监事、高级管理人员基本情况</w:t>
      </w:r>
      <w:r>
        <w:rPr>
          <w:b w:val="0"/>
          <w:bCs w:val="0"/>
        </w:rPr>
      </w:r>
    </w:p>
    <w:p>
      <w:pPr>
        <w:spacing w:line="240" w:lineRule="auto" w:before="3"/>
        <w:rPr>
          <w:rFonts w:ascii="宋体" w:hAnsi="宋体" w:cs="宋体" w:eastAsia="宋体" w:hint="default"/>
          <w:b/>
          <w:bCs/>
          <w:sz w:val="3"/>
          <w:szCs w:val="3"/>
        </w:rPr>
      </w:pPr>
    </w:p>
    <w:tbl>
      <w:tblPr>
        <w:tblW w:w="0" w:type="auto"/>
        <w:jc w:val="left"/>
        <w:tblInd w:w="112" w:type="dxa"/>
        <w:tblLayout w:type="fixed"/>
        <w:tblCellMar>
          <w:top w:w="0" w:type="dxa"/>
          <w:left w:w="0" w:type="dxa"/>
          <w:bottom w:w="0" w:type="dxa"/>
          <w:right w:w="0" w:type="dxa"/>
        </w:tblCellMar>
        <w:tblLook w:val="01E0"/>
      </w:tblPr>
      <w:tblGrid>
        <w:gridCol w:w="1080"/>
        <w:gridCol w:w="2156"/>
        <w:gridCol w:w="724"/>
        <w:gridCol w:w="720"/>
        <w:gridCol w:w="1321"/>
        <w:gridCol w:w="1321"/>
        <w:gridCol w:w="1111"/>
        <w:gridCol w:w="1110"/>
      </w:tblGrid>
      <w:tr>
        <w:trPr>
          <w:trHeight w:val="5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20"/>
              <w:ind w:right="3"/>
              <w:jc w:val="center"/>
              <w:rPr>
                <w:rFonts w:ascii="宋体" w:hAnsi="宋体" w:cs="宋体" w:eastAsia="宋体" w:hint="default"/>
                <w:sz w:val="21"/>
                <w:szCs w:val="21"/>
              </w:rPr>
            </w:pPr>
            <w:r>
              <w:rPr>
                <w:rFonts w:ascii="宋体" w:hAnsi="宋体" w:cs="宋体" w:eastAsia="宋体" w:hint="default"/>
                <w:b/>
                <w:bCs/>
                <w:w w:val="95"/>
                <w:sz w:val="21"/>
                <w:szCs w:val="21"/>
              </w:rPr>
              <w:t>姓</w:t>
              <w:tab/>
            </w:r>
            <w:r>
              <w:rPr>
                <w:rFonts w:ascii="宋体" w:hAnsi="宋体" w:cs="宋体" w:eastAsia="宋体" w:hint="default"/>
                <w:b/>
                <w:bCs/>
                <w:sz w:val="21"/>
                <w:szCs w:val="21"/>
              </w:rPr>
              <w:t>名</w:t>
            </w:r>
            <w:r>
              <w:rPr>
                <w:rFonts w:ascii="宋体" w:hAnsi="宋体" w:cs="宋体" w:eastAsia="宋体" w:hint="default"/>
                <w:sz w:val="21"/>
                <w:szCs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b/>
                <w:bCs/>
                <w:sz w:val="21"/>
                <w:szCs w:val="21"/>
              </w:rPr>
              <w:t>年初持股数</w:t>
            </w:r>
            <w:r>
              <w:rPr>
                <w:rFonts w:ascii="宋体" w:hAnsi="宋体" w:cs="宋体" w:eastAsia="宋体" w:hint="default"/>
                <w:sz w:val="21"/>
                <w:szCs w:val="21"/>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b/>
                <w:bCs/>
                <w:sz w:val="21"/>
                <w:szCs w:val="21"/>
              </w:rPr>
              <w:t>年末持股数</w:t>
            </w:r>
            <w:r>
              <w:rPr>
                <w:rFonts w:ascii="宋体" w:hAnsi="宋体" w:cs="宋体" w:eastAsia="宋体" w:hint="default"/>
                <w:sz w:val="21"/>
                <w:szCs w:val="21"/>
              </w:rPr>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晏</w:t>
              <w:tab/>
              <w:t>群</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48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王晓岩</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吴成智</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47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2010.06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鲁功亮</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42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2010.06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吴</w:t>
              <w:tab/>
              <w:t>军</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56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刘</w:t>
              <w:tab/>
              <w:t>崇</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49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张</w:t>
              <w:tab/>
              <w:t>溯</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69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2011.05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段满生</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57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王祖荣</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51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费泳洁</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45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张小立</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45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0</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梁</w:t>
              <w:tab/>
              <w:t>侠</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2009.05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2012.05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8,698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5,871</w:t>
            </w:r>
          </w:p>
        </w:tc>
      </w:tr>
    </w:tbl>
    <w:p>
      <w:pPr>
        <w:pStyle w:val="BodyText"/>
        <w:spacing w:line="240" w:lineRule="auto" w:before="42"/>
        <w:ind w:left="1273" w:right="0"/>
        <w:jc w:val="left"/>
      </w:pPr>
      <w:r>
        <w:rPr/>
        <w:t>注：梁侠年末持有的公司股份为高管锁定限售股份，其年初数与年末数的差异原因是：</w:t>
      </w:r>
    </w:p>
    <w:p>
      <w:pPr>
        <w:pStyle w:val="BodyText"/>
        <w:spacing w:line="240" w:lineRule="auto" w:before="85"/>
        <w:ind w:left="1273" w:right="0"/>
        <w:jc w:val="left"/>
      </w:pPr>
      <w:r>
        <w:rPr>
          <w:rFonts w:ascii="新宋体" w:hAnsi="新宋体" w:cs="新宋体" w:eastAsia="新宋体" w:hint="default"/>
        </w:rPr>
        <w:t>①</w:t>
      </w:r>
      <w:r>
        <w:rPr/>
        <w:t>公司重整程序中，梁侠让渡了</w:t>
      </w:r>
      <w:r>
        <w:rPr>
          <w:rFonts w:ascii="Times New Roman" w:hAnsi="Times New Roman" w:cs="Times New Roman" w:eastAsia="Times New Roman" w:hint="default"/>
        </w:rPr>
        <w:t>869</w:t>
      </w:r>
      <w:r>
        <w:rPr/>
        <w:t>股（其中让渡的高管限售股为</w:t>
      </w:r>
      <w:r>
        <w:rPr>
          <w:rFonts w:ascii="Times New Roman" w:hAnsi="Times New Roman" w:cs="Times New Roman" w:eastAsia="Times New Roman" w:hint="default"/>
        </w:rPr>
        <w:t>652</w:t>
      </w:r>
      <w:r>
        <w:rPr/>
        <w:t>股）；</w:t>
      </w:r>
    </w:p>
    <w:p>
      <w:pPr>
        <w:pStyle w:val="BodyText"/>
        <w:spacing w:line="240" w:lineRule="auto" w:before="69"/>
        <w:ind w:left="1273" w:right="0"/>
        <w:jc w:val="left"/>
      </w:pPr>
      <w:r>
        <w:rPr>
          <w:rFonts w:ascii="新宋体" w:hAnsi="新宋体" w:cs="新宋体" w:eastAsia="新宋体" w:hint="default"/>
        </w:rPr>
        <w:t>②</w:t>
      </w:r>
      <w:r>
        <w:rPr/>
        <w:t>在报告期内，梁侠减持了解除锁定的高管限售股，减持股数为</w:t>
      </w:r>
      <w:r>
        <w:rPr>
          <w:rFonts w:ascii="Times New Roman" w:hAnsi="Times New Roman" w:cs="Times New Roman" w:eastAsia="Times New Roman" w:hint="default"/>
        </w:rPr>
        <w:t>1,958</w:t>
      </w:r>
      <w:r>
        <w:rPr/>
        <w:t>股。</w:t>
      </w:r>
    </w:p>
    <w:p>
      <w:pPr>
        <w:spacing w:line="240" w:lineRule="auto" w:before="10"/>
        <w:rPr>
          <w:rFonts w:ascii="宋体" w:hAnsi="宋体" w:cs="宋体" w:eastAsia="宋体" w:hint="default"/>
          <w:sz w:val="32"/>
          <w:szCs w:val="32"/>
        </w:rPr>
      </w:pPr>
    </w:p>
    <w:p>
      <w:pPr>
        <w:pStyle w:val="Heading3"/>
        <w:spacing w:line="240" w:lineRule="auto"/>
        <w:ind w:left="1250" w:right="0"/>
        <w:jc w:val="left"/>
        <w:rPr>
          <w:b w:val="0"/>
          <w:bCs w:val="0"/>
        </w:rPr>
      </w:pPr>
      <w:r>
        <w:rPr/>
        <w:t>二、现任董事、监事、高级管理人员最近五年的主要工作经历</w:t>
      </w:r>
      <w:r>
        <w:rPr>
          <w:b w:val="0"/>
          <w:bCs w:val="0"/>
        </w:rPr>
      </w:r>
    </w:p>
    <w:p>
      <w:pPr>
        <w:pStyle w:val="BodyText"/>
        <w:spacing w:line="314" w:lineRule="auto" w:before="85"/>
        <w:ind w:left="837" w:right="0" w:firstLine="420"/>
        <w:jc w:val="left"/>
      </w:pPr>
      <w:r>
        <w:rPr>
          <w:spacing w:val="-3"/>
        </w:rPr>
        <w:t>（一）王晓岩，最近五年任中国希格玛有限公司董事长兼总裁、北京东方太阳城房地产</w:t>
      </w:r>
      <w:r>
        <w:rPr/>
        <w:t> 开发有限责任公司董事长、深圳市深信泰丰（集团）股份有限公司董事。</w:t>
      </w:r>
    </w:p>
    <w:p>
      <w:pPr>
        <w:pStyle w:val="BodyText"/>
        <w:spacing w:line="297" w:lineRule="auto" w:before="20"/>
        <w:ind w:left="837" w:right="620" w:firstLine="420"/>
        <w:jc w:val="left"/>
      </w:pPr>
      <w:r>
        <w:rPr/>
        <w:t>（二）晏群，最近五年曾在中国希格玛有限公司工作，</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月起在深圳市深信泰 丰（集团）股份有限公司工作，任董事长、总经理。</w:t>
      </w:r>
    </w:p>
    <w:p>
      <w:pPr>
        <w:pStyle w:val="BodyText"/>
        <w:spacing w:line="314" w:lineRule="auto" w:before="34"/>
        <w:ind w:left="837" w:right="631" w:firstLine="420"/>
        <w:jc w:val="both"/>
      </w:pPr>
      <w:r>
        <w:rPr>
          <w:spacing w:val="-3"/>
        </w:rPr>
        <w:t>（三）吴成智，最近五年任深圳市生元农机有限公司副总经理，深圳市宝牧实业有限公</w:t>
      </w:r>
      <w:r>
        <w:rPr/>
        <w:t> </w:t>
      </w:r>
      <w:r>
        <w:rPr>
          <w:spacing w:val="-3"/>
        </w:rPr>
        <w:t>司副经理，深圳市宝安区投资管理有限公司副总裁、党委委员，深圳市资兴源实业有限公司</w:t>
      </w:r>
      <w:r>
        <w:rPr>
          <w:spacing w:val="-72"/>
        </w:rPr>
        <w:t> </w:t>
      </w:r>
      <w:r>
        <w:rPr>
          <w:spacing w:val="-72"/>
        </w:rPr>
      </w:r>
      <w:r>
        <w:rPr/>
        <w:t>董事长，深圳市深信泰丰（集团）股份有限公司董事，中国宝安集团股份有限公司董事。</w:t>
      </w:r>
    </w:p>
    <w:p>
      <w:pPr>
        <w:pStyle w:val="BodyText"/>
        <w:spacing w:line="237" w:lineRule="exact"/>
        <w:ind w:left="1257" w:right="0"/>
        <w:jc w:val="left"/>
      </w:pPr>
      <w:r>
        <w:rPr>
          <w:spacing w:val="-8"/>
        </w:rPr>
        <w:t>（四）鲁功亮，最近五年在重庆润江基础设施投资有限公司工作，任深圳市深信泰丰（集</w:t>
      </w:r>
    </w:p>
    <w:p>
      <w:pPr>
        <w:pStyle w:val="BodyText"/>
        <w:spacing w:line="240" w:lineRule="auto" w:before="37"/>
        <w:ind w:left="837" w:right="0"/>
        <w:jc w:val="left"/>
      </w:pPr>
      <w:r>
        <w:rPr/>
        <w:t>团）股份有限公司董事。</w:t>
      </w:r>
    </w:p>
    <w:p>
      <w:pPr>
        <w:pStyle w:val="BodyText"/>
        <w:spacing w:line="314" w:lineRule="auto" w:before="94"/>
        <w:ind w:left="837" w:right="631" w:firstLine="411"/>
        <w:jc w:val="both"/>
      </w:pPr>
      <w:r>
        <w:rPr>
          <w:spacing w:val="-3"/>
        </w:rPr>
        <w:t>（五）张溯，最近五年任深圳市宏观经济学会名誉会长、光汇石油集团（控股）公司高</w:t>
      </w:r>
      <w:r>
        <w:rPr/>
        <w:t> </w:t>
      </w:r>
      <w:r>
        <w:rPr>
          <w:spacing w:val="-3"/>
        </w:rPr>
        <w:t>级顾问、吉林大学深圳校友会会长、深圳市中小企业信用互助协会会长、深圳经济特区研究</w:t>
      </w:r>
      <w:r>
        <w:rPr>
          <w:spacing w:val="-72"/>
        </w:rPr>
        <w:t> </w:t>
      </w:r>
      <w:r>
        <w:rPr>
          <w:spacing w:val="-72"/>
        </w:rPr>
      </w:r>
      <w:r>
        <w:rPr/>
        <w:t>会副秘书长、深圳市深信泰丰（集团）股份有限公司独立董事。</w:t>
      </w:r>
    </w:p>
    <w:p>
      <w:pPr>
        <w:pStyle w:val="BodyText"/>
        <w:spacing w:line="314" w:lineRule="auto" w:before="20"/>
        <w:ind w:left="837" w:right="527" w:firstLine="411"/>
        <w:jc w:val="left"/>
      </w:pPr>
      <w:r>
        <w:rPr>
          <w:spacing w:val="-3"/>
        </w:rPr>
        <w:t>（六）吴军，最近五年任对外经济贸易大学教授、博士生导师，对外经济贸易大学金融</w:t>
      </w:r>
      <w:r>
        <w:rPr/>
        <w:t> 学院院长，中国金融学会常务理事，北京市金融学会副会长，中国城市金融学会常务理事、 </w:t>
      </w:r>
      <w:r>
        <w:rPr>
          <w:spacing w:val="-3"/>
        </w:rPr>
        <w:t>学术委员，刘鸿儒金融教育基金会理事、学术委员会常务副主任，西南证券股份有限公司独</w:t>
      </w:r>
      <w:r>
        <w:rPr>
          <w:spacing w:val="-72"/>
        </w:rPr>
        <w:t> </w:t>
      </w:r>
      <w:r>
        <w:rPr>
          <w:spacing w:val="-72"/>
        </w:rPr>
      </w:r>
      <w:r>
        <w:rPr/>
        <w:t>立董事，深圳市深信泰丰（集团）股份有限公司独立董事。</w:t>
      </w:r>
    </w:p>
    <w:p>
      <w:pPr>
        <w:spacing w:after="0" w:line="314" w:lineRule="auto"/>
        <w:jc w:val="left"/>
        <w:sectPr>
          <w:pgSz w:w="11910" w:h="16840"/>
          <w:pgMar w:header="877" w:footer="975" w:top="1100" w:bottom="1160" w:left="960" w:right="1160"/>
        </w:sectPr>
      </w:pPr>
    </w:p>
    <w:p>
      <w:pPr>
        <w:spacing w:line="240" w:lineRule="auto" w:before="6"/>
        <w:rPr>
          <w:rFonts w:ascii="宋体" w:hAnsi="宋体" w:cs="宋体" w:eastAsia="宋体" w:hint="default"/>
          <w:sz w:val="25"/>
          <w:szCs w:val="25"/>
        </w:rPr>
      </w:pPr>
    </w:p>
    <w:p>
      <w:pPr>
        <w:pStyle w:val="BodyText"/>
        <w:spacing w:line="314" w:lineRule="auto" w:before="35"/>
        <w:ind w:left="217" w:right="632" w:firstLine="420"/>
        <w:jc w:val="both"/>
      </w:pPr>
      <w:r>
        <w:rPr>
          <w:spacing w:val="-3"/>
        </w:rPr>
        <w:t>（七）刘崇，最近五年先任深圳市特发集团有限公司董事、财务总监后任该公司副总经</w:t>
      </w:r>
      <w:r>
        <w:rPr/>
        <w:t> </w:t>
      </w:r>
      <w:r>
        <w:rPr>
          <w:spacing w:val="-3"/>
        </w:rPr>
        <w:t>理、财务总监。报告期内任深业集团有限公司副总经理、深圳市深信泰丰（集团）股份有限</w:t>
      </w:r>
      <w:r>
        <w:rPr>
          <w:spacing w:val="-78"/>
        </w:rPr>
        <w:t> </w:t>
      </w:r>
      <w:r>
        <w:rPr>
          <w:spacing w:val="-78"/>
        </w:rPr>
      </w:r>
      <w:r>
        <w:rPr/>
        <w:t>公司独立董事。</w:t>
      </w:r>
    </w:p>
    <w:p>
      <w:pPr>
        <w:pStyle w:val="BodyText"/>
        <w:spacing w:line="314" w:lineRule="auto" w:before="20"/>
        <w:ind w:left="217" w:right="544" w:firstLine="420"/>
        <w:jc w:val="both"/>
      </w:pPr>
      <w:r>
        <w:rPr/>
        <w:t>（八）段满生，最近五年任深圳市宝安区投资管理有限公司党委副书记、监事会主席， 深圳市深信泰丰（集团）股份有限公司监事、监事会主席。</w:t>
      </w:r>
    </w:p>
    <w:p>
      <w:pPr>
        <w:pStyle w:val="BodyText"/>
        <w:spacing w:line="314" w:lineRule="auto" w:before="20"/>
        <w:ind w:left="217" w:right="631" w:firstLine="420"/>
        <w:jc w:val="both"/>
      </w:pPr>
      <w:r>
        <w:rPr>
          <w:spacing w:val="-3"/>
        </w:rPr>
        <w:t>（九）王祖荣，最近五年任深圳市宝岩投资咨询有限公司董事、副总经理，任深圳市深</w:t>
      </w:r>
      <w:r>
        <w:rPr/>
        <w:t> 信泰丰（集团）股份有限公司监事。</w:t>
      </w:r>
    </w:p>
    <w:p>
      <w:pPr>
        <w:pStyle w:val="BodyText"/>
        <w:spacing w:line="314" w:lineRule="auto" w:before="20"/>
        <w:ind w:left="217" w:right="633" w:firstLine="420"/>
        <w:jc w:val="both"/>
      </w:pPr>
      <w:r>
        <w:rPr>
          <w:spacing w:val="-3"/>
        </w:rPr>
        <w:t>（十）费泳洁，最近五年在深圳市深信泰丰（集团）股份有限公司工作，任公司职工代</w:t>
      </w:r>
      <w:r>
        <w:rPr/>
        <w:t> 表监事。</w:t>
      </w:r>
    </w:p>
    <w:p>
      <w:pPr>
        <w:pStyle w:val="BodyText"/>
        <w:spacing w:line="314" w:lineRule="auto" w:before="20"/>
        <w:ind w:left="217" w:right="512" w:firstLine="420"/>
        <w:jc w:val="left"/>
      </w:pPr>
      <w:r>
        <w:rPr>
          <w:spacing w:val="-5"/>
        </w:rPr>
        <w:t>（十一）张小立，最近五年在深圳市深信泰丰（集团）股份有限公司工作，任副总经理、</w:t>
      </w:r>
      <w:r>
        <w:rPr/>
        <w:t> 董事会秘书。</w:t>
      </w:r>
    </w:p>
    <w:p>
      <w:pPr>
        <w:pStyle w:val="BodyText"/>
        <w:spacing w:line="314" w:lineRule="auto" w:before="20"/>
        <w:ind w:left="217" w:right="544" w:firstLine="420"/>
        <w:jc w:val="both"/>
      </w:pPr>
      <w:r>
        <w:rPr/>
        <w:t>（十二）梁侠，最近五年在深圳市深信泰丰（集团）股份有限公司工作，任总会计师、 党总支副书记、工委会主席。</w:t>
      </w:r>
    </w:p>
    <w:p>
      <w:pPr>
        <w:spacing w:line="240" w:lineRule="auto" w:before="0"/>
        <w:rPr>
          <w:rFonts w:ascii="宋体" w:hAnsi="宋体" w:cs="宋体" w:eastAsia="宋体" w:hint="default"/>
          <w:sz w:val="29"/>
          <w:szCs w:val="29"/>
        </w:rPr>
      </w:pPr>
    </w:p>
    <w:p>
      <w:pPr>
        <w:pStyle w:val="Heading3"/>
        <w:spacing w:line="240" w:lineRule="auto"/>
        <w:ind w:left="639" w:right="512"/>
        <w:jc w:val="left"/>
        <w:rPr>
          <w:b w:val="0"/>
          <w:bCs w:val="0"/>
        </w:rPr>
      </w:pPr>
      <w:r>
        <w:rPr/>
        <w:t>三、董事出席董事会的有关情况</w:t>
      </w:r>
      <w:r>
        <w:rPr>
          <w:b w:val="0"/>
          <w:bCs w:val="0"/>
        </w:rPr>
      </w:r>
    </w:p>
    <w:p>
      <w:pPr>
        <w:spacing w:line="240" w:lineRule="auto" w:before="4"/>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1066"/>
        <w:gridCol w:w="1066"/>
        <w:gridCol w:w="854"/>
        <w:gridCol w:w="1080"/>
        <w:gridCol w:w="1260"/>
        <w:gridCol w:w="1066"/>
        <w:gridCol w:w="732"/>
        <w:gridCol w:w="1805"/>
      </w:tblGrid>
      <w:tr>
        <w:trPr>
          <w:trHeight w:val="8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8"/>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8"/>
              <w:jc w:val="center"/>
              <w:rPr>
                <w:rFonts w:ascii="宋体" w:hAnsi="宋体" w:cs="宋体" w:eastAsia="宋体" w:hint="default"/>
                <w:sz w:val="21"/>
                <w:szCs w:val="21"/>
              </w:rPr>
            </w:pPr>
            <w:r>
              <w:rPr>
                <w:rFonts w:ascii="宋体" w:hAnsi="宋体" w:cs="宋体" w:eastAsia="宋体" w:hint="default"/>
                <w:sz w:val="21"/>
                <w:szCs w:val="21"/>
              </w:rPr>
              <w:t>职务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2" w:lineRule="exact" w:before="26"/>
              <w:ind w:left="266" w:right="156"/>
              <w:jc w:val="center"/>
              <w:rPr>
                <w:rFonts w:ascii="宋体" w:hAnsi="宋体" w:cs="宋体" w:eastAsia="宋体" w:hint="default"/>
                <w:sz w:val="21"/>
                <w:szCs w:val="21"/>
              </w:rPr>
            </w:pPr>
            <w:r>
              <w:rPr>
                <w:rFonts w:ascii="宋体" w:hAnsi="宋体" w:cs="宋体" w:eastAsia="宋体" w:hint="default"/>
                <w:sz w:val="21"/>
                <w:szCs w:val="21"/>
              </w:rPr>
              <w:t>会议 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pacing w:val="7"/>
                <w:sz w:val="21"/>
                <w:szCs w:val="21"/>
              </w:rPr>
              <w:t>现场出席</w:t>
            </w:r>
            <w:r>
              <w:rPr>
                <w:rFonts w:ascii="宋体" w:hAnsi="宋体" w:cs="宋体" w:eastAsia="宋体" w:hint="default"/>
                <w:sz w:val="21"/>
                <w:szCs w:val="21"/>
              </w:rPr>
            </w:r>
          </w:p>
          <w:p>
            <w:pPr>
              <w:pStyle w:val="TableParagraph"/>
              <w:spacing w:line="274" w:lineRule="exact"/>
              <w:ind w:right="22"/>
              <w:jc w:val="center"/>
              <w:rPr>
                <w:rFonts w:ascii="宋体" w:hAnsi="宋体" w:cs="宋体" w:eastAsia="宋体" w:hint="default"/>
                <w:sz w:val="21"/>
                <w:szCs w:val="21"/>
              </w:rPr>
            </w:pPr>
            <w:r>
              <w:rPr>
                <w:rFonts w:ascii="宋体" w:hAnsi="宋体" w:cs="宋体" w:eastAsia="宋体" w:hint="default"/>
                <w:sz w:val="21"/>
                <w:szCs w:val="21"/>
              </w:rPr>
              <w:t>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29"/>
              <w:jc w:val="center"/>
              <w:rPr>
                <w:rFonts w:ascii="宋体" w:hAnsi="宋体" w:cs="宋体" w:eastAsia="宋体" w:hint="default"/>
                <w:sz w:val="21"/>
                <w:szCs w:val="21"/>
              </w:rPr>
            </w:pPr>
            <w:r>
              <w:rPr>
                <w:rFonts w:ascii="宋体" w:hAnsi="宋体" w:cs="宋体" w:eastAsia="宋体" w:hint="default"/>
                <w:spacing w:val="20"/>
                <w:sz w:val="21"/>
                <w:szCs w:val="21"/>
              </w:rPr>
              <w:t>以通讯方式</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208" w:right="199"/>
              <w:jc w:val="center"/>
              <w:rPr>
                <w:rFonts w:ascii="宋体" w:hAnsi="宋体" w:cs="宋体" w:eastAsia="宋体" w:hint="default"/>
                <w:sz w:val="21"/>
                <w:szCs w:val="21"/>
              </w:rPr>
            </w:pPr>
            <w:r>
              <w:rPr>
                <w:rFonts w:ascii="宋体" w:hAnsi="宋体" w:cs="宋体" w:eastAsia="宋体" w:hint="default"/>
                <w:sz w:val="21"/>
                <w:szCs w:val="21"/>
              </w:rPr>
              <w:t>参加会议 次数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pacing w:val="2"/>
                <w:sz w:val="21"/>
                <w:szCs w:val="21"/>
              </w:rPr>
              <w:t>委托出席</w:t>
            </w:r>
            <w:r>
              <w:rPr>
                <w:rFonts w:ascii="宋体" w:hAnsi="宋体" w:cs="宋体" w:eastAsia="宋体" w:hint="default"/>
                <w:sz w:val="21"/>
                <w:szCs w:val="21"/>
              </w:rPr>
            </w:r>
          </w:p>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次数</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38" w:lineRule="exact"/>
              <w:ind w:left="102" w:right="-4"/>
              <w:jc w:val="center"/>
              <w:rPr>
                <w:rFonts w:ascii="宋体" w:hAnsi="宋体" w:cs="宋体" w:eastAsia="宋体" w:hint="default"/>
                <w:sz w:val="21"/>
                <w:szCs w:val="21"/>
              </w:rPr>
            </w:pPr>
            <w:r>
              <w:rPr>
                <w:rFonts w:ascii="宋体" w:hAnsi="宋体" w:cs="宋体" w:eastAsia="宋体" w:hint="default"/>
                <w:sz w:val="21"/>
                <w:szCs w:val="21"/>
              </w:rPr>
              <w:t>缺</w:t>
              <w:tab/>
              <w:t>席</w:t>
            </w:r>
          </w:p>
          <w:p>
            <w:pPr>
              <w:pStyle w:val="TableParagraph"/>
              <w:spacing w:line="274" w:lineRule="exact"/>
              <w:ind w:left="114"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是否有连续两次</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未亲自出席会议</w:t>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晏</w:t>
              <w:tab/>
              <w:t>群</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2"/>
              <w:jc w:val="right"/>
              <w:rPr>
                <w:rFonts w:ascii="Times New Roman" w:hAnsi="Times New Roman" w:cs="Times New Roman" w:eastAsia="Times New Roman" w:hint="default"/>
                <w:sz w:val="21"/>
                <w:szCs w:val="21"/>
              </w:rPr>
            </w:pPr>
            <w:r>
              <w:rPr>
                <w:rFonts w:ascii="Times New Roman"/>
                <w:sz w:val="21"/>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2" w:right="0"/>
              <w:jc w:val="left"/>
              <w:rPr>
                <w:rFonts w:ascii="Times New Roman" w:hAnsi="Times New Roman" w:cs="Times New Roman" w:eastAsia="Times New Roman" w:hint="default"/>
                <w:sz w:val="21"/>
                <w:szCs w:val="21"/>
              </w:rPr>
            </w:pPr>
            <w:r>
              <w:rPr>
                <w:rFonts w:ascii="Times New Roman"/>
                <w:sz w:val="21"/>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王晓岩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2"/>
              <w:jc w:val="right"/>
              <w:rPr>
                <w:rFonts w:ascii="Times New Roman" w:hAnsi="Times New Roman" w:cs="Times New Roman" w:eastAsia="Times New Roman" w:hint="default"/>
                <w:sz w:val="21"/>
                <w:szCs w:val="21"/>
              </w:rPr>
            </w:pPr>
            <w:r>
              <w:rPr>
                <w:rFonts w:ascii="Times New Roman"/>
                <w:sz w:val="21"/>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2" w:right="0"/>
              <w:jc w:val="left"/>
              <w:rPr>
                <w:rFonts w:ascii="Times New Roman" w:hAnsi="Times New Roman" w:cs="Times New Roman" w:eastAsia="Times New Roman" w:hint="default"/>
                <w:sz w:val="21"/>
                <w:szCs w:val="21"/>
              </w:rPr>
            </w:pPr>
            <w:r>
              <w:rPr>
                <w:rFonts w:ascii="Times New Roman"/>
                <w:sz w:val="21"/>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吴成智</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2"/>
              <w:jc w:val="right"/>
              <w:rPr>
                <w:rFonts w:ascii="Times New Roman" w:hAnsi="Times New Roman" w:cs="Times New Roman" w:eastAsia="Times New Roman" w:hint="default"/>
                <w:sz w:val="21"/>
                <w:szCs w:val="21"/>
              </w:rPr>
            </w:pPr>
            <w:r>
              <w:rPr>
                <w:rFonts w:ascii="Times New Roman"/>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2" w:right="0"/>
              <w:jc w:val="left"/>
              <w:rPr>
                <w:rFonts w:ascii="Times New Roman" w:hAnsi="Times New Roman" w:cs="Times New Roman" w:eastAsia="Times New Roman" w:hint="default"/>
                <w:sz w:val="21"/>
                <w:szCs w:val="21"/>
              </w:rPr>
            </w:pPr>
            <w:r>
              <w:rPr>
                <w:rFonts w:ascii="Times New Roman"/>
                <w:sz w:val="21"/>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鲁功亮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2"/>
              <w:jc w:val="right"/>
              <w:rPr>
                <w:rFonts w:ascii="Times New Roman" w:hAnsi="Times New Roman" w:cs="Times New Roman" w:eastAsia="Times New Roman" w:hint="default"/>
                <w:sz w:val="21"/>
                <w:szCs w:val="21"/>
              </w:rPr>
            </w:pPr>
            <w:r>
              <w:rPr>
                <w:rFonts w:ascii="Times New Roman"/>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2" w:right="0"/>
              <w:jc w:val="left"/>
              <w:rPr>
                <w:rFonts w:ascii="Times New Roman" w:hAnsi="Times New Roman" w:cs="Times New Roman" w:eastAsia="Times New Roman" w:hint="default"/>
                <w:sz w:val="21"/>
                <w:szCs w:val="21"/>
              </w:rPr>
            </w:pPr>
            <w:r>
              <w:rPr>
                <w:rFonts w:ascii="Times New Roman"/>
                <w:sz w:val="21"/>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吴</w:t>
              <w:tab/>
              <w:t>军</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2"/>
              <w:jc w:val="right"/>
              <w:rPr>
                <w:rFonts w:ascii="Times New Roman" w:hAnsi="Times New Roman" w:cs="Times New Roman" w:eastAsia="Times New Roman" w:hint="default"/>
                <w:sz w:val="21"/>
                <w:szCs w:val="21"/>
              </w:rPr>
            </w:pPr>
            <w:r>
              <w:rPr>
                <w:rFonts w:ascii="Times New Roman"/>
                <w:sz w:val="21"/>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2" w:right="0"/>
              <w:jc w:val="left"/>
              <w:rPr>
                <w:rFonts w:ascii="Times New Roman" w:hAnsi="Times New Roman" w:cs="Times New Roman" w:eastAsia="Times New Roman" w:hint="default"/>
                <w:sz w:val="21"/>
                <w:szCs w:val="21"/>
              </w:rPr>
            </w:pPr>
            <w:r>
              <w:rPr>
                <w:rFonts w:ascii="Times New Roman"/>
                <w:sz w:val="21"/>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崇</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2"/>
              <w:jc w:val="right"/>
              <w:rPr>
                <w:rFonts w:ascii="Times New Roman" w:hAnsi="Times New Roman" w:cs="Times New Roman" w:eastAsia="Times New Roman" w:hint="default"/>
                <w:sz w:val="21"/>
                <w:szCs w:val="21"/>
              </w:rPr>
            </w:pPr>
            <w:r>
              <w:rPr>
                <w:rFonts w:ascii="Times New Roman"/>
                <w:sz w:val="21"/>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2" w:right="0"/>
              <w:jc w:val="left"/>
              <w:rPr>
                <w:rFonts w:ascii="Times New Roman" w:hAnsi="Times New Roman" w:cs="Times New Roman" w:eastAsia="Times New Roman" w:hint="default"/>
                <w:sz w:val="21"/>
                <w:szCs w:val="21"/>
              </w:rPr>
            </w:pPr>
            <w:r>
              <w:rPr>
                <w:rFonts w:ascii="Times New Roman"/>
                <w:sz w:val="21"/>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w:t>
              <w:tab/>
              <w:t>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2"/>
              <w:jc w:val="right"/>
              <w:rPr>
                <w:rFonts w:ascii="Times New Roman" w:hAnsi="Times New Roman" w:cs="Times New Roman" w:eastAsia="Times New Roman" w:hint="default"/>
                <w:sz w:val="21"/>
                <w:szCs w:val="21"/>
              </w:rPr>
            </w:pPr>
            <w:r>
              <w:rPr>
                <w:rFonts w:ascii="Times New Roman"/>
                <w:sz w:val="21"/>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2" w:right="0"/>
              <w:jc w:val="left"/>
              <w:rPr>
                <w:rFonts w:ascii="Times New Roman" w:hAnsi="Times New Roman" w:cs="Times New Roman" w:eastAsia="Times New Roman" w:hint="default"/>
                <w:sz w:val="21"/>
                <w:szCs w:val="21"/>
              </w:rPr>
            </w:pPr>
            <w:r>
              <w:rPr>
                <w:rFonts w:ascii="Times New Roman"/>
                <w:sz w:val="21"/>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b/>
          <w:bCs/>
          <w:sz w:val="28"/>
          <w:szCs w:val="28"/>
        </w:rPr>
      </w:pPr>
    </w:p>
    <w:p>
      <w:pPr>
        <w:pStyle w:val="Heading3"/>
        <w:spacing w:line="240" w:lineRule="auto" w:before="35"/>
        <w:ind w:left="639" w:right="512"/>
        <w:jc w:val="left"/>
        <w:rPr>
          <w:b w:val="0"/>
          <w:bCs w:val="0"/>
        </w:rPr>
      </w:pPr>
      <w:r>
        <w:rPr/>
        <w:t>四、报告期内选举或离任的董事、解聘的高级管理人员情况</w:t>
      </w:r>
      <w:r>
        <w:rPr>
          <w:b w:val="0"/>
          <w:bCs w:val="0"/>
        </w:rPr>
      </w:r>
    </w:p>
    <w:p>
      <w:pPr>
        <w:pStyle w:val="BodyText"/>
        <w:spacing w:line="240" w:lineRule="auto" w:before="85"/>
        <w:ind w:left="637" w:right="512"/>
        <w:jc w:val="left"/>
      </w:pPr>
      <w:r>
        <w:rPr/>
        <w:t>（一）报告期内，董事、监事、高级管理人员的变动情况</w:t>
      </w:r>
    </w:p>
    <w:p>
      <w:pPr>
        <w:pStyle w:val="BodyText"/>
        <w:spacing w:line="304" w:lineRule="auto" w:before="85"/>
        <w:ind w:left="217" w:right="631"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日，公司董事会六届五次会议审议了《关于公司董事、高管任免事项的 </w:t>
      </w:r>
      <w:r>
        <w:rPr>
          <w:spacing w:val="-3"/>
        </w:rPr>
        <w:t>议案》，经表决，同意蔡锡民、华毛肃辞去公司董事、副总经理职务的请求；同意郑文漪辞</w:t>
      </w:r>
      <w:r>
        <w:rPr>
          <w:spacing w:val="-75"/>
        </w:rPr>
        <w:t> </w:t>
      </w:r>
      <w:r>
        <w:rPr>
          <w:spacing w:val="-75"/>
        </w:rPr>
      </w:r>
      <w:r>
        <w:rPr/>
        <w:t>去公司副总经理职务的请求；推选吴成智、鲁功亮为公司第六届董事会董事候选人。</w:t>
      </w:r>
    </w:p>
    <w:p>
      <w:pPr>
        <w:pStyle w:val="BodyText"/>
        <w:spacing w:line="297" w:lineRule="auto" w:before="28"/>
        <w:ind w:left="217" w:right="512" w:firstLine="420"/>
        <w:jc w:val="lef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25</w:t>
      </w:r>
      <w:r>
        <w:rPr>
          <w:spacing w:val="-5"/>
        </w:rPr>
        <w:t>日，公司</w:t>
      </w:r>
      <w:r>
        <w:rPr>
          <w:rFonts w:ascii="Times New Roman" w:hAnsi="Times New Roman" w:cs="Times New Roman" w:eastAsia="Times New Roman" w:hint="default"/>
          <w:spacing w:val="-5"/>
        </w:rPr>
        <w:t>2009</w:t>
      </w:r>
      <w:r>
        <w:rPr>
          <w:spacing w:val="-5"/>
        </w:rPr>
        <w:t>年年度股东大会审议通过了《关于选举公司董事的议案》，</w:t>
      </w:r>
      <w:r>
        <w:rPr/>
        <w:t> 经股东大会审议通过，选举吴成智、鲁功亮为公司第六届董事会董事。</w:t>
      </w:r>
    </w:p>
    <w:p>
      <w:pPr>
        <w:pStyle w:val="BodyText"/>
        <w:spacing w:line="240" w:lineRule="auto" w:before="34"/>
        <w:ind w:left="637" w:right="512"/>
        <w:jc w:val="left"/>
      </w:pPr>
      <w:r>
        <w:rPr>
          <w:rFonts w:ascii="Times New Roman" w:hAnsi="Times New Roman" w:cs="Times New Roman" w:eastAsia="Times New Roman" w:hint="default"/>
        </w:rPr>
        <w:t>3</w:t>
      </w:r>
      <w:r>
        <w:rPr/>
        <w:t>、上述会议的有关决议公告刊登在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日《证券时报》和巨潮网。</w:t>
      </w:r>
    </w:p>
    <w:p>
      <w:pPr>
        <w:pStyle w:val="BodyText"/>
        <w:spacing w:line="240" w:lineRule="auto" w:before="69"/>
        <w:ind w:left="637" w:right="512"/>
        <w:jc w:val="left"/>
      </w:pPr>
      <w:r>
        <w:rPr/>
        <w:t>（二）报告期内，公司无其他高级管理人员解聘和新聘的情况。</w:t>
      </w:r>
    </w:p>
    <w:p>
      <w:pPr>
        <w:spacing w:after="0" w:line="240" w:lineRule="auto"/>
        <w:jc w:val="left"/>
        <w:sectPr>
          <w:pgSz w:w="11910" w:h="16840"/>
          <w:pgMar w:header="877" w:footer="975" w:top="1100" w:bottom="1160" w:left="1580" w:right="1160"/>
        </w:sectPr>
      </w:pPr>
    </w:p>
    <w:p>
      <w:pPr>
        <w:spacing w:line="240" w:lineRule="auto" w:before="6"/>
        <w:rPr>
          <w:rFonts w:ascii="宋体" w:hAnsi="宋体" w:cs="宋体" w:eastAsia="宋体" w:hint="default"/>
          <w:sz w:val="25"/>
          <w:szCs w:val="25"/>
        </w:rPr>
      </w:pPr>
    </w:p>
    <w:p>
      <w:pPr>
        <w:pStyle w:val="BodyText"/>
        <w:spacing w:line="314" w:lineRule="auto" w:before="35"/>
        <w:ind w:left="637" w:right="92" w:firstLine="2"/>
        <w:jc w:val="left"/>
      </w:pPr>
      <w:r>
        <w:rPr>
          <w:rFonts w:ascii="宋体" w:hAnsi="宋体" w:cs="宋体" w:eastAsia="宋体" w:hint="default"/>
          <w:b/>
          <w:bCs/>
        </w:rPr>
        <w:t>五、年度报酬情况</w:t>
      </w:r>
      <w:r>
        <w:rPr>
          <w:rFonts w:ascii="宋体" w:hAnsi="宋体" w:cs="宋体" w:eastAsia="宋体" w:hint="default"/>
          <w:b/>
          <w:bCs/>
          <w:spacing w:val="1"/>
          <w:w w:val="99"/>
        </w:rPr>
        <w:t> </w:t>
      </w:r>
      <w:r>
        <w:rPr>
          <w:spacing w:val="-5"/>
        </w:rPr>
        <w:t>报告期内，公司未设董事津贴（不含独立董事）、监事津贴。兼任公司行政职务的董事、</w:t>
      </w:r>
    </w:p>
    <w:p>
      <w:pPr>
        <w:pStyle w:val="BodyText"/>
        <w:spacing w:line="240" w:lineRule="auto" w:before="20"/>
        <w:ind w:left="217" w:right="0"/>
        <w:jc w:val="left"/>
      </w:pPr>
      <w:r>
        <w:rPr/>
        <w:t>监事以及高级管理人员参照本公司</w:t>
      </w:r>
      <w:r>
        <w:rPr>
          <w:spacing w:val="-96"/>
        </w:rPr>
        <w:t>的</w:t>
      </w:r>
      <w:r>
        <w:rPr/>
        <w:t>《工资管理规定</w:t>
      </w:r>
      <w:r>
        <w:rPr>
          <w:spacing w:val="-96"/>
        </w:rPr>
        <w:t>》</w:t>
      </w:r>
      <w:r>
        <w:rPr/>
        <w:t>及董事会的决议按行政职务领取报酬。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188"/>
        <w:gridCol w:w="2160"/>
        <w:gridCol w:w="3060"/>
        <w:gridCol w:w="2114"/>
      </w:tblGrid>
      <w:tr>
        <w:trPr>
          <w:trHeight w:val="73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在公司领取的报酬总额（万元）</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10" w:right="1" w:hanging="210"/>
              <w:jc w:val="left"/>
              <w:rPr>
                <w:rFonts w:ascii="宋体" w:hAnsi="宋体" w:cs="宋体" w:eastAsia="宋体" w:hint="default"/>
                <w:sz w:val="21"/>
                <w:szCs w:val="21"/>
              </w:rPr>
            </w:pPr>
            <w:r>
              <w:rPr>
                <w:rFonts w:ascii="宋体" w:hAnsi="宋体" w:cs="宋体" w:eastAsia="宋体" w:hint="default"/>
                <w:sz w:val="21"/>
                <w:szCs w:val="21"/>
              </w:rPr>
              <w:t>是否在股东单位或其他 关联单位领取薪酬</w:t>
            </w:r>
          </w:p>
        </w:tc>
      </w:tr>
      <w:tr>
        <w:trPr>
          <w:trHeight w:val="37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晏</w:t>
              <w:tab/>
              <w:t>群</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7"/>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72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王晓岩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
              <w:jc w:val="center"/>
              <w:rPr>
                <w:rFonts w:ascii="宋体" w:hAnsi="宋体" w:cs="宋体" w:eastAsia="宋体" w:hint="default"/>
                <w:sz w:val="21"/>
                <w:szCs w:val="21"/>
              </w:rPr>
            </w:pPr>
            <w:r>
              <w:rPr>
                <w:rFonts w:ascii="宋体" w:hAnsi="宋体" w:cs="宋体" w:eastAsia="宋体" w:hint="default"/>
                <w:sz w:val="21"/>
                <w:szCs w:val="21"/>
              </w:rPr>
              <w:t>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吴成智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
              <w:jc w:val="center"/>
              <w:rPr>
                <w:rFonts w:ascii="宋体" w:hAnsi="宋体" w:cs="宋体" w:eastAsia="宋体" w:hint="default"/>
                <w:sz w:val="21"/>
                <w:szCs w:val="21"/>
              </w:rPr>
            </w:pPr>
            <w:r>
              <w:rPr>
                <w:rFonts w:ascii="宋体" w:hAnsi="宋体" w:cs="宋体" w:eastAsia="宋体" w:hint="default"/>
                <w:sz w:val="21"/>
                <w:szCs w:val="21"/>
              </w:rPr>
              <w:t>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7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鲁功亮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
              <w:jc w:val="center"/>
              <w:rPr>
                <w:rFonts w:ascii="宋体" w:hAnsi="宋体" w:cs="宋体" w:eastAsia="宋体" w:hint="default"/>
                <w:sz w:val="21"/>
                <w:szCs w:val="21"/>
              </w:rPr>
            </w:pPr>
            <w:r>
              <w:rPr>
                <w:rFonts w:ascii="宋体" w:hAnsi="宋体" w:cs="宋体" w:eastAsia="宋体" w:hint="default"/>
                <w:sz w:val="21"/>
                <w:szCs w:val="21"/>
              </w:rPr>
              <w:t>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张</w:t>
              <w:tab/>
              <w:t>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吴</w:t>
              <w:tab/>
              <w:t>军</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刘</w:t>
              <w:tab/>
              <w:t>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段满生</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7"/>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王祖荣</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
              <w:jc w:val="center"/>
              <w:rPr>
                <w:rFonts w:ascii="宋体" w:hAnsi="宋体" w:cs="宋体" w:eastAsia="宋体" w:hint="default"/>
                <w:sz w:val="21"/>
                <w:szCs w:val="21"/>
              </w:rPr>
            </w:pPr>
            <w:r>
              <w:rPr>
                <w:rFonts w:ascii="宋体" w:hAnsi="宋体" w:cs="宋体" w:eastAsia="宋体" w:hint="default"/>
                <w:sz w:val="21"/>
                <w:szCs w:val="21"/>
              </w:rPr>
              <w:t>监事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费泳洁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
              <w:jc w:val="center"/>
              <w:rPr>
                <w:rFonts w:ascii="宋体" w:hAnsi="宋体" w:cs="宋体" w:eastAsia="宋体" w:hint="default"/>
                <w:sz w:val="21"/>
                <w:szCs w:val="21"/>
              </w:rPr>
            </w:pPr>
            <w:r>
              <w:rPr>
                <w:rFonts w:ascii="宋体" w:hAnsi="宋体" w:cs="宋体" w:eastAsia="宋体" w:hint="default"/>
                <w:sz w:val="21"/>
                <w:szCs w:val="21"/>
              </w:rPr>
              <w:t>监事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张小立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48"/>
              <w:jc w:val="center"/>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48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梁</w:t>
              <w:tab/>
              <w:t>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8"/>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48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192</w:t>
            </w:r>
          </w:p>
        </w:tc>
        <w:tc>
          <w:tcPr>
            <w:tcW w:w="21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8"/>
          <w:szCs w:val="28"/>
        </w:rPr>
      </w:pPr>
    </w:p>
    <w:p>
      <w:pPr>
        <w:pStyle w:val="BodyText"/>
        <w:spacing w:line="314" w:lineRule="auto" w:before="35"/>
        <w:ind w:left="637" w:right="206" w:firstLine="2"/>
        <w:jc w:val="left"/>
        <w:rPr>
          <w:rFonts w:ascii="Times New Roman" w:hAnsi="Times New Roman" w:cs="Times New Roman" w:eastAsia="Times New Roman" w:hint="default"/>
        </w:rPr>
      </w:pPr>
      <w:r>
        <w:rPr>
          <w:rFonts w:ascii="宋体" w:hAnsi="宋体" w:cs="宋体" w:eastAsia="宋体" w:hint="default"/>
          <w:b/>
          <w:bCs/>
        </w:rPr>
        <w:t>六、公司员工情况</w:t>
      </w:r>
      <w:r>
        <w:rPr>
          <w:rFonts w:ascii="宋体" w:hAnsi="宋体" w:cs="宋体" w:eastAsia="宋体" w:hint="default"/>
          <w:b/>
          <w:bCs/>
          <w:spacing w:val="1"/>
          <w:w w:val="99"/>
        </w:rPr>
        <w:t> </w:t>
      </w:r>
      <w:r>
        <w:rPr>
          <w:spacing w:val="-1"/>
        </w:rPr>
        <w:t>截止</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日，公司在职员工总数为</w:t>
      </w:r>
      <w:r>
        <w:rPr>
          <w:rFonts w:ascii="Times New Roman" w:hAnsi="Times New Roman" w:cs="Times New Roman" w:eastAsia="Times New Roman" w:hint="default"/>
          <w:spacing w:val="-1"/>
        </w:rPr>
        <w:t>1,153</w:t>
      </w:r>
      <w:r>
        <w:rPr>
          <w:spacing w:val="-1"/>
        </w:rPr>
        <w:t>人，其中生产人员</w:t>
      </w:r>
      <w:r>
        <w:rPr>
          <w:rFonts w:ascii="Times New Roman" w:hAnsi="Times New Roman" w:cs="Times New Roman" w:eastAsia="Times New Roman" w:hint="default"/>
          <w:spacing w:val="-1"/>
        </w:rPr>
        <w:t>967</w:t>
      </w:r>
      <w:r>
        <w:rPr>
          <w:spacing w:val="-1"/>
        </w:rPr>
        <w:t>人，销售人员</w:t>
      </w:r>
      <w:r>
        <w:rPr>
          <w:rFonts w:ascii="Times New Roman" w:hAnsi="Times New Roman" w:cs="Times New Roman" w:eastAsia="Times New Roman" w:hint="default"/>
          <w:spacing w:val="-1"/>
        </w:rPr>
        <w:t>62</w:t>
      </w:r>
    </w:p>
    <w:p>
      <w:pPr>
        <w:pStyle w:val="BodyText"/>
        <w:spacing w:line="297" w:lineRule="auto"/>
        <w:ind w:left="637" w:right="1997" w:hanging="420"/>
        <w:jc w:val="left"/>
      </w:pPr>
      <w:r>
        <w:rPr/>
        <w:t>人，技术人员</w:t>
      </w:r>
      <w:r>
        <w:rPr>
          <w:rFonts w:ascii="Times New Roman" w:hAnsi="Times New Roman" w:cs="Times New Roman" w:eastAsia="Times New Roman" w:hint="default"/>
        </w:rPr>
        <w:t>42</w:t>
      </w:r>
      <w:r>
        <w:rPr/>
        <w:t>人，行政人员</w:t>
      </w:r>
      <w:r>
        <w:rPr>
          <w:rFonts w:ascii="Times New Roman" w:hAnsi="Times New Roman" w:cs="Times New Roman" w:eastAsia="Times New Roman" w:hint="default"/>
        </w:rPr>
        <w:t>90</w:t>
      </w:r>
      <w:r>
        <w:rPr/>
        <w:t>人。</w:t>
      </w:r>
      <w:r>
        <w:rPr>
          <w:spacing w:val="-2"/>
        </w:rPr>
        <w:t> </w:t>
      </w:r>
      <w:r>
        <w:rPr/>
        <w:t>公司实行全员聘用制，离退休员工相关待遇由社保基金统筹解决。</w:t>
      </w:r>
    </w:p>
    <w:p>
      <w:pPr>
        <w:spacing w:after="0" w:line="297" w:lineRule="auto"/>
        <w:jc w:val="left"/>
        <w:sectPr>
          <w:pgSz w:w="11910" w:h="16840"/>
          <w:pgMar w:header="877" w:footer="975" w:top="1100" w:bottom="1160" w:left="1580" w:right="1580"/>
        </w:sectPr>
      </w:pPr>
    </w:p>
    <w:p>
      <w:pPr>
        <w:spacing w:line="240" w:lineRule="auto" w:before="11"/>
        <w:rPr>
          <w:rFonts w:ascii="宋体" w:hAnsi="宋体" w:cs="宋体" w:eastAsia="宋体" w:hint="default"/>
          <w:sz w:val="20"/>
          <w:szCs w:val="20"/>
        </w:rPr>
      </w:pPr>
    </w:p>
    <w:p>
      <w:pPr>
        <w:pStyle w:val="Heading1"/>
        <w:tabs>
          <w:tab w:pos="4012" w:val="left" w:leader="none"/>
        </w:tabs>
        <w:spacing w:line="240" w:lineRule="auto"/>
        <w:ind w:left="2888" w:right="102"/>
        <w:jc w:val="left"/>
        <w:rPr>
          <w:b w:val="0"/>
          <w:bCs w:val="0"/>
        </w:rPr>
      </w:pPr>
      <w:bookmarkStart w:name="_TOC_250005" w:id="5"/>
      <w:r>
        <w:rPr>
          <w:w w:val="95"/>
        </w:rPr>
        <w:t>第五节</w:t>
        <w:tab/>
      </w:r>
      <w:r>
        <w:rPr/>
        <w:t>公司治理结构</w:t>
      </w:r>
      <w:bookmarkEnd w:id="5"/>
      <w:r>
        <w:rPr>
          <w:b w:val="0"/>
          <w:bCs w:val="0"/>
        </w:rPr>
      </w:r>
    </w:p>
    <w:p>
      <w:pPr>
        <w:spacing w:line="240" w:lineRule="auto" w:before="10"/>
        <w:rPr>
          <w:rFonts w:ascii="宋体" w:hAnsi="宋体" w:cs="宋体" w:eastAsia="宋体" w:hint="default"/>
          <w:b/>
          <w:bCs/>
          <w:sz w:val="31"/>
          <w:szCs w:val="31"/>
        </w:rPr>
      </w:pPr>
    </w:p>
    <w:p>
      <w:pPr>
        <w:spacing w:line="316" w:lineRule="auto" w:before="0"/>
        <w:ind w:left="549" w:right="102" w:firstLine="59"/>
        <w:jc w:val="left"/>
        <w:rPr>
          <w:rFonts w:ascii="宋体" w:hAnsi="宋体" w:cs="宋体" w:eastAsia="宋体" w:hint="default"/>
          <w:sz w:val="21"/>
          <w:szCs w:val="21"/>
        </w:rPr>
      </w:pPr>
      <w:r>
        <w:rPr>
          <w:rFonts w:ascii="宋体" w:hAnsi="宋体" w:cs="宋体" w:eastAsia="宋体" w:hint="default"/>
          <w:b/>
          <w:bCs/>
          <w:sz w:val="24"/>
          <w:szCs w:val="24"/>
        </w:rPr>
        <w:t>一</w:t>
      </w:r>
      <w:r>
        <w:rPr>
          <w:rFonts w:ascii="宋体" w:hAnsi="宋体" w:cs="宋体" w:eastAsia="宋体" w:hint="default"/>
          <w:b/>
          <w:bCs/>
          <w:sz w:val="21"/>
          <w:szCs w:val="21"/>
        </w:rPr>
        <w:t>、公司治理基本情况</w:t>
      </w:r>
      <w:r>
        <w:rPr>
          <w:rFonts w:ascii="宋体" w:hAnsi="宋体" w:cs="宋体" w:eastAsia="宋体" w:hint="default"/>
          <w:b/>
          <w:bCs/>
          <w:w w:val="99"/>
          <w:sz w:val="21"/>
          <w:szCs w:val="21"/>
        </w:rPr>
        <w:t> </w:t>
      </w:r>
      <w:r>
        <w:rPr>
          <w:rFonts w:ascii="宋体" w:hAnsi="宋体" w:cs="宋体" w:eastAsia="宋体" w:hint="default"/>
          <w:spacing w:val="-18"/>
          <w:sz w:val="21"/>
          <w:szCs w:val="21"/>
        </w:rPr>
        <w:t>报告期内，公司严格按照《公司法》、《证券法》、中国证监会《上市公司治理准则》、《深</w:t>
      </w:r>
    </w:p>
    <w:p>
      <w:pPr>
        <w:pStyle w:val="BodyText"/>
        <w:spacing w:line="331" w:lineRule="auto" w:before="37"/>
        <w:ind w:left="137" w:right="211"/>
        <w:jc w:val="both"/>
      </w:pPr>
      <w:r>
        <w:rPr>
          <w:spacing w:val="-8"/>
        </w:rPr>
        <w:t>圳证券交易所股票上市规则》、《深圳证券交易所主板上市公司规范运作指引》等法律法规以</w:t>
      </w:r>
      <w:r>
        <w:rPr>
          <w:spacing w:val="-78"/>
        </w:rPr>
        <w:t> </w:t>
      </w:r>
      <w:r>
        <w:rPr>
          <w:spacing w:val="-78"/>
        </w:rPr>
      </w:r>
      <w:r>
        <w:rPr>
          <w:spacing w:val="-3"/>
        </w:rPr>
        <w:t>及《公司章程》的要求，不断健全和完善公司治理结构和治理制度，进一步强化内部控制管</w:t>
      </w:r>
      <w:r>
        <w:rPr>
          <w:spacing w:val="-74"/>
        </w:rPr>
        <w:t> </w:t>
      </w:r>
      <w:r>
        <w:rPr>
          <w:spacing w:val="-74"/>
        </w:rPr>
      </w:r>
      <w:r>
        <w:rPr>
          <w:spacing w:val="-3"/>
        </w:rPr>
        <w:t>理，提升公司治理水平，公司治理现状符合上市公司治理规则的相关要求，与中国证监会发</w:t>
      </w:r>
      <w:r>
        <w:rPr>
          <w:spacing w:val="-72"/>
        </w:rPr>
        <w:t> </w:t>
      </w:r>
      <w:r>
        <w:rPr>
          <w:spacing w:val="-72"/>
        </w:rPr>
      </w:r>
      <w:r>
        <w:rPr>
          <w:spacing w:val="-3"/>
        </w:rPr>
        <w:t>布的有关上市公司治理的规范性文件无差异。公司股东大会、董事会、监事会各尽其责、恪</w:t>
      </w:r>
      <w:r>
        <w:rPr>
          <w:spacing w:val="-74"/>
        </w:rPr>
        <w:t> </w:t>
      </w:r>
      <w:r>
        <w:rPr>
          <w:spacing w:val="-74"/>
        </w:rPr>
      </w:r>
      <w:r>
        <w:rPr/>
        <w:t>尽职守、规范运作，切实维护了广大投资者和公司的利益。</w:t>
      </w:r>
    </w:p>
    <w:p>
      <w:pPr>
        <w:pStyle w:val="BodyText"/>
        <w:spacing w:line="331" w:lineRule="auto" w:before="25"/>
        <w:ind w:left="549" w:right="102"/>
        <w:jc w:val="left"/>
      </w:pPr>
      <w:r>
        <w:rPr/>
        <w:t>（一）关于股东与股东大会 </w:t>
      </w:r>
      <w:r>
        <w:rPr>
          <w:spacing w:val="-8"/>
        </w:rPr>
        <w:t>公司严格按照《公司章程》、《公司股东大会规则》的有关规定召集、召开股东大会或临</w:t>
      </w:r>
    </w:p>
    <w:p>
      <w:pPr>
        <w:pStyle w:val="BodyText"/>
        <w:spacing w:line="331" w:lineRule="auto" w:before="25"/>
        <w:ind w:left="137" w:right="213"/>
        <w:jc w:val="both"/>
      </w:pPr>
      <w:r>
        <w:rPr>
          <w:spacing w:val="-3"/>
        </w:rPr>
        <w:t>时股东大会，会议依照通知中所列示的内容进行逐项审议和表决，切实保障社会公众股东参</w:t>
      </w:r>
      <w:r>
        <w:rPr>
          <w:spacing w:val="-75"/>
        </w:rPr>
        <w:t> </w:t>
      </w:r>
      <w:r>
        <w:rPr>
          <w:spacing w:val="-75"/>
        </w:rPr>
      </w:r>
      <w:r>
        <w:rPr>
          <w:spacing w:val="-3"/>
        </w:rPr>
        <w:t>与股东大会的权利，不存在控股股东损害公司和中小股东权益的情形。公司法律顾问出席了</w:t>
      </w:r>
      <w:r>
        <w:rPr>
          <w:spacing w:val="-75"/>
        </w:rPr>
        <w:t> </w:t>
      </w:r>
      <w:r>
        <w:rPr>
          <w:spacing w:val="-75"/>
        </w:rPr>
      </w:r>
      <w:r>
        <w:rPr/>
        <w:t>报告期内的股东大会，并出具了相关法律意见书。</w:t>
      </w:r>
    </w:p>
    <w:p>
      <w:pPr>
        <w:pStyle w:val="BodyText"/>
        <w:spacing w:line="331" w:lineRule="auto" w:before="25"/>
        <w:ind w:left="549" w:right="102"/>
        <w:jc w:val="left"/>
      </w:pPr>
      <w:r>
        <w:rPr/>
        <w:t>（二）关于公司与控股股东 </w:t>
      </w:r>
      <w:r>
        <w:rPr>
          <w:spacing w:val="-3"/>
        </w:rPr>
        <w:t>公司拥有独立的业务和经营自主能力，在业务、人员、资产、机构、财务上独立于控股</w:t>
      </w:r>
    </w:p>
    <w:p>
      <w:pPr>
        <w:pStyle w:val="BodyText"/>
        <w:spacing w:line="331" w:lineRule="auto" w:before="24"/>
        <w:ind w:left="137" w:right="124"/>
        <w:jc w:val="both"/>
      </w:pPr>
      <w:r>
        <w:rPr/>
        <w:t>股东，公司董事会、监事会和内部机构独立运作。控股股东依照《公司法》及《公司章程》 的规定行使出资人的权利并承担义务。</w:t>
      </w:r>
    </w:p>
    <w:p>
      <w:pPr>
        <w:pStyle w:val="BodyText"/>
        <w:spacing w:line="331" w:lineRule="auto" w:before="25"/>
        <w:ind w:left="549" w:right="115"/>
        <w:jc w:val="left"/>
      </w:pPr>
      <w:r>
        <w:rPr/>
        <w:t>（三）关于董事会和董事 董事会严格按照《公司法》和《公司章程》的有关规定履行职责，董事会会议的召集、</w:t>
      </w:r>
    </w:p>
    <w:p>
      <w:pPr>
        <w:pStyle w:val="BodyText"/>
        <w:spacing w:line="331" w:lineRule="auto" w:before="25"/>
        <w:ind w:left="137" w:right="212"/>
        <w:jc w:val="both"/>
      </w:pPr>
      <w:r>
        <w:rPr>
          <w:spacing w:val="-3"/>
        </w:rPr>
        <w:t>召开及决议的形成均按《公司章程》和《董事会议事规则》等有关规定程序操作，董事均勤</w:t>
      </w:r>
      <w:r>
        <w:rPr>
          <w:spacing w:val="-78"/>
        </w:rPr>
        <w:t> </w:t>
      </w:r>
      <w:r>
        <w:rPr>
          <w:spacing w:val="-78"/>
        </w:rPr>
      </w:r>
      <w:r>
        <w:rPr/>
        <w:t>勉履行职责。报告期内，董事会各专业委员会共召集</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次会议，其中审计委员会召开</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次</w:t>
      </w:r>
    </w:p>
    <w:p>
      <w:pPr>
        <w:pStyle w:val="BodyText"/>
        <w:spacing w:line="314" w:lineRule="auto"/>
        <w:ind w:left="137" w:right="211" w:hanging="1"/>
        <w:jc w:val="both"/>
      </w:pPr>
      <w:r>
        <w:rPr>
          <w:spacing w:val="-3"/>
        </w:rPr>
        <w:t>会议，提名委员会、绩效与薪酬委员会、战略与投资委员会各召开</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3"/>
        </w:rPr>
        <w:t>次会议。各专业委员会</w:t>
      </w:r>
      <w:r>
        <w:rPr>
          <w:spacing w:val="-102"/>
        </w:rPr>
        <w:t> </w:t>
      </w:r>
      <w:r>
        <w:rPr>
          <w:spacing w:val="-102"/>
        </w:rPr>
      </w:r>
      <w:r>
        <w:rPr/>
        <w:t>均依照各自的工作制度规范运作。</w:t>
      </w:r>
    </w:p>
    <w:p>
      <w:pPr>
        <w:pStyle w:val="BodyText"/>
        <w:spacing w:line="331" w:lineRule="auto" w:before="40"/>
        <w:ind w:left="549" w:right="102"/>
        <w:jc w:val="left"/>
      </w:pPr>
      <w:r>
        <w:rPr/>
        <w:t>（四）关于监事会和监事 </w:t>
      </w:r>
      <w:r>
        <w:rPr>
          <w:spacing w:val="-8"/>
        </w:rPr>
        <w:t>公司监事会本着对股东负责的态度，严格按照法律法规和《公司章程》、《监事会议事规</w:t>
      </w:r>
    </w:p>
    <w:p>
      <w:pPr>
        <w:pStyle w:val="BodyText"/>
        <w:spacing w:line="331" w:lineRule="auto" w:before="25"/>
        <w:ind w:left="137" w:right="102"/>
        <w:jc w:val="left"/>
      </w:pPr>
      <w:r>
        <w:rPr>
          <w:spacing w:val="-5"/>
        </w:rPr>
        <w:t>则》的规定行使监督职权，监事通过出席监事会会议、列席董事会会议以及对公司财务状况、</w:t>
      </w:r>
      <w:r>
        <w:rPr>
          <w:spacing w:val="-94"/>
        </w:rPr>
        <w:t> </w:t>
      </w:r>
      <w:r>
        <w:rPr>
          <w:spacing w:val="-94"/>
        </w:rPr>
      </w:r>
      <w:r>
        <w:rPr>
          <w:spacing w:val="-3"/>
        </w:rPr>
        <w:t>董事及经理层职务行为的监督等，忠实履行职责，并独立发表意见，切实维护公司及股东的</w:t>
      </w:r>
      <w:r>
        <w:rPr>
          <w:spacing w:val="-72"/>
        </w:rPr>
        <w:t> </w:t>
      </w:r>
      <w:r>
        <w:rPr>
          <w:spacing w:val="-72"/>
        </w:rPr>
      </w:r>
      <w:r>
        <w:rPr/>
        <w:t>合法权益。</w:t>
      </w:r>
    </w:p>
    <w:p>
      <w:pPr>
        <w:pStyle w:val="BodyText"/>
        <w:spacing w:line="331" w:lineRule="auto" w:before="25"/>
        <w:ind w:left="549" w:right="102"/>
        <w:jc w:val="left"/>
      </w:pPr>
      <w:r>
        <w:rPr/>
        <w:t>（五）关于信息披露与透明度 </w:t>
      </w:r>
      <w:r>
        <w:rPr>
          <w:spacing w:val="-13"/>
        </w:rPr>
        <w:t>公司严格按照《信息披露事务管理规定》、《内幕信息保密制度》、《保密制度》以及报告</w:t>
      </w:r>
    </w:p>
    <w:p>
      <w:pPr>
        <w:pStyle w:val="BodyText"/>
        <w:spacing w:line="331" w:lineRule="auto" w:before="24"/>
        <w:ind w:left="137" w:right="210"/>
        <w:jc w:val="both"/>
      </w:pPr>
      <w:r>
        <w:rPr>
          <w:spacing w:val="-8"/>
        </w:rPr>
        <w:t>期内新制定的《年报信息披露重大差错责任追究制度》、《内幕信息知情人登记制度》等一系</w:t>
      </w:r>
      <w:r>
        <w:rPr>
          <w:spacing w:val="-76"/>
        </w:rPr>
        <w:t> </w:t>
      </w:r>
      <w:r>
        <w:rPr>
          <w:spacing w:val="-76"/>
        </w:rPr>
      </w:r>
      <w:r>
        <w:rPr>
          <w:spacing w:val="-3"/>
        </w:rPr>
        <w:t>列信息披露管理的规定，真实、准确、完整、及时地披露可能对广大投资者投资决策产生重</w:t>
      </w:r>
      <w:r>
        <w:rPr>
          <w:spacing w:val="-77"/>
        </w:rPr>
        <w:t> </w:t>
      </w:r>
      <w:r>
        <w:rPr>
          <w:spacing w:val="-77"/>
        </w:rPr>
      </w:r>
      <w:r>
        <w:rPr>
          <w:spacing w:val="-3"/>
        </w:rPr>
        <w:t>大影响的信息，充分保障广大投资者特别是中小投资者享有的公平知情权，较好地完成了内</w:t>
      </w:r>
      <w:r>
        <w:rPr>
          <w:spacing w:val="-75"/>
        </w:rPr>
        <w:t> </w:t>
      </w:r>
      <w:r>
        <w:rPr>
          <w:spacing w:val="-75"/>
        </w:rPr>
      </w:r>
      <w:r>
        <w:rPr/>
        <w:t>幕交易防范工作，未发现有违规进行内幕交易的行为。</w:t>
      </w:r>
    </w:p>
    <w:p>
      <w:pPr>
        <w:spacing w:after="0" w:line="331" w:lineRule="auto"/>
        <w:jc w:val="both"/>
        <w:sectPr>
          <w:pgSz w:w="11910" w:h="16840"/>
          <w:pgMar w:header="877" w:footer="975" w:top="1100" w:bottom="1160" w:left="1660" w:right="1580"/>
        </w:sectPr>
      </w:pPr>
    </w:p>
    <w:p>
      <w:pPr>
        <w:spacing w:line="240" w:lineRule="auto" w:before="8"/>
        <w:rPr>
          <w:rFonts w:ascii="宋体" w:hAnsi="宋体" w:cs="宋体" w:eastAsia="宋体" w:hint="default"/>
          <w:sz w:val="26"/>
          <w:szCs w:val="26"/>
        </w:rPr>
      </w:pPr>
    </w:p>
    <w:p>
      <w:pPr>
        <w:pStyle w:val="Heading3"/>
        <w:spacing w:line="240" w:lineRule="auto" w:before="35"/>
        <w:ind w:left="630" w:right="140"/>
        <w:jc w:val="left"/>
        <w:rPr>
          <w:b w:val="0"/>
          <w:bCs w:val="0"/>
        </w:rPr>
      </w:pPr>
      <w:r>
        <w:rPr/>
        <w:t>二、独立董事履行职责情况</w:t>
      </w:r>
      <w:r>
        <w:rPr>
          <w:b w:val="0"/>
          <w:bCs w:val="0"/>
        </w:rPr>
      </w:r>
    </w:p>
    <w:p>
      <w:pPr>
        <w:pStyle w:val="BodyText"/>
        <w:spacing w:line="331" w:lineRule="auto" w:before="105"/>
        <w:ind w:left="629" w:right="140"/>
        <w:jc w:val="left"/>
      </w:pPr>
      <w:r>
        <w:rPr/>
        <w:t>（一）关于独立董事相关制度的健全情况 </w:t>
      </w:r>
      <w:r>
        <w:rPr>
          <w:spacing w:val="-13"/>
        </w:rPr>
        <w:t>公司制订有完整而健全的《独立董事制度》、《独立董事年报工作制度》、《董事会审计委</w:t>
      </w:r>
    </w:p>
    <w:p>
      <w:pPr>
        <w:pStyle w:val="BodyText"/>
        <w:spacing w:line="240" w:lineRule="auto" w:before="25"/>
        <w:ind w:left="217" w:right="140"/>
        <w:jc w:val="left"/>
      </w:pPr>
      <w:r>
        <w:rPr/>
        <w:t>员会年报工作规程》等独立董事相关工作制度，并在实际工作中得到了有效执行。</w:t>
      </w:r>
    </w:p>
    <w:p>
      <w:pPr>
        <w:pStyle w:val="BodyText"/>
        <w:spacing w:line="240" w:lineRule="auto" w:before="105"/>
        <w:ind w:left="629" w:right="140"/>
        <w:jc w:val="left"/>
      </w:pPr>
      <w:r>
        <w:rPr/>
        <w:t>（二）独立董事履职情况</w:t>
      </w:r>
    </w:p>
    <w:p>
      <w:pPr>
        <w:pStyle w:val="BodyText"/>
        <w:spacing w:line="240" w:lineRule="auto" w:before="104"/>
        <w:ind w:left="629" w:right="140"/>
        <w:jc w:val="left"/>
      </w:pPr>
      <w:r>
        <w:rPr/>
        <w:t>公司现有独立董事</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人。其履行职责情况如下：</w:t>
      </w:r>
    </w:p>
    <w:p>
      <w:pPr>
        <w:pStyle w:val="BodyText"/>
        <w:spacing w:line="314" w:lineRule="auto" w:before="89"/>
        <w:ind w:left="628" w:right="140"/>
        <w:jc w:val="left"/>
      </w:pPr>
      <w:r>
        <w:rPr>
          <w:rFonts w:ascii="Times New Roman" w:hAnsi="Times New Roman" w:cs="Times New Roman" w:eastAsia="Times New Roman" w:hint="default"/>
        </w:rPr>
        <w:t>1</w:t>
      </w:r>
      <w:r>
        <w:rPr/>
        <w:t>、尽职履行职责，参加董事会会议 </w:t>
      </w:r>
      <w:r>
        <w:rPr>
          <w:spacing w:val="-3"/>
        </w:rPr>
        <w:t>报告期内，公司独立董事均尽责履行职务，按时参加报告期内的董事会会议，对公司各</w:t>
      </w:r>
    </w:p>
    <w:p>
      <w:pPr>
        <w:pStyle w:val="BodyText"/>
        <w:spacing w:line="240" w:lineRule="auto" w:before="39"/>
        <w:ind w:left="217" w:right="140"/>
        <w:jc w:val="left"/>
      </w:pPr>
      <w:r>
        <w:rPr/>
        <w:t>项议案进行认真审议。报告期内独立董事参加公司董事会会议情况如下：</w:t>
      </w:r>
    </w:p>
    <w:p>
      <w:pPr>
        <w:spacing w:line="240" w:lineRule="auto" w:before="8"/>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268"/>
        <w:gridCol w:w="2700"/>
        <w:gridCol w:w="3420"/>
      </w:tblGrid>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独立董事姓名</w:t>
            </w:r>
            <w:r>
              <w:rPr>
                <w:rFonts w:ascii="宋体" w:hAnsi="宋体" w:cs="宋体" w:eastAsia="宋体" w:hint="default"/>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应参加会议次数</w:t>
            </w:r>
            <w:r>
              <w:rPr>
                <w:rFonts w:ascii="宋体" w:hAnsi="宋体" w:cs="宋体" w:eastAsia="宋体" w:hint="default"/>
                <w:sz w:val="21"/>
                <w:szCs w:val="21"/>
              </w:rPr>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实际参加会议次数</w:t>
            </w:r>
            <w:r>
              <w:rPr>
                <w:rFonts w:ascii="宋体" w:hAnsi="宋体" w:cs="宋体" w:eastAsia="宋体" w:hint="default"/>
                <w:sz w:val="21"/>
                <w:szCs w:val="21"/>
              </w:rPr>
            </w:r>
          </w:p>
        </w:tc>
      </w:tr>
      <w:tr>
        <w:trPr>
          <w:trHeight w:val="37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张</w:t>
              <w:tab/>
              <w:t>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7</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7</w:t>
            </w: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吴</w:t>
              <w:tab/>
              <w:t>军</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7</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7</w:t>
            </w:r>
          </w:p>
        </w:tc>
      </w:tr>
      <w:tr>
        <w:trPr>
          <w:trHeight w:val="37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刘</w:t>
              <w:tab/>
              <w:t>崇</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7</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7</w:t>
            </w:r>
          </w:p>
        </w:tc>
      </w:tr>
    </w:tbl>
    <w:p>
      <w:pPr>
        <w:pStyle w:val="BodyText"/>
        <w:spacing w:line="312" w:lineRule="auto" w:before="58"/>
        <w:ind w:left="637" w:right="140"/>
        <w:jc w:val="left"/>
      </w:pPr>
      <w:r>
        <w:rPr>
          <w:rFonts w:ascii="Times New Roman" w:hAnsi="Times New Roman" w:cs="Times New Roman" w:eastAsia="Times New Roman" w:hint="default"/>
        </w:rPr>
        <w:t>2</w:t>
      </w:r>
      <w:r>
        <w:rPr/>
        <w:t>、发表客观的独立意见 </w:t>
      </w:r>
      <w:r>
        <w:rPr>
          <w:spacing w:val="-3"/>
        </w:rPr>
        <w:t>报告期内，公司独立董事严格按照《关于在上市公司建立独立董事制度的指导意见》、</w:t>
      </w:r>
    </w:p>
    <w:p>
      <w:pPr>
        <w:pStyle w:val="BodyText"/>
        <w:spacing w:line="319" w:lineRule="auto" w:before="42"/>
        <w:ind w:left="217" w:right="151"/>
        <w:jc w:val="both"/>
      </w:pPr>
      <w:r>
        <w:rPr>
          <w:spacing w:val="-8"/>
        </w:rPr>
        <w:t>《关于加强社会公众股股东权益保护的若干规定》、《公司章程》等规定，诚信勤勉地履行独</w:t>
      </w:r>
      <w:r>
        <w:rPr>
          <w:spacing w:val="-76"/>
        </w:rPr>
        <w:t> </w:t>
      </w:r>
      <w:r>
        <w:rPr>
          <w:spacing w:val="-76"/>
        </w:rPr>
      </w:r>
      <w:r>
        <w:rPr/>
        <w:t>立董事职责，对公司有关事项进行判断、发表独立意见。</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年，公司独立董事分别就担 保、内控自我评价、关联方资金占用、变更会计师事务所及其报酬、</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年度报告相关事 项、证券投资、未进行现金利润分配、会计师非标意见等事项发表独立意见</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份。</w:t>
      </w:r>
    </w:p>
    <w:p>
      <w:pPr>
        <w:pStyle w:val="BodyText"/>
        <w:spacing w:line="297" w:lineRule="auto"/>
        <w:ind w:left="637" w:right="167"/>
        <w:jc w:val="left"/>
      </w:pPr>
      <w:r>
        <w:rPr>
          <w:rFonts w:ascii="Times New Roman" w:hAnsi="Times New Roman" w:cs="Times New Roman" w:eastAsia="Times New Roman" w:hint="default"/>
        </w:rPr>
        <w:t>3</w:t>
      </w:r>
      <w:r>
        <w:rPr/>
        <w:t>、加强与审计师的沟通与交流，确保年报审计工作的顺利开展 </w:t>
      </w:r>
      <w:r>
        <w:rPr>
          <w:spacing w:val="-3"/>
        </w:rPr>
        <w:t>依照《独立董事年报工作制度》，在</w:t>
      </w:r>
      <w:r>
        <w:rPr>
          <w:rFonts w:ascii="Times New Roman" w:hAnsi="Times New Roman" w:cs="Times New Roman" w:eastAsia="Times New Roman" w:hint="default"/>
          <w:spacing w:val="-3"/>
        </w:rPr>
        <w:t>2009</w:t>
      </w:r>
      <w:r>
        <w:rPr>
          <w:spacing w:val="-3"/>
        </w:rPr>
        <w:t>年度财务报告审计工作中，公司独立董事持续</w:t>
      </w:r>
    </w:p>
    <w:p>
      <w:pPr>
        <w:pStyle w:val="BodyText"/>
        <w:spacing w:line="314" w:lineRule="auto" w:before="13"/>
        <w:ind w:left="217" w:right="153"/>
        <w:jc w:val="both"/>
      </w:pPr>
      <w:r>
        <w:rPr>
          <w:spacing w:val="-3"/>
        </w:rPr>
        <w:t>不断地加强与审计师的沟通与交流工作，充分发挥了审计委员会和独立董事在年报编制、审</w:t>
      </w:r>
      <w:r>
        <w:rPr>
          <w:spacing w:val="-75"/>
        </w:rPr>
        <w:t> </w:t>
      </w:r>
      <w:r>
        <w:rPr>
          <w:spacing w:val="-75"/>
        </w:rPr>
      </w:r>
      <w:r>
        <w:rPr>
          <w:spacing w:val="-3"/>
        </w:rPr>
        <w:t>议和披露过程中的监督作用。在会计师进场审计前，审计委员会和独立董事听取审计师关于</w:t>
      </w:r>
      <w:r>
        <w:rPr>
          <w:spacing w:val="-75"/>
        </w:rPr>
        <w:t> </w:t>
      </w:r>
      <w:r>
        <w:rPr>
          <w:spacing w:val="-75"/>
        </w:rPr>
      </w:r>
      <w:r>
        <w:rPr>
          <w:spacing w:val="-3"/>
        </w:rPr>
        <w:t>审计工作安排及审计风险控制要点的汇报，听取公司总经理关于经营情况的汇报；在审计师</w:t>
      </w:r>
      <w:r>
        <w:rPr>
          <w:spacing w:val="-75"/>
        </w:rPr>
        <w:t> </w:t>
      </w:r>
      <w:r>
        <w:rPr>
          <w:spacing w:val="-75"/>
        </w:rPr>
      </w:r>
      <w:r>
        <w:rPr>
          <w:spacing w:val="-3"/>
        </w:rPr>
        <w:t>进场审计后，审计委员会和独立董事能够不断跟进了解审计工作进度及工作情况；在审计初</w:t>
      </w:r>
      <w:r>
        <w:rPr>
          <w:spacing w:val="-75"/>
        </w:rPr>
        <w:t> </w:t>
      </w:r>
      <w:r>
        <w:rPr>
          <w:spacing w:val="-75"/>
        </w:rPr>
      </w:r>
      <w:r>
        <w:rPr>
          <w:spacing w:val="-3"/>
        </w:rPr>
        <w:t>步结果出来后，审计委员会和独立董事再次与审计师进行沟通。经过审计委员会和独立董事</w:t>
      </w:r>
      <w:r>
        <w:rPr>
          <w:spacing w:val="-75"/>
        </w:rPr>
        <w:t> </w:t>
      </w:r>
      <w:r>
        <w:rPr>
          <w:spacing w:val="-75"/>
        </w:rPr>
      </w:r>
      <w:r>
        <w:rPr/>
        <w:t>的大量辛勤工作，确保了公司年报审计工作的顺利开展。</w:t>
      </w:r>
    </w:p>
    <w:p>
      <w:pPr>
        <w:pStyle w:val="BodyText"/>
        <w:spacing w:line="309" w:lineRule="auto" w:before="20"/>
        <w:ind w:left="637" w:right="140"/>
        <w:jc w:val="left"/>
      </w:pPr>
      <w:r>
        <w:rPr>
          <w:rFonts w:ascii="Times New Roman" w:hAnsi="Times New Roman" w:cs="Times New Roman" w:eastAsia="Times New Roman" w:hint="default"/>
        </w:rPr>
        <w:t>4</w:t>
      </w:r>
      <w:r>
        <w:rPr/>
        <w:t>、出席股东大会并在年度股东大会上述职 </w:t>
      </w:r>
      <w:r>
        <w:rPr>
          <w:spacing w:val="-3"/>
        </w:rPr>
        <w:t>公司独立董事基本能够出席股东大会会议，并按照《上市公司股东大会规则》和《公司</w:t>
      </w:r>
    </w:p>
    <w:p>
      <w:pPr>
        <w:pStyle w:val="BodyText"/>
        <w:spacing w:line="240" w:lineRule="auto" w:before="43"/>
        <w:ind w:left="217" w:right="0"/>
        <w:jc w:val="both"/>
      </w:pPr>
      <w:r>
        <w:rPr/>
        <w:t>股东大会议事规则》的要求，在</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年年度股东大会上进行了述职。</w:t>
      </w:r>
    </w:p>
    <w:p>
      <w:pPr>
        <w:spacing w:line="240" w:lineRule="auto" w:before="0"/>
        <w:rPr>
          <w:rFonts w:ascii="宋体" w:hAnsi="宋体" w:cs="宋体" w:eastAsia="宋体" w:hint="default"/>
          <w:sz w:val="22"/>
          <w:szCs w:val="22"/>
        </w:rPr>
      </w:pPr>
    </w:p>
    <w:p>
      <w:pPr>
        <w:pStyle w:val="Heading3"/>
        <w:spacing w:line="240" w:lineRule="auto" w:before="146"/>
        <w:ind w:left="639" w:right="140"/>
        <w:jc w:val="left"/>
        <w:rPr>
          <w:b w:val="0"/>
          <w:bCs w:val="0"/>
        </w:rPr>
      </w:pPr>
      <w:r>
        <w:rPr/>
        <w:t>三、公司与控股股东在业务、人员、资产、机构、财务等方面的分开情况及其独立性</w:t>
      </w:r>
      <w:r>
        <w:rPr>
          <w:b w:val="0"/>
          <w:bCs w:val="0"/>
        </w:rPr>
      </w:r>
    </w:p>
    <w:p>
      <w:pPr>
        <w:pStyle w:val="BodyText"/>
        <w:spacing w:line="314" w:lineRule="auto" w:before="85"/>
        <w:ind w:left="637" w:right="140" w:firstLine="2"/>
        <w:jc w:val="left"/>
      </w:pPr>
      <w:r>
        <w:rPr>
          <w:rFonts w:ascii="宋体" w:hAnsi="宋体" w:cs="宋体" w:eastAsia="宋体" w:hint="default"/>
          <w:b/>
          <w:bCs/>
        </w:rPr>
        <w:t>（一）业务情况</w:t>
      </w:r>
      <w:r>
        <w:rPr>
          <w:rFonts w:ascii="宋体" w:hAnsi="宋体" w:cs="宋体" w:eastAsia="宋体" w:hint="default"/>
          <w:b/>
          <w:bCs/>
          <w:w w:val="99"/>
        </w:rPr>
        <w:t> </w:t>
      </w:r>
      <w:r>
        <w:rPr>
          <w:spacing w:val="-3"/>
        </w:rPr>
        <w:t>公司具有独立完整的业务及自主经营能力，拥有独立完整的产、供、销系统。公司的业</w:t>
      </w:r>
    </w:p>
    <w:p>
      <w:pPr>
        <w:pStyle w:val="BodyText"/>
        <w:spacing w:line="240" w:lineRule="auto" w:before="20"/>
        <w:ind w:left="217" w:right="0"/>
        <w:jc w:val="both"/>
      </w:pPr>
      <w:r>
        <w:rPr/>
        <w:t>务均自主经营、自负盈亏。公司与控股股东不存在同业竞争的情况。</w:t>
      </w:r>
    </w:p>
    <w:p>
      <w:pPr>
        <w:spacing w:after="0" w:line="240" w:lineRule="auto"/>
        <w:jc w:val="both"/>
        <w:sectPr>
          <w:pgSz w:w="11910" w:h="16840"/>
          <w:pgMar w:header="877" w:footer="975" w:top="1100" w:bottom="1160" w:left="1580" w:right="1640"/>
        </w:sectPr>
      </w:pPr>
    </w:p>
    <w:p>
      <w:pPr>
        <w:spacing w:line="240" w:lineRule="auto" w:before="6"/>
        <w:rPr>
          <w:rFonts w:ascii="宋体" w:hAnsi="宋体" w:cs="宋体" w:eastAsia="宋体" w:hint="default"/>
          <w:sz w:val="25"/>
          <w:szCs w:val="25"/>
        </w:rPr>
      </w:pPr>
    </w:p>
    <w:p>
      <w:pPr>
        <w:pStyle w:val="BodyText"/>
        <w:spacing w:line="314" w:lineRule="auto" w:before="35"/>
        <w:ind w:left="557" w:right="102" w:firstLine="2"/>
        <w:jc w:val="left"/>
      </w:pPr>
      <w:r>
        <w:rPr>
          <w:rFonts w:ascii="宋体" w:hAnsi="宋体" w:cs="宋体" w:eastAsia="宋体" w:hint="default"/>
          <w:b/>
          <w:bCs/>
        </w:rPr>
        <w:t>（二）人员情况</w:t>
      </w:r>
      <w:r>
        <w:rPr>
          <w:rFonts w:ascii="宋体" w:hAnsi="宋体" w:cs="宋体" w:eastAsia="宋体" w:hint="default"/>
          <w:b/>
          <w:bCs/>
          <w:w w:val="99"/>
        </w:rPr>
        <w:t> </w:t>
      </w:r>
      <w:r>
        <w:rPr>
          <w:spacing w:val="-3"/>
        </w:rPr>
        <w:t>公司劳动、人事和工资管理完全独立。公司与全体员工签署劳动合同，拥有独立的社会</w:t>
      </w:r>
    </w:p>
    <w:p>
      <w:pPr>
        <w:pStyle w:val="BodyText"/>
        <w:spacing w:line="314" w:lineRule="auto" w:before="20"/>
        <w:ind w:left="137" w:right="211"/>
        <w:jc w:val="both"/>
      </w:pPr>
      <w:r>
        <w:rPr>
          <w:spacing w:val="-3"/>
        </w:rPr>
        <w:t>养老保险账户；公司高级管理人员专职在本公司工作，在公司领取薪酬，未在股东单位担任</w:t>
      </w:r>
      <w:r>
        <w:rPr>
          <w:spacing w:val="-72"/>
        </w:rPr>
        <w:t> </w:t>
      </w:r>
      <w:r>
        <w:rPr>
          <w:spacing w:val="-72"/>
        </w:rPr>
      </w:r>
      <w:r>
        <w:rPr/>
        <w:t>任何行政职务。</w:t>
      </w:r>
    </w:p>
    <w:p>
      <w:pPr>
        <w:pStyle w:val="BodyText"/>
        <w:spacing w:line="314" w:lineRule="auto" w:before="20"/>
        <w:ind w:left="557" w:right="92" w:firstLine="2"/>
        <w:jc w:val="left"/>
      </w:pPr>
      <w:r>
        <w:rPr>
          <w:rFonts w:ascii="宋体" w:hAnsi="宋体" w:cs="宋体" w:eastAsia="宋体" w:hint="default"/>
          <w:b/>
          <w:bCs/>
        </w:rPr>
        <w:t>（三）资产情况</w:t>
      </w:r>
      <w:r>
        <w:rPr>
          <w:rFonts w:ascii="宋体" w:hAnsi="宋体" w:cs="宋体" w:eastAsia="宋体" w:hint="default"/>
          <w:b/>
          <w:bCs/>
          <w:w w:val="99"/>
        </w:rPr>
        <w:t> </w:t>
      </w:r>
      <w:r>
        <w:rPr>
          <w:spacing w:val="-5"/>
        </w:rPr>
        <w:t>公司资产完整，拥有独立的生产体系，拥有独立于控股股东的生产系统、辅助生产系统、</w:t>
      </w:r>
    </w:p>
    <w:p>
      <w:pPr>
        <w:pStyle w:val="BodyText"/>
        <w:spacing w:line="240" w:lineRule="auto" w:before="20"/>
        <w:ind w:left="137" w:right="0"/>
        <w:jc w:val="both"/>
      </w:pPr>
      <w:r>
        <w:rPr/>
        <w:t>配套设施以及土地使用权等。</w:t>
      </w:r>
    </w:p>
    <w:p>
      <w:pPr>
        <w:pStyle w:val="BodyText"/>
        <w:spacing w:line="314" w:lineRule="auto" w:before="85"/>
        <w:ind w:left="557" w:right="102" w:firstLine="2"/>
        <w:jc w:val="left"/>
      </w:pPr>
      <w:r>
        <w:rPr>
          <w:rFonts w:ascii="宋体" w:hAnsi="宋体" w:cs="宋体" w:eastAsia="宋体" w:hint="default"/>
          <w:b/>
          <w:bCs/>
        </w:rPr>
        <w:t>（四）机构情况</w:t>
      </w:r>
      <w:r>
        <w:rPr>
          <w:rFonts w:ascii="宋体" w:hAnsi="宋体" w:cs="宋体" w:eastAsia="宋体" w:hint="default"/>
          <w:b/>
          <w:bCs/>
          <w:w w:val="99"/>
        </w:rPr>
        <w:t> </w:t>
      </w:r>
      <w:r>
        <w:rPr>
          <w:spacing w:val="-3"/>
        </w:rPr>
        <w:t>公司拥有独立的决策管理机构和完整的生产经营运作体系，控股股东及其职能部门与公</w:t>
      </w:r>
    </w:p>
    <w:p>
      <w:pPr>
        <w:pStyle w:val="BodyText"/>
        <w:spacing w:line="314" w:lineRule="auto" w:before="20"/>
        <w:ind w:left="137" w:right="211"/>
        <w:jc w:val="both"/>
      </w:pPr>
      <w:r>
        <w:rPr>
          <w:spacing w:val="-3"/>
        </w:rPr>
        <w:t>司及职能部门之间不存在上下级关系，控股股东未干预公司的机构设置。公司股东大会、董</w:t>
      </w:r>
      <w:r>
        <w:rPr>
          <w:spacing w:val="-72"/>
        </w:rPr>
        <w:t> </w:t>
      </w:r>
      <w:r>
        <w:rPr>
          <w:spacing w:val="-72"/>
        </w:rPr>
      </w:r>
      <w:r>
        <w:rPr>
          <w:spacing w:val="-3"/>
        </w:rPr>
        <w:t>事会、监事会独立运作，拥有独立完整的组织机构，产、供、销、人事、财务等均设立了独</w:t>
      </w:r>
      <w:r>
        <w:rPr>
          <w:spacing w:val="-78"/>
        </w:rPr>
        <w:t> </w:t>
      </w:r>
      <w:r>
        <w:rPr>
          <w:spacing w:val="-78"/>
        </w:rPr>
      </w:r>
      <w:r>
        <w:rPr/>
        <w:t>立机构，与控股股东机构完全分开。</w:t>
      </w:r>
    </w:p>
    <w:p>
      <w:pPr>
        <w:pStyle w:val="BodyText"/>
        <w:spacing w:line="314" w:lineRule="auto" w:before="20"/>
        <w:ind w:left="557" w:right="102" w:firstLine="2"/>
        <w:jc w:val="left"/>
      </w:pPr>
      <w:r>
        <w:rPr>
          <w:rFonts w:ascii="宋体" w:hAnsi="宋体" w:cs="宋体" w:eastAsia="宋体" w:hint="default"/>
          <w:b/>
          <w:bCs/>
        </w:rPr>
        <w:t>（五）财务情况</w:t>
      </w:r>
      <w:r>
        <w:rPr>
          <w:rFonts w:ascii="宋体" w:hAnsi="宋体" w:cs="宋体" w:eastAsia="宋体" w:hint="default"/>
          <w:b/>
          <w:bCs/>
          <w:w w:val="99"/>
        </w:rPr>
        <w:t> </w:t>
      </w:r>
      <w:r>
        <w:rPr>
          <w:spacing w:val="-3"/>
        </w:rPr>
        <w:t>公司设有独立的财务部门作为公司的财务管理机构，建立了独立的会计核算体系和健全</w:t>
      </w:r>
    </w:p>
    <w:p>
      <w:pPr>
        <w:pStyle w:val="BodyText"/>
        <w:spacing w:line="314" w:lineRule="auto" w:before="20"/>
        <w:ind w:left="137" w:right="211"/>
        <w:jc w:val="both"/>
      </w:pPr>
      <w:r>
        <w:rPr>
          <w:spacing w:val="-3"/>
        </w:rPr>
        <w:t>的财务管理制度。财务人员均系公司专职工作人员，与控股股东没有人事关系。公司开有独</w:t>
      </w:r>
      <w:r>
        <w:rPr>
          <w:spacing w:val="-72"/>
        </w:rPr>
        <w:t> </w:t>
      </w:r>
      <w:r>
        <w:rPr>
          <w:spacing w:val="-72"/>
        </w:rPr>
      </w:r>
      <w:r>
        <w:rPr/>
        <w:t>立的银行账号，独立核算，独立纳税，不存在与控股股东共用账户的情形。</w:t>
      </w:r>
    </w:p>
    <w:p>
      <w:pPr>
        <w:spacing w:line="240" w:lineRule="auto" w:before="0"/>
        <w:rPr>
          <w:rFonts w:ascii="宋体" w:hAnsi="宋体" w:cs="宋体" w:eastAsia="宋体" w:hint="default"/>
          <w:sz w:val="20"/>
          <w:szCs w:val="20"/>
        </w:rPr>
      </w:pPr>
    </w:p>
    <w:p>
      <w:pPr>
        <w:pStyle w:val="Heading3"/>
        <w:spacing w:line="240" w:lineRule="auto" w:before="134"/>
        <w:ind w:left="550" w:right="102"/>
        <w:jc w:val="left"/>
        <w:rPr>
          <w:b w:val="0"/>
          <w:bCs w:val="0"/>
        </w:rPr>
      </w:pPr>
      <w:r>
        <w:rPr/>
        <w:t>四、财务报告内部控制制度的建立和运行情况</w:t>
      </w:r>
      <w:r>
        <w:rPr>
          <w:b w:val="0"/>
          <w:bCs w:val="0"/>
        </w:rPr>
      </w:r>
    </w:p>
    <w:p>
      <w:pPr>
        <w:pStyle w:val="BodyText"/>
        <w:spacing w:line="314" w:lineRule="auto" w:before="105"/>
        <w:ind w:left="137" w:right="211" w:firstLine="411"/>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年，公司依据有关规定制订了《企业内部控制基本规范》及与之相配套的《具体</w:t>
      </w:r>
      <w:r>
        <w:rPr>
          <w:spacing w:val="1"/>
        </w:rPr>
        <w:t> </w:t>
      </w:r>
      <w:r>
        <w:rPr>
          <w:spacing w:val="-2"/>
        </w:rPr>
        <w:t>规范》。该《基本规范》和《具体规范》共同构成了公司制度中的</w:t>
      </w:r>
      <w:r>
        <w:rPr>
          <w:rFonts w:ascii="Times New Roman" w:hAnsi="Times New Roman" w:cs="Times New Roman" w:eastAsia="Times New Roman" w:hint="default"/>
          <w:spacing w:val="-2"/>
        </w:rPr>
        <w:t>“</w:t>
      </w:r>
      <w:r>
        <w:rPr>
          <w:spacing w:val="-2"/>
        </w:rPr>
        <w:t>内部控制规范体系</w:t>
      </w:r>
      <w:r>
        <w:rPr>
          <w:rFonts w:ascii="Times New Roman" w:hAnsi="Times New Roman" w:cs="Times New Roman" w:eastAsia="Times New Roman" w:hint="default"/>
          <w:spacing w:val="-2"/>
        </w:rPr>
        <w:t>”</w:t>
      </w:r>
      <w:r>
        <w:rPr>
          <w:spacing w:val="-2"/>
        </w:rPr>
        <w:t>。相</w:t>
      </w:r>
      <w:r>
        <w:rPr>
          <w:spacing w:val="-100"/>
        </w:rPr>
        <w:t> </w:t>
      </w:r>
      <w:r>
        <w:rPr/>
        <w:t>关内控在公司经营管理中运行良好。</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月，国家五部会联合颁发《企业内部控制配 </w:t>
      </w:r>
      <w:r>
        <w:rPr>
          <w:spacing w:val="-13"/>
        </w:rPr>
        <w:t>套指引》，公司计划在</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spacing w:val="-3"/>
        </w:rPr>
        <w:t>年内，根据《企业内部控制配套指引》的相关要求，完成相关的</w:t>
      </w:r>
      <w:r>
        <w:rPr>
          <w:spacing w:val="-102"/>
        </w:rPr>
        <w:t> </w:t>
      </w:r>
      <w:r>
        <w:rPr>
          <w:spacing w:val="-102"/>
        </w:rPr>
      </w:r>
      <w:r>
        <w:rPr/>
        <w:t>内部控制制度的修订完善工作。</w:t>
      </w:r>
    </w:p>
    <w:p>
      <w:pPr>
        <w:spacing w:line="240" w:lineRule="auto" w:before="0"/>
        <w:rPr>
          <w:rFonts w:ascii="宋体" w:hAnsi="宋体" w:cs="宋体" w:eastAsia="宋体" w:hint="default"/>
          <w:sz w:val="20"/>
          <w:szCs w:val="20"/>
        </w:rPr>
      </w:pPr>
    </w:p>
    <w:p>
      <w:pPr>
        <w:spacing w:line="331" w:lineRule="auto" w:before="159"/>
        <w:ind w:left="549" w:right="102" w:firstLine="1"/>
        <w:jc w:val="left"/>
        <w:rPr>
          <w:rFonts w:ascii="宋体" w:hAnsi="宋体" w:cs="宋体" w:eastAsia="宋体" w:hint="default"/>
          <w:sz w:val="21"/>
          <w:szCs w:val="21"/>
        </w:rPr>
      </w:pPr>
      <w:r>
        <w:rPr>
          <w:rFonts w:ascii="宋体" w:hAnsi="宋体" w:cs="宋体" w:eastAsia="宋体" w:hint="default"/>
          <w:b/>
          <w:bCs/>
          <w:sz w:val="21"/>
          <w:szCs w:val="21"/>
        </w:rPr>
        <w:t>五、关于防控控股股东及其他关联方违规占用上市公司资金的制度建设及其执行情况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报告期内，公司不存在控股股东及其他关联方违规占用上市公司资金的情况。为更好地</w:t>
      </w:r>
    </w:p>
    <w:p>
      <w:pPr>
        <w:pStyle w:val="BodyText"/>
        <w:spacing w:line="331" w:lineRule="auto" w:before="25"/>
        <w:ind w:left="137" w:right="211"/>
        <w:jc w:val="both"/>
      </w:pPr>
      <w:r>
        <w:rPr>
          <w:spacing w:val="-3"/>
        </w:rPr>
        <w:t>防控控股股东及其他关联方违规占用上市公司资金的情形，董事会修订完善了《防范控股股</w:t>
      </w:r>
      <w:r>
        <w:rPr>
          <w:spacing w:val="-75"/>
        </w:rPr>
        <w:t> </w:t>
      </w:r>
      <w:r>
        <w:rPr>
          <w:spacing w:val="-75"/>
        </w:rPr>
      </w:r>
      <w:r>
        <w:rPr>
          <w:spacing w:val="-3"/>
        </w:rPr>
        <w:t>东及关联方资金占用管理办法》的部分条款，增加了防控措施和责任机制，建立了对大股东</w:t>
      </w:r>
      <w:r>
        <w:rPr>
          <w:spacing w:val="-72"/>
        </w:rPr>
        <w:t> </w:t>
      </w:r>
      <w:r>
        <w:rPr>
          <w:spacing w:val="-72"/>
        </w:rPr>
      </w:r>
      <w:r>
        <w:rPr/>
        <w:t>所持股份</w:t>
      </w:r>
      <w:r>
        <w:rPr>
          <w:rFonts w:ascii="Times New Roman" w:hAnsi="Times New Roman" w:cs="Times New Roman" w:eastAsia="Times New Roman" w:hint="default"/>
        </w:rPr>
        <w:t>“</w:t>
      </w:r>
      <w:r>
        <w:rPr/>
        <w:t>占用即冻结</w:t>
      </w:r>
      <w:r>
        <w:rPr>
          <w:rFonts w:ascii="Times New Roman" w:hAnsi="Times New Roman" w:cs="Times New Roman" w:eastAsia="Times New Roman" w:hint="default"/>
        </w:rPr>
        <w:t>”</w:t>
      </w:r>
      <w:r>
        <w:rPr/>
        <w:t>的制度。</w:t>
      </w:r>
    </w:p>
    <w:p>
      <w:pPr>
        <w:spacing w:line="240" w:lineRule="auto" w:before="5"/>
        <w:rPr>
          <w:rFonts w:ascii="宋体" w:hAnsi="宋体" w:cs="宋体" w:eastAsia="宋体" w:hint="default"/>
          <w:sz w:val="26"/>
          <w:szCs w:val="26"/>
        </w:rPr>
      </w:pPr>
    </w:p>
    <w:p>
      <w:pPr>
        <w:spacing w:line="314" w:lineRule="auto" w:before="0"/>
        <w:ind w:left="557" w:right="102" w:firstLine="2"/>
        <w:jc w:val="left"/>
        <w:rPr>
          <w:rFonts w:ascii="宋体" w:hAnsi="宋体" w:cs="宋体" w:eastAsia="宋体" w:hint="default"/>
          <w:sz w:val="21"/>
          <w:szCs w:val="21"/>
        </w:rPr>
      </w:pPr>
      <w:r>
        <w:rPr>
          <w:rFonts w:ascii="宋体" w:hAnsi="宋体" w:cs="宋体" w:eastAsia="宋体" w:hint="default"/>
          <w:b/>
          <w:bCs/>
          <w:sz w:val="21"/>
          <w:szCs w:val="21"/>
        </w:rPr>
        <w:t>六、高级管理人员的考评及激励机制</w:t>
      </w:r>
      <w:r>
        <w:rPr>
          <w:rFonts w:ascii="宋体" w:hAnsi="宋体" w:cs="宋体" w:eastAsia="宋体" w:hint="default"/>
          <w:b/>
          <w:bCs/>
          <w:w w:val="99"/>
          <w:sz w:val="21"/>
          <w:szCs w:val="21"/>
        </w:rPr>
        <w:t> </w:t>
      </w:r>
      <w:r>
        <w:rPr>
          <w:rFonts w:ascii="宋体" w:hAnsi="宋体" w:cs="宋体" w:eastAsia="宋体" w:hint="default"/>
          <w:spacing w:val="-3"/>
          <w:sz w:val="21"/>
          <w:szCs w:val="21"/>
        </w:rPr>
        <w:t>公司每年都制定年度计划、财务预算和年度经营管理考核办法，本报告年度公司以《二</w:t>
      </w:r>
    </w:p>
    <w:p>
      <w:pPr>
        <w:pStyle w:val="BodyText"/>
        <w:spacing w:line="297" w:lineRule="auto" w:before="20"/>
        <w:ind w:left="137" w:right="241"/>
        <w:jc w:val="both"/>
      </w:pPr>
      <w:r>
        <w:rPr>
          <w:rFonts w:ascii="Times New Roman" w:hAnsi="Times New Roman" w:cs="Times New Roman" w:eastAsia="Times New Roman" w:hint="default"/>
        </w:rPr>
        <w:t>O</w:t>
      </w:r>
      <w:r>
        <w:rPr/>
        <w:t>一</w:t>
      </w:r>
      <w:r>
        <w:rPr>
          <w:rFonts w:ascii="Times New Roman" w:hAnsi="Times New Roman" w:cs="Times New Roman" w:eastAsia="Times New Roman" w:hint="default"/>
        </w:rPr>
        <w:t>O</w:t>
      </w:r>
      <w:r>
        <w:rPr/>
        <w:t>年度经营管理考核办法》为依据对公司和下属各公司业务骨干、部门以上人员进行考 核。</w:t>
      </w:r>
    </w:p>
    <w:p>
      <w:pPr>
        <w:pStyle w:val="BodyText"/>
        <w:spacing w:line="240" w:lineRule="auto" w:before="34"/>
        <w:ind w:left="557" w:right="102"/>
        <w:jc w:val="left"/>
      </w:pPr>
      <w:r>
        <w:rPr/>
        <w:t>报告期内，公司无实施股权激励方案的事项。</w:t>
      </w:r>
    </w:p>
    <w:p>
      <w:pPr>
        <w:spacing w:after="0" w:line="240" w:lineRule="auto"/>
        <w:jc w:val="left"/>
        <w:sectPr>
          <w:pgSz w:w="11910" w:h="16840"/>
          <w:pgMar w:header="877" w:footer="975" w:top="1100" w:bottom="1160" w:left="1660" w:right="1580"/>
        </w:sectPr>
      </w:pPr>
    </w:p>
    <w:p>
      <w:pPr>
        <w:spacing w:line="240" w:lineRule="auto" w:before="6"/>
        <w:rPr>
          <w:rFonts w:ascii="宋体" w:hAnsi="宋体" w:cs="宋体" w:eastAsia="宋体" w:hint="default"/>
          <w:sz w:val="25"/>
          <w:szCs w:val="25"/>
        </w:rPr>
      </w:pPr>
    </w:p>
    <w:p>
      <w:pPr>
        <w:spacing w:line="314" w:lineRule="auto" w:before="35"/>
        <w:ind w:left="557" w:right="102" w:firstLine="2"/>
        <w:jc w:val="left"/>
        <w:rPr>
          <w:rFonts w:ascii="宋体" w:hAnsi="宋体" w:cs="宋体" w:eastAsia="宋体" w:hint="default"/>
          <w:sz w:val="21"/>
          <w:szCs w:val="21"/>
        </w:rPr>
      </w:pPr>
      <w:r>
        <w:rPr>
          <w:rFonts w:ascii="宋体" w:hAnsi="宋体" w:cs="宋体" w:eastAsia="宋体" w:hint="default"/>
          <w:b/>
          <w:bCs/>
          <w:sz w:val="21"/>
          <w:szCs w:val="21"/>
        </w:rPr>
        <w:t>七、其他需要说明的事项</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报告期内，公司未发现公司治理的实际情况与中国证监会有关上市公司治理的规范性文</w:t>
      </w:r>
    </w:p>
    <w:p>
      <w:pPr>
        <w:pStyle w:val="BodyText"/>
        <w:spacing w:line="314" w:lineRule="auto" w:before="20"/>
        <w:ind w:left="137" w:right="102"/>
        <w:jc w:val="left"/>
      </w:pPr>
      <w:r>
        <w:rPr>
          <w:spacing w:val="-5"/>
        </w:rPr>
        <w:t>件的要求存在差异的情形，不存在向大股东、实际控制人提供未公开信息等治理非规范情况，</w:t>
      </w:r>
      <w:r>
        <w:rPr>
          <w:spacing w:val="-92"/>
        </w:rPr>
        <w:t> </w:t>
      </w:r>
      <w:r>
        <w:rPr>
          <w:spacing w:val="-92"/>
        </w:rPr>
      </w:r>
      <w:r>
        <w:rPr/>
        <w:t>也不存在因部分改制等原因引致的同业竞争和关联交易问题。</w:t>
      </w:r>
    </w:p>
    <w:p>
      <w:pPr>
        <w:spacing w:after="0" w:line="314" w:lineRule="auto"/>
        <w:jc w:val="left"/>
        <w:sectPr>
          <w:pgSz w:w="11910" w:h="16840"/>
          <w:pgMar w:header="877" w:footer="975" w:top="1100" w:bottom="1160" w:left="1660" w:right="1580"/>
        </w:sectPr>
      </w:pPr>
    </w:p>
    <w:p>
      <w:pPr>
        <w:spacing w:line="240" w:lineRule="auto" w:before="1"/>
        <w:rPr>
          <w:rFonts w:ascii="宋体" w:hAnsi="宋体" w:cs="宋体" w:eastAsia="宋体" w:hint="default"/>
          <w:sz w:val="22"/>
          <w:szCs w:val="22"/>
        </w:rPr>
      </w:pPr>
    </w:p>
    <w:p>
      <w:pPr>
        <w:pStyle w:val="Heading1"/>
        <w:tabs>
          <w:tab w:pos="3971" w:val="left" w:leader="none"/>
        </w:tabs>
        <w:spacing w:line="240" w:lineRule="auto"/>
        <w:ind w:left="2847" w:right="102"/>
        <w:jc w:val="left"/>
        <w:rPr>
          <w:b w:val="0"/>
          <w:bCs w:val="0"/>
        </w:rPr>
      </w:pPr>
      <w:bookmarkStart w:name="_TOC_250004" w:id="6"/>
      <w:r>
        <w:rPr>
          <w:w w:val="95"/>
        </w:rPr>
        <w:t>第六节</w:t>
        <w:tab/>
      </w:r>
      <w:r>
        <w:rPr/>
        <w:t>股东大会情况简介</w:t>
      </w:r>
      <w:bookmarkEnd w:id="6"/>
      <w:r>
        <w:rPr>
          <w:b w:val="0"/>
          <w:bCs w:val="0"/>
        </w:rPr>
      </w:r>
    </w:p>
    <w:p>
      <w:pPr>
        <w:spacing w:line="240" w:lineRule="auto" w:before="1"/>
        <w:rPr>
          <w:rFonts w:ascii="宋体" w:hAnsi="宋体" w:cs="宋体" w:eastAsia="宋体" w:hint="default"/>
          <w:b/>
          <w:bCs/>
          <w:sz w:val="35"/>
          <w:szCs w:val="35"/>
        </w:rPr>
      </w:pPr>
    </w:p>
    <w:p>
      <w:pPr>
        <w:spacing w:line="314" w:lineRule="auto" w:before="0"/>
        <w:ind w:left="557" w:right="317" w:hanging="8"/>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一、年度股东大会的情况</w:t>
      </w:r>
      <w:r>
        <w:rPr>
          <w:rFonts w:ascii="宋体" w:hAnsi="宋体" w:cs="宋体" w:eastAsia="宋体" w:hint="default"/>
          <w:b/>
          <w:bCs/>
          <w:w w:val="99"/>
          <w:sz w:val="21"/>
          <w:szCs w:val="21"/>
        </w:rPr>
        <w:t> </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日召开</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年年度股东大会，该次股东大会的决议刊登在</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p>
    <w:p>
      <w:pPr>
        <w:pStyle w:val="BodyText"/>
        <w:spacing w:line="297" w:lineRule="auto"/>
        <w:ind w:left="557" w:right="3257" w:hanging="420"/>
        <w:jc w:val="left"/>
      </w:pPr>
      <w:r>
        <w:rPr/>
        <w:t>月</w:t>
      </w:r>
      <w:r>
        <w:rPr>
          <w:rFonts w:ascii="Times New Roman" w:hAnsi="Times New Roman" w:cs="Times New Roman" w:eastAsia="Times New Roman" w:hint="default"/>
        </w:rPr>
        <w:t>26</w:t>
      </w:r>
      <w:r>
        <w:rPr/>
        <w:t>日《证券时报》和巨潮网。 会议以记名投票表决的方式，审议并通过以下议案：</w:t>
      </w:r>
    </w:p>
    <w:p>
      <w:pPr>
        <w:pStyle w:val="BodyText"/>
        <w:spacing w:line="268" w:lineRule="exact"/>
        <w:ind w:left="557" w:right="102"/>
        <w:jc w:val="left"/>
      </w:pPr>
      <w:r>
        <w:rPr/>
        <w:t>（一）《公司</w:t>
      </w:r>
      <w:r>
        <w:rPr>
          <w:rFonts w:ascii="Times New Roman" w:hAnsi="Times New Roman" w:cs="Times New Roman" w:eastAsia="Times New Roman" w:hint="default"/>
        </w:rPr>
        <w:t>2009</w:t>
      </w:r>
      <w:r>
        <w:rPr>
          <w:rFonts w:ascii="Times New Roman" w:hAnsi="Times New Roman" w:cs="Times New Roman" w:eastAsia="Times New Roman" w:hint="default"/>
          <w:spacing w:val="49"/>
        </w:rPr>
        <w:t> </w:t>
      </w:r>
      <w:r>
        <w:rPr/>
        <w:t>年年度报告全文及摘要》；</w:t>
      </w:r>
    </w:p>
    <w:p>
      <w:pPr>
        <w:pStyle w:val="BodyText"/>
        <w:spacing w:line="240" w:lineRule="auto" w:before="21"/>
        <w:ind w:left="557" w:right="102"/>
        <w:jc w:val="left"/>
      </w:pPr>
      <w:r>
        <w:rPr/>
        <w:t>（二）《公司</w:t>
      </w:r>
      <w:r>
        <w:rPr>
          <w:rFonts w:ascii="Times New Roman" w:hAnsi="Times New Roman" w:cs="Times New Roman" w:eastAsia="Times New Roman" w:hint="default"/>
        </w:rPr>
        <w:t>2009</w:t>
      </w:r>
      <w:r>
        <w:rPr>
          <w:rFonts w:ascii="Times New Roman" w:hAnsi="Times New Roman" w:cs="Times New Roman" w:eastAsia="Times New Roman" w:hint="default"/>
          <w:spacing w:val="49"/>
        </w:rPr>
        <w:t> </w:t>
      </w:r>
      <w:r>
        <w:rPr/>
        <w:t>年度董事会工作报告》；</w:t>
      </w:r>
    </w:p>
    <w:p>
      <w:pPr>
        <w:pStyle w:val="BodyText"/>
        <w:spacing w:line="240" w:lineRule="auto" w:before="21"/>
        <w:ind w:left="557" w:right="102"/>
        <w:jc w:val="left"/>
      </w:pPr>
      <w:r>
        <w:rPr/>
        <w:t>（三）《公司</w:t>
      </w:r>
      <w:r>
        <w:rPr>
          <w:rFonts w:ascii="Times New Roman" w:hAnsi="Times New Roman" w:cs="Times New Roman" w:eastAsia="Times New Roman" w:hint="default"/>
        </w:rPr>
        <w:t>2009</w:t>
      </w:r>
      <w:r>
        <w:rPr>
          <w:rFonts w:ascii="Times New Roman" w:hAnsi="Times New Roman" w:cs="Times New Roman" w:eastAsia="Times New Roman" w:hint="default"/>
          <w:spacing w:val="49"/>
        </w:rPr>
        <w:t> </w:t>
      </w:r>
      <w:r>
        <w:rPr/>
        <w:t>年度监事会工作报告》；</w:t>
      </w:r>
    </w:p>
    <w:p>
      <w:pPr>
        <w:pStyle w:val="BodyText"/>
        <w:spacing w:line="240" w:lineRule="auto" w:before="21"/>
        <w:ind w:left="557" w:right="102"/>
        <w:jc w:val="left"/>
      </w:pPr>
      <w:r>
        <w:rPr/>
        <w:t>（四）《公司关于</w:t>
      </w:r>
      <w:r>
        <w:rPr>
          <w:rFonts w:ascii="Times New Roman" w:hAnsi="Times New Roman" w:cs="Times New Roman" w:eastAsia="Times New Roman" w:hint="default"/>
        </w:rPr>
        <w:t>2009</w:t>
      </w:r>
      <w:r>
        <w:rPr>
          <w:rFonts w:ascii="Times New Roman" w:hAnsi="Times New Roman" w:cs="Times New Roman" w:eastAsia="Times New Roman" w:hint="default"/>
          <w:spacing w:val="49"/>
        </w:rPr>
        <w:t> </w:t>
      </w:r>
      <w:r>
        <w:rPr/>
        <w:t>年度财务决算议案》；</w:t>
      </w:r>
    </w:p>
    <w:p>
      <w:pPr>
        <w:pStyle w:val="BodyText"/>
        <w:spacing w:line="240" w:lineRule="auto" w:before="21"/>
        <w:ind w:left="557" w:right="102"/>
        <w:jc w:val="left"/>
      </w:pPr>
      <w:r>
        <w:rPr/>
        <w:t>（五）《公司</w:t>
      </w:r>
      <w:r>
        <w:rPr>
          <w:rFonts w:ascii="Times New Roman" w:hAnsi="Times New Roman" w:cs="Times New Roman" w:eastAsia="Times New Roman" w:hint="default"/>
        </w:rPr>
        <w:t>2009</w:t>
      </w:r>
      <w:r>
        <w:rPr>
          <w:rFonts w:ascii="Times New Roman" w:hAnsi="Times New Roman" w:cs="Times New Roman" w:eastAsia="Times New Roman" w:hint="default"/>
          <w:spacing w:val="49"/>
        </w:rPr>
        <w:t> </w:t>
      </w:r>
      <w:r>
        <w:rPr/>
        <w:t>年度利润分配预案》；</w:t>
      </w:r>
    </w:p>
    <w:p>
      <w:pPr>
        <w:pStyle w:val="BodyText"/>
        <w:spacing w:line="240" w:lineRule="auto" w:before="21"/>
        <w:ind w:left="557" w:right="102"/>
        <w:jc w:val="left"/>
      </w:pPr>
      <w:r>
        <w:rPr/>
        <w:t>（六）《关于聘请公司</w:t>
      </w:r>
      <w:r>
        <w:rPr>
          <w:rFonts w:ascii="Times New Roman" w:hAnsi="Times New Roman" w:cs="Times New Roman" w:eastAsia="Times New Roman" w:hint="default"/>
        </w:rPr>
        <w:t>2010</w:t>
      </w:r>
      <w:r>
        <w:rPr>
          <w:rFonts w:ascii="Times New Roman" w:hAnsi="Times New Roman" w:cs="Times New Roman" w:eastAsia="Times New Roman" w:hint="default"/>
          <w:spacing w:val="49"/>
        </w:rPr>
        <w:t> </w:t>
      </w:r>
      <w:r>
        <w:rPr/>
        <w:t>年度审计机构及支付报酬的议案》；</w:t>
      </w:r>
    </w:p>
    <w:p>
      <w:pPr>
        <w:pStyle w:val="BodyText"/>
        <w:spacing w:line="321" w:lineRule="auto" w:before="21"/>
        <w:ind w:left="557" w:right="947"/>
        <w:jc w:val="left"/>
      </w:pPr>
      <w:r>
        <w:rPr/>
        <w:t>（七）《关于选举公司董事的议案》。 会议还听取了独立董事张溯、刘崇及吴军所作的</w:t>
      </w:r>
      <w:r>
        <w:rPr>
          <w:rFonts w:ascii="Times New Roman" w:hAnsi="Times New Roman" w:cs="Times New Roman" w:eastAsia="Times New Roman" w:hint="default"/>
        </w:rPr>
        <w:t>2009</w:t>
      </w:r>
      <w:r>
        <w:rPr/>
        <w:t>年度独立董事工作报告。</w:t>
      </w:r>
    </w:p>
    <w:p>
      <w:pPr>
        <w:spacing w:line="240" w:lineRule="auto" w:before="10"/>
        <w:rPr>
          <w:rFonts w:ascii="宋体" w:hAnsi="宋体" w:cs="宋体" w:eastAsia="宋体" w:hint="default"/>
          <w:sz w:val="26"/>
          <w:szCs w:val="26"/>
        </w:rPr>
      </w:pPr>
    </w:p>
    <w:p>
      <w:pPr>
        <w:pStyle w:val="Heading3"/>
        <w:spacing w:line="240" w:lineRule="auto"/>
        <w:ind w:right="4727"/>
        <w:jc w:val="left"/>
        <w:rPr>
          <w:b w:val="0"/>
          <w:bCs w:val="0"/>
        </w:rPr>
      </w:pPr>
      <w:r>
        <w:rPr/>
        <w:t>二、召开临时股东大会的有关情况</w:t>
      </w:r>
      <w:r>
        <w:rPr>
          <w:b w:val="0"/>
          <w:bCs w:val="0"/>
        </w:rPr>
      </w:r>
    </w:p>
    <w:p>
      <w:pPr>
        <w:pStyle w:val="BodyText"/>
        <w:spacing w:line="297" w:lineRule="auto" w:before="85"/>
        <w:ind w:left="137" w:right="102" w:firstLine="420"/>
        <w:jc w:val="left"/>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21</w:t>
      </w:r>
      <w:r>
        <w:rPr>
          <w:spacing w:val="-3"/>
        </w:rPr>
        <w:t>日，公司召开了</w:t>
      </w:r>
      <w:r>
        <w:rPr>
          <w:rFonts w:ascii="Times New Roman" w:hAnsi="Times New Roman" w:cs="Times New Roman" w:eastAsia="Times New Roman" w:hint="default"/>
          <w:spacing w:val="-3"/>
        </w:rPr>
        <w:t>2010</w:t>
      </w:r>
      <w:r>
        <w:rPr>
          <w:spacing w:val="-3"/>
        </w:rPr>
        <w:t>年度第一次临时股东大会。本次临时股东大会以记名</w:t>
      </w:r>
      <w:r>
        <w:rPr/>
        <w:t> </w:t>
      </w:r>
      <w:r>
        <w:rPr>
          <w:spacing w:val="-5"/>
        </w:rPr>
        <w:t>投票表决的方式，审议通过了《关于变更公司</w:t>
      </w:r>
      <w:r>
        <w:rPr>
          <w:rFonts w:ascii="Times New Roman" w:hAnsi="Times New Roman" w:cs="Times New Roman" w:eastAsia="Times New Roman" w:hint="default"/>
          <w:spacing w:val="-5"/>
        </w:rPr>
        <w:t>2010</w:t>
      </w:r>
      <w:r>
        <w:rPr>
          <w:spacing w:val="-5"/>
        </w:rPr>
        <w:t>年度财务报告审计机构及其报酬的议案》。</w:t>
      </w:r>
      <w:r>
        <w:rPr>
          <w:spacing w:val="-87"/>
        </w:rPr>
        <w:t> </w:t>
      </w:r>
      <w:r>
        <w:rPr>
          <w:spacing w:val="-87"/>
        </w:rPr>
      </w:r>
      <w:r>
        <w:rPr/>
        <w:t>该次临时股东大会的决议刊登在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日《证券时报》和巨潮网。</w:t>
      </w:r>
    </w:p>
    <w:p>
      <w:pPr>
        <w:spacing w:line="240" w:lineRule="auto" w:before="7"/>
        <w:rPr>
          <w:rFonts w:ascii="宋体" w:hAnsi="宋体" w:cs="宋体" w:eastAsia="宋体" w:hint="default"/>
          <w:sz w:val="28"/>
          <w:szCs w:val="28"/>
        </w:rPr>
      </w:pPr>
    </w:p>
    <w:p>
      <w:pPr>
        <w:spacing w:line="314" w:lineRule="auto" w:before="0"/>
        <w:ind w:left="557" w:right="212"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b/>
          <w:bCs/>
          <w:sz w:val="21"/>
          <w:szCs w:val="21"/>
        </w:rPr>
        <w:t>、在公司破产重整期间，深圳中院召集公司出资人会议的有关情况</w:t>
      </w:r>
      <w:r>
        <w:rPr>
          <w:rFonts w:ascii="宋体" w:hAnsi="宋体" w:cs="宋体" w:eastAsia="宋体" w:hint="default"/>
          <w:b/>
          <w:bCs/>
          <w:w w:val="99"/>
          <w:sz w:val="21"/>
          <w:szCs w:val="21"/>
        </w:rPr>
        <w:t> </w:t>
      </w:r>
      <w:r>
        <w:rPr>
          <w:rFonts w:ascii="宋体" w:hAnsi="宋体" w:cs="宋体" w:eastAsia="宋体" w:hint="default"/>
          <w:sz w:val="21"/>
          <w:szCs w:val="21"/>
        </w:rPr>
        <w:t>依照《企业破产法》，</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日，深圳中院召集了公司第二次债权人会议和出资</w:t>
      </w:r>
    </w:p>
    <w:p>
      <w:pPr>
        <w:pStyle w:val="BodyText"/>
        <w:spacing w:line="304" w:lineRule="auto"/>
        <w:ind w:left="137" w:right="211"/>
        <w:jc w:val="both"/>
      </w:pPr>
      <w:r>
        <w:rPr>
          <w:spacing w:val="-3"/>
        </w:rPr>
        <w:t>人会议，该会议在深圳中院第一审判庭召开。出资人会议对公司《重整计划草案》中涉及的</w:t>
      </w:r>
      <w:r>
        <w:rPr>
          <w:spacing w:val="-73"/>
        </w:rPr>
        <w:t> </w:t>
      </w:r>
      <w:r>
        <w:rPr>
          <w:spacing w:val="-73"/>
        </w:rPr>
      </w:r>
      <w:r>
        <w:rPr>
          <w:spacing w:val="-3"/>
        </w:rPr>
        <w:t>出资人权益调整方案进行了审议和表决，并通过了该方案。有关本次会议的公告刊登在</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日《证券时报》和巨潮网。</w:t>
      </w:r>
    </w:p>
    <w:p>
      <w:pPr>
        <w:spacing w:after="0" w:line="304" w:lineRule="auto"/>
        <w:jc w:val="both"/>
        <w:sectPr>
          <w:pgSz w:w="11910" w:h="16840"/>
          <w:pgMar w:header="877" w:footer="975" w:top="1100" w:bottom="1160" w:left="1660" w:right="1580"/>
        </w:sectPr>
      </w:pPr>
    </w:p>
    <w:p>
      <w:pPr>
        <w:spacing w:line="240" w:lineRule="auto" w:before="4"/>
        <w:rPr>
          <w:rFonts w:ascii="宋体" w:hAnsi="宋体" w:cs="宋体" w:eastAsia="宋体" w:hint="default"/>
          <w:sz w:val="23"/>
          <w:szCs w:val="23"/>
        </w:rPr>
      </w:pPr>
    </w:p>
    <w:p>
      <w:pPr>
        <w:pStyle w:val="Heading1"/>
        <w:tabs>
          <w:tab w:pos="1466" w:val="left" w:leader="none"/>
        </w:tabs>
        <w:spacing w:line="240" w:lineRule="auto"/>
        <w:ind w:left="342" w:right="0"/>
        <w:jc w:val="center"/>
        <w:rPr>
          <w:b w:val="0"/>
          <w:bCs w:val="0"/>
        </w:rPr>
      </w:pPr>
      <w:bookmarkStart w:name="_TOC_250003" w:id="7"/>
      <w:r>
        <w:rPr>
          <w:w w:val="95"/>
        </w:rPr>
        <w:t>第七节</w:t>
        <w:tab/>
      </w:r>
      <w:r>
        <w:rPr/>
        <w:t>董事会报告</w:t>
      </w:r>
      <w:bookmarkEnd w:id="7"/>
      <w:r>
        <w:rPr>
          <w:b w:val="0"/>
          <w:bCs w:val="0"/>
        </w:rPr>
      </w:r>
    </w:p>
    <w:p>
      <w:pPr>
        <w:spacing w:line="240" w:lineRule="auto" w:before="12"/>
        <w:rPr>
          <w:rFonts w:ascii="宋体" w:hAnsi="宋体" w:cs="宋体" w:eastAsia="宋体" w:hint="default"/>
          <w:b/>
          <w:bCs/>
          <w:sz w:val="36"/>
          <w:szCs w:val="36"/>
        </w:rPr>
      </w:pPr>
    </w:p>
    <w:p>
      <w:pPr>
        <w:spacing w:line="314" w:lineRule="auto" w:before="0"/>
        <w:ind w:left="557" w:right="102" w:firstLine="8"/>
        <w:jc w:val="left"/>
        <w:rPr>
          <w:rFonts w:ascii="宋体" w:hAnsi="宋体" w:cs="宋体" w:eastAsia="宋体" w:hint="default"/>
          <w:sz w:val="21"/>
          <w:szCs w:val="21"/>
        </w:rPr>
      </w:pPr>
      <w:r>
        <w:rPr>
          <w:rFonts w:ascii="宋体" w:hAnsi="宋体" w:cs="宋体" w:eastAsia="宋体" w:hint="default"/>
          <w:b/>
          <w:bCs/>
          <w:sz w:val="21"/>
          <w:szCs w:val="21"/>
        </w:rPr>
        <w:t>一、管理层讨论与分析</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报告期内，公司贯彻董事会关于实事求是和规范运作的精神，围绕破产重整和强化经营</w:t>
      </w:r>
    </w:p>
    <w:p>
      <w:pPr>
        <w:pStyle w:val="BodyText"/>
        <w:spacing w:line="314" w:lineRule="auto" w:before="20"/>
        <w:ind w:left="557" w:right="102" w:hanging="420"/>
        <w:jc w:val="left"/>
      </w:pPr>
      <w:r>
        <w:rPr/>
        <w:t>管理这两条主线开展工作，并在这两方面都取得了一定的成效。 </w:t>
      </w:r>
      <w:r>
        <w:rPr>
          <w:spacing w:val="-3"/>
        </w:rPr>
        <w:t>在破产重整方面，破产重整的成功使公司解除了巨额的债务负担，了结了公司作为债务</w:t>
      </w:r>
    </w:p>
    <w:p>
      <w:pPr>
        <w:pStyle w:val="BodyText"/>
        <w:spacing w:line="314" w:lineRule="auto" w:before="20"/>
        <w:ind w:left="137" w:right="211"/>
        <w:jc w:val="both"/>
      </w:pPr>
      <w:r>
        <w:rPr>
          <w:spacing w:val="-3"/>
        </w:rPr>
        <w:t>人的所有诉讼案件，公司的财务状况得以好转，净资产由巨额的负数变为正数。这从根本上</w:t>
      </w:r>
      <w:r>
        <w:rPr>
          <w:spacing w:val="-72"/>
        </w:rPr>
        <w:t> </w:t>
      </w:r>
      <w:r>
        <w:rPr>
          <w:spacing w:val="-72"/>
        </w:rPr>
      </w:r>
      <w:r>
        <w:rPr>
          <w:spacing w:val="-3"/>
        </w:rPr>
        <w:t>改善了公司的经营环境，解决了困扰多年的生存问题，保全了下属公司的经营性资产，实现</w:t>
      </w:r>
      <w:r>
        <w:rPr>
          <w:spacing w:val="-72"/>
        </w:rPr>
        <w:t> </w:t>
      </w:r>
      <w:r>
        <w:rPr>
          <w:spacing w:val="-72"/>
        </w:rPr>
      </w:r>
      <w:r>
        <w:rPr/>
        <w:t>了重整重生。</w:t>
      </w:r>
    </w:p>
    <w:p>
      <w:pPr>
        <w:pStyle w:val="BodyText"/>
        <w:spacing w:line="314" w:lineRule="auto" w:before="20"/>
        <w:ind w:left="137" w:right="102" w:firstLine="420"/>
        <w:jc w:val="left"/>
      </w:pPr>
      <w:r>
        <w:rPr>
          <w:spacing w:val="-3"/>
        </w:rPr>
        <w:t>在经营管理方面，公司通过建立健全并有效实施内部控制制度，不断加强经营管理，公</w:t>
      </w:r>
      <w:r>
        <w:rPr/>
        <w:t> 司的主营业务收入和主营业务利润均实现了一定程度的增长，经营基本面也有了一定的改 观。</w:t>
      </w:r>
    </w:p>
    <w:p>
      <w:pPr>
        <w:pStyle w:val="BodyText"/>
        <w:spacing w:line="302" w:lineRule="auto" w:before="20"/>
        <w:ind w:left="137" w:right="212" w:firstLine="420"/>
        <w:jc w:val="both"/>
      </w:pPr>
      <w:r>
        <w:rPr>
          <w:spacing w:val="-3"/>
        </w:rPr>
        <w:t>破产重整后，虽然公司的基本状况有了很大程度的改变，但原计划的资产重组受国家政</w:t>
      </w:r>
      <w:r>
        <w:rPr/>
        <w:t> </w:t>
      </w:r>
      <w:r>
        <w:rPr>
          <w:spacing w:val="-6"/>
        </w:rPr>
        <w:t>策的影响不能实施，公司未来的发展只能立足于现有产业。而报告期末，公司的总资产为</w:t>
      </w:r>
      <w:r>
        <w:rPr>
          <w:rFonts w:ascii="Times New Roman" w:hAnsi="Times New Roman" w:cs="Times New Roman" w:eastAsia="Times New Roman" w:hint="default"/>
          <w:spacing w:val="-6"/>
        </w:rPr>
        <w:t>1.89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亿元，净资产仅有</w:t>
      </w:r>
      <w:r>
        <w:rPr>
          <w:rFonts w:ascii="Times New Roman" w:hAnsi="Times New Roman" w:cs="Times New Roman" w:eastAsia="Times New Roman" w:hint="default"/>
          <w:spacing w:val="-2"/>
        </w:rPr>
        <w:t>0.66</w:t>
      </w:r>
      <w:r>
        <w:rPr>
          <w:spacing w:val="-2"/>
        </w:rPr>
        <w:t>亿元，公司仍面临着规模小、基础弱、底子薄等严峻的经营局面，尚</w:t>
      </w:r>
      <w:r>
        <w:rPr>
          <w:spacing w:val="-64"/>
        </w:rPr>
        <w:t> </w:t>
      </w:r>
      <w:r>
        <w:rPr>
          <w:spacing w:val="-64"/>
        </w:rPr>
      </w:r>
      <w:r>
        <w:rPr/>
        <w:t>需付出更多的努力来改变公司现状、谋求发展。</w:t>
      </w:r>
    </w:p>
    <w:p>
      <w:pPr>
        <w:pStyle w:val="Heading3"/>
        <w:spacing w:line="240" w:lineRule="auto" w:before="30"/>
        <w:ind w:left="565" w:right="4727"/>
        <w:jc w:val="left"/>
        <w:rPr>
          <w:b w:val="0"/>
          <w:bCs w:val="0"/>
        </w:rPr>
      </w:pPr>
      <w:r>
        <w:rPr/>
        <w:t>（一）报告期内公司经营情况</w:t>
      </w:r>
      <w:r>
        <w:rPr>
          <w:b w:val="0"/>
          <w:bCs w:val="0"/>
        </w:rPr>
      </w:r>
    </w:p>
    <w:p>
      <w:pPr>
        <w:pStyle w:val="BodyText"/>
        <w:spacing w:line="297" w:lineRule="auto" w:before="85"/>
        <w:ind w:left="557" w:right="102"/>
        <w:jc w:val="left"/>
      </w:pPr>
      <w:r>
        <w:rPr>
          <w:rFonts w:ascii="Times New Roman" w:hAnsi="Times New Roman" w:cs="Times New Roman" w:eastAsia="Times New Roman" w:hint="default"/>
        </w:rPr>
        <w:t>1</w:t>
      </w:r>
      <w:r>
        <w:rPr/>
        <w:t>、公司主营业务 </w:t>
      </w:r>
      <w:r>
        <w:rPr>
          <w:spacing w:val="-3"/>
        </w:rPr>
        <w:t>公司属于综合型上市公司，主要从事电话机、小灵通产品的开发、生产与销售，饲料产</w:t>
      </w:r>
    </w:p>
    <w:p>
      <w:pPr>
        <w:pStyle w:val="BodyText"/>
        <w:spacing w:line="240" w:lineRule="auto" w:before="34"/>
        <w:ind w:left="137" w:right="0"/>
        <w:jc w:val="both"/>
      </w:pPr>
      <w:r>
        <w:rPr/>
        <w:t>品的开发、生产及销售，禽类饲养及销售，物业管理等业务。</w:t>
      </w:r>
    </w:p>
    <w:p>
      <w:pPr>
        <w:pStyle w:val="BodyText"/>
        <w:spacing w:line="240" w:lineRule="auto" w:before="85"/>
        <w:ind w:left="557" w:right="472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年基本经营数据及其分析</w:t>
      </w:r>
    </w:p>
    <w:p>
      <w:pPr>
        <w:pStyle w:val="BodyText"/>
        <w:spacing w:line="297" w:lineRule="auto" w:before="69"/>
        <w:ind w:left="137" w:right="102" w:firstLine="420"/>
        <w:jc w:val="left"/>
      </w:pPr>
      <w:r>
        <w:rPr>
          <w:rFonts w:ascii="Times New Roman" w:hAnsi="Times New Roman" w:cs="Times New Roman" w:eastAsia="Times New Roman" w:hint="default"/>
          <w:spacing w:val="-1"/>
        </w:rPr>
        <w:t>2010</w:t>
      </w:r>
      <w:r>
        <w:rPr>
          <w:spacing w:val="-1"/>
        </w:rPr>
        <w:t>年，公司实现销售收入</w:t>
      </w:r>
      <w:r>
        <w:rPr>
          <w:rFonts w:ascii="Times New Roman" w:hAnsi="Times New Roman" w:cs="Times New Roman" w:eastAsia="Times New Roman" w:hint="default"/>
          <w:spacing w:val="-1"/>
        </w:rPr>
        <w:t>40,216.28</w:t>
      </w:r>
      <w:r>
        <w:rPr>
          <w:spacing w:val="-1"/>
        </w:rPr>
        <w:t>万元，上年同期</w:t>
      </w:r>
      <w:r>
        <w:rPr>
          <w:rFonts w:ascii="Times New Roman" w:hAnsi="Times New Roman" w:cs="Times New Roman" w:eastAsia="Times New Roman" w:hint="default"/>
          <w:spacing w:val="-1"/>
        </w:rPr>
        <w:t>33,936.56</w:t>
      </w:r>
      <w:r>
        <w:rPr>
          <w:spacing w:val="-1"/>
        </w:rPr>
        <w:t>万元，同比增长</w:t>
      </w:r>
      <w:r>
        <w:rPr>
          <w:rFonts w:ascii="Times New Roman" w:hAnsi="Times New Roman" w:cs="Times New Roman" w:eastAsia="Times New Roman" w:hint="default"/>
          <w:spacing w:val="-1"/>
        </w:rPr>
        <w:t>18.50%</w:t>
      </w:r>
      <w:r>
        <w:rPr>
          <w:spacing w:val="-1"/>
        </w:rPr>
        <w:t>。</w:t>
      </w:r>
      <w:r>
        <w:rPr/>
        <w:t> 其中，电话机产业同比增加</w:t>
      </w:r>
      <w:r>
        <w:rPr>
          <w:rFonts w:ascii="Times New Roman" w:hAnsi="Times New Roman" w:cs="Times New Roman" w:eastAsia="Times New Roman" w:hint="default"/>
        </w:rPr>
        <w:t>24.98%</w:t>
      </w:r>
      <w:r>
        <w:rPr/>
        <w:t>，饲料产业同比增加</w:t>
      </w:r>
      <w:r>
        <w:rPr>
          <w:rFonts w:ascii="Times New Roman" w:hAnsi="Times New Roman" w:cs="Times New Roman" w:eastAsia="Times New Roman" w:hint="default"/>
        </w:rPr>
        <w:t>16.76%</w:t>
      </w:r>
      <w:r>
        <w:rPr/>
        <w:t>。</w:t>
      </w:r>
    </w:p>
    <w:p>
      <w:pPr>
        <w:pStyle w:val="BodyText"/>
        <w:spacing w:line="297" w:lineRule="auto" w:before="13"/>
        <w:ind w:left="137" w:right="106" w:firstLine="420"/>
        <w:jc w:val="left"/>
      </w:pPr>
      <w:r>
        <w:rPr>
          <w:rFonts w:ascii="Times New Roman" w:hAnsi="Times New Roman" w:cs="Times New Roman" w:eastAsia="Times New Roman" w:hint="default"/>
          <w:spacing w:val="-5"/>
        </w:rPr>
        <w:t>2010</w:t>
      </w:r>
      <w:r>
        <w:rPr>
          <w:spacing w:val="-5"/>
        </w:rPr>
        <w:t>年，公司实现主营业务利润</w:t>
      </w:r>
      <w:r>
        <w:rPr>
          <w:rFonts w:ascii="Times New Roman" w:hAnsi="Times New Roman" w:cs="Times New Roman" w:eastAsia="Times New Roman" w:hint="default"/>
          <w:spacing w:val="-5"/>
        </w:rPr>
        <w:t>6,983.93</w:t>
      </w:r>
      <w:r>
        <w:rPr>
          <w:spacing w:val="-5"/>
        </w:rPr>
        <w:t>万元，上年同期</w:t>
      </w:r>
      <w:r>
        <w:rPr>
          <w:rFonts w:ascii="Times New Roman" w:hAnsi="Times New Roman" w:cs="Times New Roman" w:eastAsia="Times New Roman" w:hint="default"/>
          <w:spacing w:val="-5"/>
        </w:rPr>
        <w:t>5,874.16</w:t>
      </w:r>
      <w:r>
        <w:rPr>
          <w:spacing w:val="-5"/>
        </w:rPr>
        <w:t>万元，同比增长</w:t>
      </w:r>
      <w:r>
        <w:rPr>
          <w:rFonts w:ascii="Times New Roman" w:hAnsi="Times New Roman" w:cs="Times New Roman" w:eastAsia="Times New Roman" w:hint="default"/>
          <w:spacing w:val="-5"/>
        </w:rPr>
        <w:t>18.89%</w:t>
      </w:r>
      <w:r>
        <w:rPr>
          <w:spacing w:val="-5"/>
        </w:rPr>
        <w:t>；</w:t>
      </w:r>
      <w:r>
        <w:rPr/>
        <w:t> 毛利率为</w:t>
      </w:r>
      <w:r>
        <w:rPr>
          <w:rFonts w:ascii="Times New Roman" w:hAnsi="Times New Roman" w:cs="Times New Roman" w:eastAsia="Times New Roman" w:hint="default"/>
        </w:rPr>
        <w:t>17.65%</w:t>
      </w:r>
      <w:r>
        <w:rPr/>
        <w:t>，上年同期</w:t>
      </w:r>
      <w:r>
        <w:rPr>
          <w:rFonts w:ascii="Times New Roman" w:hAnsi="Times New Roman" w:cs="Times New Roman" w:eastAsia="Times New Roman" w:hint="default"/>
        </w:rPr>
        <w:t>17.54%</w:t>
      </w:r>
      <w:r>
        <w:rPr/>
        <w:t>，同比增加了</w:t>
      </w:r>
      <w:r>
        <w:rPr>
          <w:rFonts w:ascii="Times New Roman" w:hAnsi="Times New Roman" w:cs="Times New Roman" w:eastAsia="Times New Roman" w:hint="default"/>
        </w:rPr>
        <w:t>0.11</w:t>
      </w:r>
      <w:r>
        <w:rPr/>
        <w:t>个百分点；扣除重整等非经常性收益后 的净利润为</w:t>
      </w:r>
      <w:r>
        <w:rPr>
          <w:rFonts w:ascii="Times New Roman" w:hAnsi="Times New Roman" w:cs="Times New Roman" w:eastAsia="Times New Roman" w:hint="default"/>
        </w:rPr>
        <w:t>455.27</w:t>
      </w:r>
      <w:r>
        <w:rPr/>
        <w:t>万元，与去年同期的</w:t>
      </w:r>
      <w:r>
        <w:rPr>
          <w:rFonts w:ascii="Times New Roman" w:hAnsi="Times New Roman" w:cs="Times New Roman" w:eastAsia="Times New Roman" w:hint="default"/>
        </w:rPr>
        <w:t>-2,207.53</w:t>
      </w:r>
      <w:r>
        <w:rPr/>
        <w:t>万元相比，实现扭亏为盈。</w:t>
      </w:r>
    </w:p>
    <w:p>
      <w:pPr>
        <w:pStyle w:val="BodyText"/>
        <w:spacing w:line="240" w:lineRule="auto" w:before="13"/>
        <w:ind w:left="557" w:right="102"/>
        <w:jc w:val="left"/>
      </w:pPr>
      <w:r>
        <w:rPr/>
        <w:t>（</w:t>
      </w:r>
      <w:r>
        <w:rPr>
          <w:rFonts w:ascii="Times New Roman" w:hAnsi="Times New Roman" w:cs="Times New Roman" w:eastAsia="Times New Roman" w:hint="default"/>
        </w:rPr>
        <w:t>2</w:t>
      </w:r>
      <w:r>
        <w:rPr/>
        <w:t>）主营业务收入、成本、利润构成情况表</w:t>
      </w:r>
    </w:p>
    <w:p>
      <w:pPr>
        <w:pStyle w:val="BodyText"/>
        <w:spacing w:line="240" w:lineRule="auto" w:before="69"/>
        <w:ind w:left="0" w:right="124"/>
        <w:jc w:val="right"/>
      </w:pPr>
      <w:r>
        <w:rPr/>
        <w:t>（单位：人民币万元）</w:t>
      </w:r>
    </w:p>
    <w:p>
      <w:pPr>
        <w:spacing w:line="240" w:lineRule="auto" w:before="5"/>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170"/>
        <w:gridCol w:w="1300"/>
        <w:gridCol w:w="1301"/>
        <w:gridCol w:w="910"/>
        <w:gridCol w:w="1260"/>
        <w:gridCol w:w="1260"/>
        <w:gridCol w:w="1080"/>
      </w:tblGrid>
      <w:tr>
        <w:trPr>
          <w:trHeight w:val="322" w:hRule="exact"/>
        </w:trPr>
        <w:tc>
          <w:tcPr>
            <w:tcW w:w="82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68" w:right="55" w:hanging="316"/>
              <w:jc w:val="left"/>
              <w:rPr>
                <w:rFonts w:ascii="宋体" w:hAnsi="宋体" w:cs="宋体" w:eastAsia="宋体" w:hint="default"/>
                <w:sz w:val="21"/>
                <w:szCs w:val="21"/>
              </w:rPr>
            </w:pPr>
            <w:r>
              <w:rPr>
                <w:rFonts w:ascii="宋体" w:hAnsi="宋体" w:cs="宋体" w:eastAsia="宋体" w:hint="default"/>
                <w:sz w:val="21"/>
                <w:szCs w:val="21"/>
              </w:rPr>
              <w:t>分行业或分 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5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3"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19,818.78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14,868.00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24.98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21.21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22.53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-0.81</w:t>
            </w:r>
            <w:r>
              <w:rPr>
                <w:rFonts w:ascii="Times New Roman"/>
                <w:sz w:val="21"/>
              </w:rPr>
            </w:r>
          </w:p>
        </w:tc>
      </w:tr>
      <w:tr>
        <w:trPr>
          <w:trHeight w:val="322"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农畜业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19,231.75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18,005.07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15.91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15.31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0.49</w:t>
            </w:r>
          </w:p>
        </w:tc>
      </w:tr>
      <w:tr>
        <w:trPr>
          <w:trHeight w:val="634"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物业管理及</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出租</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1,158.07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243.85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78.94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20.09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12.08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1.50</w:t>
            </w:r>
          </w:p>
        </w:tc>
      </w:tr>
      <w:tr>
        <w:trPr>
          <w:trHeight w:val="323"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7.67</w:t>
            </w:r>
          </w:p>
        </w:tc>
        <w:tc>
          <w:tcPr>
            <w:tcW w:w="130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-73.58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57.51</w:t>
            </w:r>
          </w:p>
        </w:tc>
      </w:tr>
      <w:tr>
        <w:trPr>
          <w:trHeight w:val="322" w:hRule="exact"/>
        </w:trPr>
        <w:tc>
          <w:tcPr>
            <w:tcW w:w="82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23"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饲料</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17,622.92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16,432.39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16.76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17.60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-0.67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5" w:top="1100" w:bottom="1160" w:left="1660" w:right="1580"/>
        </w:sectPr>
      </w:pPr>
    </w:p>
    <w:p>
      <w:pPr>
        <w:spacing w:line="240" w:lineRule="auto" w:before="11"/>
        <w:rPr>
          <w:rFonts w:ascii="宋体" w:hAnsi="宋体" w:cs="宋体" w:eastAsia="宋体" w:hint="default"/>
          <w:sz w:val="24"/>
          <w:szCs w:val="24"/>
        </w:rPr>
      </w:pPr>
    </w:p>
    <w:tbl>
      <w:tblPr>
        <w:tblW w:w="0" w:type="auto"/>
        <w:jc w:val="left"/>
        <w:tblInd w:w="212" w:type="dxa"/>
        <w:tblLayout w:type="fixed"/>
        <w:tblCellMar>
          <w:top w:w="0" w:type="dxa"/>
          <w:left w:w="0" w:type="dxa"/>
          <w:bottom w:w="0" w:type="dxa"/>
          <w:right w:w="0" w:type="dxa"/>
        </w:tblCellMar>
        <w:tblLook w:val="01E0"/>
      </w:tblPr>
      <w:tblGrid>
        <w:gridCol w:w="1170"/>
        <w:gridCol w:w="1300"/>
        <w:gridCol w:w="1301"/>
        <w:gridCol w:w="910"/>
        <w:gridCol w:w="1260"/>
        <w:gridCol w:w="1260"/>
        <w:gridCol w:w="1080"/>
      </w:tblGrid>
      <w:tr>
        <w:trPr>
          <w:trHeight w:val="322"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19,818.78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14,868.00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24.98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21.21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22.53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-0.81</w:t>
            </w:r>
            <w:r>
              <w:rPr>
                <w:rFonts w:ascii="Times New Roman"/>
                <w:sz w:val="21"/>
              </w:rPr>
            </w:r>
          </w:p>
        </w:tc>
      </w:tr>
      <w:tr>
        <w:trPr>
          <w:trHeight w:val="323"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农产品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1,608.84</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1,572.68</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2.25</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7.32</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-4.19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3"/>
                <w:sz w:val="21"/>
              </w:rPr>
              <w:t>11.75</w:t>
            </w:r>
            <w:r>
              <w:rPr>
                <w:rFonts w:ascii="Times New Roman"/>
                <w:sz w:val="21"/>
              </w:rPr>
            </w:r>
          </w:p>
        </w:tc>
      </w:tr>
      <w:tr>
        <w:trPr>
          <w:trHeight w:val="322"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物业及其他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1,158.07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243.85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78.94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20.09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12.08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1.50</w:t>
            </w:r>
          </w:p>
        </w:tc>
      </w:tr>
      <w:tr>
        <w:trPr>
          <w:trHeight w:val="323"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7.67</w:t>
            </w:r>
          </w:p>
        </w:tc>
        <w:tc>
          <w:tcPr>
            <w:tcW w:w="130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-73.59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57.51</w:t>
            </w:r>
          </w:p>
        </w:tc>
      </w:tr>
    </w:tbl>
    <w:p>
      <w:pPr>
        <w:pStyle w:val="BodyText"/>
        <w:spacing w:line="240" w:lineRule="auto" w:before="42"/>
        <w:ind w:left="637" w:right="140"/>
        <w:jc w:val="left"/>
      </w:pPr>
      <w:r>
        <w:rPr/>
        <w:t>（</w:t>
      </w:r>
      <w:r>
        <w:rPr>
          <w:rFonts w:ascii="Times New Roman" w:hAnsi="Times New Roman" w:cs="Times New Roman" w:eastAsia="Times New Roman" w:hint="default"/>
        </w:rPr>
        <w:t>3</w:t>
      </w:r>
      <w:r>
        <w:rPr/>
        <w:t>）主营业务分地区情况表</w:t>
      </w:r>
    </w:p>
    <w:p>
      <w:pPr>
        <w:pStyle w:val="BodyText"/>
        <w:spacing w:line="240" w:lineRule="auto" w:before="69"/>
        <w:ind w:left="5677" w:right="140"/>
        <w:jc w:val="left"/>
      </w:pPr>
      <w:r>
        <w:rPr/>
        <w:t>（单位：人民币万元）</w:t>
      </w:r>
    </w:p>
    <w:p>
      <w:pPr>
        <w:spacing w:line="240" w:lineRule="auto" w:before="6"/>
        <w:rPr>
          <w:rFonts w:ascii="宋体" w:hAnsi="宋体" w:cs="宋体" w:eastAsia="宋体" w:hint="default"/>
          <w:sz w:val="15"/>
          <w:szCs w:val="15"/>
        </w:rPr>
      </w:pPr>
    </w:p>
    <w:tbl>
      <w:tblPr>
        <w:tblW w:w="0" w:type="auto"/>
        <w:jc w:val="left"/>
        <w:tblInd w:w="394" w:type="dxa"/>
        <w:tblLayout w:type="fixed"/>
        <w:tblCellMar>
          <w:top w:w="0" w:type="dxa"/>
          <w:left w:w="0" w:type="dxa"/>
          <w:bottom w:w="0" w:type="dxa"/>
          <w:right w:w="0" w:type="dxa"/>
        </w:tblCellMar>
        <w:tblLook w:val="01E0"/>
      </w:tblPr>
      <w:tblGrid>
        <w:gridCol w:w="3268"/>
        <w:gridCol w:w="1980"/>
        <w:gridCol w:w="2700"/>
      </w:tblGrid>
      <w:tr>
        <w:trPr>
          <w:trHeight w:val="322"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3"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25,219.34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9.61</w:t>
            </w:r>
          </w:p>
        </w:tc>
      </w:tr>
      <w:tr>
        <w:trPr>
          <w:trHeight w:val="322"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4,713.07</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3"/>
                <w:sz w:val="21"/>
              </w:rPr>
              <w:t>11.74</w:t>
            </w:r>
            <w:r>
              <w:rPr>
                <w:rFonts w:ascii="Times New Roman"/>
                <w:sz w:val="21"/>
              </w:rPr>
            </w:r>
          </w:p>
        </w:tc>
      </w:tr>
      <w:tr>
        <w:trPr>
          <w:trHeight w:val="322"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5,410.74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17.22</w:t>
            </w:r>
          </w:p>
        </w:tc>
      </w:tr>
      <w:tr>
        <w:trPr>
          <w:trHeight w:val="323"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1,562.94</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100.10</w:t>
            </w:r>
            <w:r>
              <w:rPr>
                <w:rFonts w:ascii="Times New Roman"/>
                <w:sz w:val="21"/>
              </w:rPr>
            </w:r>
          </w:p>
        </w:tc>
      </w:tr>
      <w:tr>
        <w:trPr>
          <w:trHeight w:val="322"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967.93</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1980.67</w:t>
            </w:r>
          </w:p>
        </w:tc>
      </w:tr>
      <w:tr>
        <w:trPr>
          <w:trHeight w:val="322"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2,342.26</w:t>
            </w:r>
            <w:r>
              <w:rPr>
                <w:rFonts w:ascii="Times New Roman"/>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214.42</w:t>
            </w:r>
            <w:r>
              <w:rPr>
                <w:rFonts w:ascii="Times New Roman"/>
                <w:sz w:val="21"/>
              </w:rPr>
            </w:r>
          </w:p>
        </w:tc>
      </w:tr>
    </w:tbl>
    <w:p>
      <w:pPr>
        <w:pStyle w:val="BodyText"/>
        <w:spacing w:line="240" w:lineRule="auto" w:before="44"/>
        <w:ind w:left="637" w:right="140"/>
        <w:jc w:val="left"/>
      </w:pPr>
      <w:r>
        <w:rPr/>
        <w:t>（</w:t>
      </w:r>
      <w:r>
        <w:rPr>
          <w:rFonts w:ascii="Times New Roman" w:hAnsi="Times New Roman" w:cs="Times New Roman" w:eastAsia="Times New Roman" w:hint="default"/>
        </w:rPr>
        <w:t>4</w:t>
      </w:r>
      <w:r>
        <w:rPr/>
        <w:t>）报告期内主要客户情况</w:t>
      </w:r>
    </w:p>
    <w:p>
      <w:pPr>
        <w:spacing w:line="240" w:lineRule="auto" w:before="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15"/>
        <w:gridCol w:w="1513"/>
        <w:gridCol w:w="1620"/>
        <w:gridCol w:w="1260"/>
      </w:tblGrid>
      <w:tr>
        <w:trPr>
          <w:trHeight w:val="529"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Times New Roman" w:hAnsi="Times New Roman" w:cs="Times New Roman" w:eastAsia="Times New Roman" w:hint="default"/>
                <w:sz w:val="21"/>
                <w:szCs w:val="21"/>
              </w:rPr>
            </w:pPr>
            <w:r>
              <w:rPr>
                <w:rFonts w:ascii="Times New Roman"/>
                <w:sz w:val="21"/>
              </w:rPr>
              <w:t>8,803.88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right"/>
              <w:rPr>
                <w:rFonts w:ascii="宋体" w:hAnsi="宋体" w:cs="宋体" w:eastAsia="宋体" w:hint="default"/>
                <w:sz w:val="21"/>
                <w:szCs w:val="21"/>
              </w:rPr>
            </w:pPr>
            <w:r>
              <w:rPr>
                <w:rFonts w:ascii="宋体" w:hAnsi="宋体" w:cs="宋体" w:eastAsia="宋体" w:hint="default"/>
                <w:sz w:val="21"/>
                <w:szCs w:val="21"/>
              </w:rPr>
              <w:t>占销售总额比重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
              <w:jc w:val="right"/>
              <w:rPr>
                <w:rFonts w:ascii="Times New Roman" w:hAnsi="Times New Roman" w:cs="Times New Roman" w:eastAsia="Times New Roman" w:hint="default"/>
                <w:sz w:val="21"/>
                <w:szCs w:val="21"/>
              </w:rPr>
            </w:pPr>
            <w:r>
              <w:rPr>
                <w:rFonts w:ascii="Times New Roman"/>
                <w:spacing w:val="-1"/>
                <w:sz w:val="21"/>
              </w:rPr>
              <w:t>21.89%</w:t>
            </w:r>
          </w:p>
        </w:tc>
      </w:tr>
      <w:tr>
        <w:trPr>
          <w:trHeight w:val="371"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9,005.71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hAnsi="宋体" w:cs="宋体" w:eastAsia="宋体" w:hint="default"/>
                <w:sz w:val="21"/>
                <w:szCs w:val="21"/>
              </w:rPr>
              <w:t>占采购总额比重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Times New Roman" w:hAnsi="Times New Roman" w:cs="Times New Roman" w:eastAsia="Times New Roman" w:hint="default"/>
                <w:sz w:val="21"/>
                <w:szCs w:val="21"/>
              </w:rPr>
            </w:pPr>
            <w:r>
              <w:rPr>
                <w:rFonts w:ascii="Times New Roman"/>
                <w:spacing w:val="-1"/>
                <w:sz w:val="21"/>
              </w:rPr>
              <w:t>27.19%</w:t>
            </w:r>
          </w:p>
        </w:tc>
      </w:tr>
    </w:tbl>
    <w:p>
      <w:pPr>
        <w:pStyle w:val="BodyText"/>
        <w:spacing w:line="240" w:lineRule="auto" w:before="42"/>
        <w:ind w:left="637" w:right="140"/>
        <w:jc w:val="left"/>
      </w:pPr>
      <w:r>
        <w:rPr/>
        <w:t>（</w:t>
      </w:r>
      <w:r>
        <w:rPr>
          <w:rFonts w:ascii="Times New Roman" w:hAnsi="Times New Roman" w:cs="Times New Roman" w:eastAsia="Times New Roman" w:hint="default"/>
        </w:rPr>
        <w:t>5</w:t>
      </w:r>
      <w:r>
        <w:rPr/>
        <w:t>）报告期内公司资产构成情况及分析</w:t>
      </w:r>
    </w:p>
    <w:p>
      <w:pPr>
        <w:pStyle w:val="BodyText"/>
        <w:spacing w:line="240" w:lineRule="auto" w:before="69"/>
        <w:ind w:left="637" w:right="140"/>
        <w:jc w:val="left"/>
      </w:pPr>
      <w:r>
        <w:rPr>
          <w:rFonts w:ascii="新宋体" w:hAnsi="新宋体" w:cs="新宋体" w:eastAsia="新宋体" w:hint="default"/>
        </w:rPr>
        <w:t>①</w:t>
      </w:r>
      <w:r>
        <w:rPr/>
        <w:t>资产构成情况</w:t>
      </w:r>
    </w:p>
    <w:p>
      <w:pPr>
        <w:spacing w:line="240" w:lineRule="auto" w:before="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704"/>
        <w:gridCol w:w="1644"/>
        <w:gridCol w:w="1440"/>
        <w:gridCol w:w="1980"/>
        <w:gridCol w:w="1440"/>
      </w:tblGrid>
      <w:tr>
        <w:trPr>
          <w:trHeight w:val="370"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71" w:hRule="exact"/>
        </w:trPr>
        <w:tc>
          <w:tcPr>
            <w:tcW w:w="1704" w:type="dxa"/>
            <w:vMerge/>
            <w:tcBorders>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7"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5"/>
              <w:jc w:val="right"/>
              <w:rPr>
                <w:rFonts w:ascii="宋体" w:hAnsi="宋体" w:cs="宋体" w:eastAsia="宋体" w:hint="default"/>
                <w:sz w:val="21"/>
                <w:szCs w:val="21"/>
              </w:rPr>
            </w:pPr>
            <w:r>
              <w:rPr>
                <w:rFonts w:ascii="宋体" w:hAnsi="宋体" w:cs="宋体" w:eastAsia="宋体" w:hint="default"/>
                <w:sz w:val="21"/>
                <w:szCs w:val="21"/>
              </w:rPr>
              <w:t>构成比例（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54"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5"/>
              <w:jc w:val="right"/>
              <w:rPr>
                <w:rFonts w:ascii="宋体" w:hAnsi="宋体" w:cs="宋体" w:eastAsia="宋体" w:hint="default"/>
                <w:sz w:val="21"/>
                <w:szCs w:val="21"/>
              </w:rPr>
            </w:pPr>
            <w:r>
              <w:rPr>
                <w:rFonts w:ascii="宋体" w:hAnsi="宋体" w:cs="宋体" w:eastAsia="宋体" w:hint="default"/>
                <w:sz w:val="21"/>
                <w:szCs w:val="21"/>
              </w:rPr>
              <w:t>构成比例（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18,888.76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15,079.24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100</w:t>
            </w:r>
          </w:p>
        </w:tc>
      </w:tr>
      <w:tr>
        <w:trPr>
          <w:trHeight w:val="37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2,552.93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13.52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1,798.23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3"/>
                <w:sz w:val="21"/>
              </w:rPr>
              <w:t>11.93</w:t>
            </w:r>
            <w:r>
              <w:rPr>
                <w:rFonts w:ascii="Times New Roman"/>
                <w:sz w:val="21"/>
              </w:rPr>
            </w:r>
          </w:p>
        </w:tc>
      </w:tr>
      <w:tr>
        <w:trPr>
          <w:trHeight w:val="37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4,456.22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23.59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3,602.10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23.89</w:t>
            </w:r>
          </w:p>
        </w:tc>
      </w:tr>
      <w:tr>
        <w:trPr>
          <w:trHeight w:val="37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z w:val="21"/>
              </w:rPr>
              <w:t>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0.03</w:t>
            </w:r>
          </w:p>
        </w:tc>
      </w:tr>
      <w:tr>
        <w:trPr>
          <w:trHeight w:val="37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3,631.16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19.22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3,854.53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25.56</w:t>
            </w:r>
          </w:p>
        </w:tc>
      </w:tr>
      <w:tr>
        <w:trPr>
          <w:trHeight w:val="37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6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z w:val="21"/>
              </w:rPr>
              <w:t>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0.16</w:t>
            </w:r>
          </w:p>
        </w:tc>
      </w:tr>
    </w:tbl>
    <w:p>
      <w:pPr>
        <w:pStyle w:val="BodyText"/>
        <w:spacing w:line="297" w:lineRule="auto" w:before="42"/>
        <w:ind w:left="217" w:right="140" w:firstLine="420"/>
        <w:jc w:val="left"/>
      </w:pPr>
      <w:r>
        <w:rPr>
          <w:spacing w:val="-2"/>
        </w:rPr>
        <w:t>注：存货比上年增加</w:t>
      </w:r>
      <w:r>
        <w:rPr>
          <w:rFonts w:ascii="Times New Roman" w:hAnsi="Times New Roman" w:cs="Times New Roman" w:eastAsia="Times New Roman" w:hint="default"/>
          <w:spacing w:val="-2"/>
        </w:rPr>
        <w:t>854.12</w:t>
      </w:r>
      <w:r>
        <w:rPr>
          <w:spacing w:val="-2"/>
        </w:rPr>
        <w:t>万元，原因是储备饲料原材料和生产新型号的电话机而增加</w:t>
      </w:r>
      <w:r>
        <w:rPr/>
        <w:t> 的原材料和新增的电话机库存。</w:t>
      </w:r>
    </w:p>
    <w:p>
      <w:pPr>
        <w:pStyle w:val="BodyText"/>
        <w:spacing w:line="314" w:lineRule="auto" w:before="34"/>
        <w:ind w:left="637" w:right="140"/>
        <w:jc w:val="left"/>
        <w:rPr>
          <w:rFonts w:ascii="Times New Roman" w:hAnsi="Times New Roman" w:cs="Times New Roman" w:eastAsia="Times New Roman" w:hint="default"/>
        </w:rPr>
      </w:pPr>
      <w:r>
        <w:rPr>
          <w:rFonts w:ascii="新宋体" w:hAnsi="新宋体" w:cs="新宋体" w:eastAsia="新宋体" w:hint="default"/>
        </w:rPr>
        <w:t>②</w:t>
      </w:r>
      <w:r>
        <w:rPr/>
        <w:t>资产情况分析 </w:t>
      </w:r>
      <w:r>
        <w:rPr>
          <w:spacing w:val="-5"/>
        </w:rPr>
        <w:t>破产重整的成功，虽然解决了公司的生存问题，但公司总资产为</w:t>
      </w:r>
      <w:r>
        <w:rPr>
          <w:rFonts w:ascii="Times New Roman" w:hAnsi="Times New Roman" w:cs="Times New Roman" w:eastAsia="Times New Roman" w:hint="default"/>
          <w:spacing w:val="-5"/>
        </w:rPr>
        <w:t>1.89</w:t>
      </w:r>
      <w:r>
        <w:rPr>
          <w:spacing w:val="-5"/>
        </w:rPr>
        <w:t>亿元，净资产仅</w:t>
      </w:r>
      <w:r>
        <w:rPr>
          <w:rFonts w:ascii="Times New Roman" w:hAnsi="Times New Roman" w:cs="Times New Roman" w:eastAsia="Times New Roman" w:hint="default"/>
          <w:spacing w:val="-5"/>
        </w:rPr>
        <w:t>0.66</w:t>
      </w:r>
    </w:p>
    <w:p>
      <w:pPr>
        <w:pStyle w:val="BodyText"/>
        <w:spacing w:line="314" w:lineRule="auto"/>
        <w:ind w:left="217" w:right="140"/>
        <w:jc w:val="left"/>
      </w:pPr>
      <w:r>
        <w:rPr>
          <w:spacing w:val="-3"/>
        </w:rPr>
        <w:t>亿元，面临着资产规模太小、产业基础十分薄弱、主业尚不突出的严峻形势。报告期内公司</w:t>
      </w:r>
      <w:r>
        <w:rPr>
          <w:spacing w:val="-73"/>
        </w:rPr>
        <w:t> </w:t>
      </w:r>
      <w:r>
        <w:rPr>
          <w:spacing w:val="-73"/>
        </w:rPr>
      </w:r>
      <w:r>
        <w:rPr/>
        <w:t>收入为</w:t>
      </w:r>
      <w:r>
        <w:rPr>
          <w:rFonts w:ascii="Times New Roman" w:hAnsi="Times New Roman" w:cs="Times New Roman" w:eastAsia="Times New Roman" w:hint="default"/>
        </w:rPr>
        <w:t>4.02</w:t>
      </w:r>
      <w:r>
        <w:rPr/>
        <w:t>亿元，扣除非经常性收益后的净利润为</w:t>
      </w:r>
      <w:r>
        <w:rPr>
          <w:rFonts w:ascii="Times New Roman" w:hAnsi="Times New Roman" w:cs="Times New Roman" w:eastAsia="Times New Roman" w:hint="default"/>
        </w:rPr>
        <w:t>455.27</w:t>
      </w:r>
      <w:r>
        <w:rPr/>
        <w:t>万元。目前的困难主要是：</w:t>
      </w:r>
    </w:p>
    <w:p>
      <w:pPr>
        <w:pStyle w:val="BodyText"/>
        <w:spacing w:line="297" w:lineRule="auto"/>
        <w:ind w:left="637" w:right="140"/>
        <w:jc w:val="left"/>
      </w:pPr>
      <w:r>
        <w:rPr>
          <w:rFonts w:ascii="Times New Roman" w:hAnsi="Times New Roman" w:cs="Times New Roman" w:eastAsia="Times New Roman" w:hint="default"/>
        </w:rPr>
        <w:t>A.</w:t>
      </w:r>
      <w:r>
        <w:rPr/>
        <w:t>可资利用的经营性资产较少 公司的经营性资产，包括应收账款、存货、固定资产，合计为</w:t>
      </w:r>
      <w:r>
        <w:rPr>
          <w:spacing w:val="-47"/>
        </w:rPr>
        <w:t> </w:t>
      </w:r>
      <w:r>
        <w:rPr>
          <w:rFonts w:ascii="Times New Roman" w:hAnsi="Times New Roman" w:cs="Times New Roman" w:eastAsia="Times New Roman" w:hint="default"/>
        </w:rPr>
        <w:t>10,640.31</w:t>
      </w:r>
      <w:r>
        <w:rPr>
          <w:rFonts w:ascii="Times New Roman" w:hAnsi="Times New Roman" w:cs="Times New Roman" w:eastAsia="Times New Roman" w:hint="default"/>
          <w:spacing w:val="6"/>
        </w:rPr>
        <w:t> </w:t>
      </w:r>
      <w:r>
        <w:rPr/>
        <w:t>万元，剔除处</w:t>
      </w:r>
    </w:p>
    <w:p>
      <w:pPr>
        <w:pStyle w:val="BodyText"/>
        <w:spacing w:line="240" w:lineRule="auto" w:before="13"/>
        <w:ind w:left="217" w:right="0"/>
        <w:jc w:val="left"/>
      </w:pPr>
      <w:r>
        <w:rPr/>
        <w:t>于歇业状态的西部房地产公司占用尚无法发挥效用的</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6</w:t>
      </w:r>
      <w:r>
        <w:rPr>
          <w:rFonts w:ascii="Times New Roman" w:hAnsi="Times New Roman" w:cs="Times New Roman" w:eastAsia="Times New Roman" w:hint="default"/>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84 </w:t>
      </w:r>
      <w:r>
        <w:rPr/>
        <w:t>万元资</w:t>
      </w:r>
      <w:r>
        <w:rPr>
          <w:spacing w:val="-2"/>
        </w:rPr>
        <w:t>产</w:t>
      </w:r>
      <w:r>
        <w:rPr>
          <w:spacing w:val="-89"/>
        </w:rPr>
        <w:t>，</w:t>
      </w:r>
      <w:r>
        <w:rPr/>
        <w:t>实际能产生效益的</w:t>
      </w:r>
    </w:p>
    <w:p>
      <w:pPr>
        <w:pStyle w:val="BodyText"/>
        <w:spacing w:line="240" w:lineRule="auto" w:before="69"/>
        <w:ind w:left="217" w:right="140"/>
        <w:jc w:val="left"/>
      </w:pPr>
      <w:r>
        <w:rPr/>
        <w:t>经营性资产为</w:t>
      </w:r>
      <w:r>
        <w:rPr>
          <w:spacing w:val="-55"/>
        </w:rPr>
        <w:t> </w:t>
      </w:r>
      <w:r>
        <w:rPr>
          <w:rFonts w:ascii="Times New Roman" w:hAnsi="Times New Roman" w:cs="Times New Roman" w:eastAsia="Times New Roman" w:hint="default"/>
        </w:rPr>
        <w:t>7,771.47</w:t>
      </w:r>
      <w:r>
        <w:rPr>
          <w:rFonts w:ascii="Times New Roman" w:hAnsi="Times New Roman" w:cs="Times New Roman" w:eastAsia="Times New Roman" w:hint="default"/>
          <w:spacing w:val="-3"/>
        </w:rPr>
        <w:t> </w:t>
      </w:r>
      <w:r>
        <w:rPr/>
        <w:t>万元。</w:t>
      </w:r>
    </w:p>
    <w:p>
      <w:pPr>
        <w:pStyle w:val="BodyText"/>
        <w:spacing w:line="240" w:lineRule="auto" w:before="69"/>
        <w:ind w:left="637" w:right="140"/>
        <w:jc w:val="left"/>
      </w:pPr>
      <w:r>
        <w:rPr>
          <w:rFonts w:ascii="Times New Roman" w:hAnsi="Times New Roman" w:cs="Times New Roman" w:eastAsia="Times New Roman" w:hint="default"/>
        </w:rPr>
        <w:t>B.</w:t>
      </w:r>
      <w:r>
        <w:rPr/>
        <w:t>生产设备等固定资产亟需更新，资金压力较大</w:t>
      </w:r>
    </w:p>
    <w:p>
      <w:pPr>
        <w:pStyle w:val="BodyText"/>
        <w:spacing w:line="240" w:lineRule="auto" w:before="69"/>
        <w:ind w:left="637" w:right="0"/>
        <w:jc w:val="left"/>
      </w:pPr>
      <w:r>
        <w:rPr/>
        <w:t>在</w:t>
      </w:r>
      <w:r>
        <w:rPr>
          <w:spacing w:val="-74"/>
        </w:rPr>
        <w:t> </w:t>
      </w:r>
      <w:r>
        <w:rPr>
          <w:rFonts w:ascii="Times New Roman" w:hAnsi="Times New Roman" w:cs="Times New Roman" w:eastAsia="Times New Roman" w:hint="default"/>
        </w:rPr>
        <w:t>3631.16</w:t>
      </w:r>
      <w:r>
        <w:rPr>
          <w:rFonts w:ascii="Times New Roman" w:hAnsi="Times New Roman" w:cs="Times New Roman" w:eastAsia="Times New Roman" w:hint="default"/>
          <w:spacing w:val="-21"/>
        </w:rPr>
        <w:t> </w:t>
      </w:r>
      <w:r>
        <w:rPr/>
        <w:t>万元固定资产中，绝大部分生产设备已超过了使用年限，严重老化，影响了</w:t>
      </w:r>
    </w:p>
    <w:p>
      <w:pPr>
        <w:spacing w:after="0" w:line="240" w:lineRule="auto"/>
        <w:jc w:val="left"/>
        <w:sectPr>
          <w:pgSz w:w="11910" w:h="16840"/>
          <w:pgMar w:header="877" w:footer="975" w:top="1100" w:bottom="1160" w:left="1580" w:right="1640"/>
        </w:sectPr>
      </w:pPr>
    </w:p>
    <w:p>
      <w:pPr>
        <w:spacing w:line="240" w:lineRule="auto" w:before="6"/>
        <w:rPr>
          <w:rFonts w:ascii="宋体" w:hAnsi="宋体" w:cs="宋体" w:eastAsia="宋体" w:hint="default"/>
          <w:sz w:val="25"/>
          <w:szCs w:val="25"/>
        </w:rPr>
      </w:pPr>
    </w:p>
    <w:p>
      <w:pPr>
        <w:pStyle w:val="BodyText"/>
        <w:spacing w:line="240" w:lineRule="auto" w:before="35"/>
        <w:ind w:left="217" w:right="92"/>
        <w:jc w:val="left"/>
      </w:pPr>
      <w:r>
        <w:rPr/>
        <w:t>产品的质量，亟待更新换代；实际能够发挥效益的资产价值仅</w:t>
      </w:r>
      <w:r>
        <w:rPr>
          <w:spacing w:val="-73"/>
        </w:rPr>
        <w:t> </w:t>
      </w:r>
      <w:r>
        <w:rPr>
          <w:rFonts w:ascii="Times New Roman" w:hAnsi="Times New Roman" w:cs="Times New Roman" w:eastAsia="Times New Roman" w:hint="default"/>
        </w:rPr>
        <w:t>1,317.03</w:t>
      </w:r>
      <w:r>
        <w:rPr>
          <w:rFonts w:ascii="Times New Roman" w:hAnsi="Times New Roman" w:cs="Times New Roman" w:eastAsia="Times New Roman" w:hint="default"/>
          <w:spacing w:val="-20"/>
        </w:rPr>
        <w:t> </w:t>
      </w:r>
      <w:r>
        <w:rPr>
          <w:spacing w:val="-6"/>
        </w:rPr>
        <w:t>万元。另外，因华宝</w:t>
      </w:r>
    </w:p>
    <w:p>
      <w:pPr>
        <w:pStyle w:val="BodyText"/>
        <w:spacing w:line="297" w:lineRule="auto" w:before="69"/>
        <w:ind w:left="217" w:right="203"/>
        <w:jc w:val="left"/>
      </w:pPr>
      <w:r>
        <w:rPr>
          <w:spacing w:val="-3"/>
        </w:rPr>
        <w:t>饲料公司需整体搬迁，在惠州建设新厂，项目总投资</w:t>
      </w:r>
      <w:r>
        <w:rPr>
          <w:spacing w:val="-47"/>
        </w:rPr>
        <w:t> </w:t>
      </w:r>
      <w:r>
        <w:rPr>
          <w:rFonts w:ascii="Times New Roman" w:hAnsi="Times New Roman" w:cs="Times New Roman" w:eastAsia="Times New Roman" w:hint="default"/>
        </w:rPr>
        <w:t>3,961.09</w:t>
      </w:r>
      <w:r>
        <w:rPr>
          <w:rFonts w:ascii="Times New Roman" w:hAnsi="Times New Roman" w:cs="Times New Roman" w:eastAsia="Times New Roman" w:hint="default"/>
          <w:spacing w:val="6"/>
        </w:rPr>
        <w:t> </w:t>
      </w:r>
      <w:r>
        <w:rPr>
          <w:spacing w:val="-3"/>
        </w:rPr>
        <w:t>万元。这些将大大增加公司的</w:t>
      </w:r>
      <w:r>
        <w:rPr/>
        <w:t> 资金压力。</w:t>
      </w:r>
    </w:p>
    <w:p>
      <w:pPr>
        <w:pStyle w:val="BodyText"/>
        <w:spacing w:line="297" w:lineRule="auto" w:before="34"/>
        <w:ind w:left="637" w:right="92"/>
        <w:jc w:val="left"/>
      </w:pPr>
      <w:r>
        <w:rPr>
          <w:rFonts w:ascii="Times New Roman" w:hAnsi="Times New Roman" w:cs="Times New Roman" w:eastAsia="Times New Roman" w:hint="default"/>
        </w:rPr>
        <w:t>C.</w:t>
      </w:r>
      <w:r>
        <w:rPr/>
        <w:t>《重整计划》所述及的资产重组面临无法实施的可能 </w:t>
      </w:r>
      <w:r>
        <w:rPr>
          <w:spacing w:val="-3"/>
        </w:rPr>
        <w:t>目前，国家依然实施较为严厉的房地产宏观调控政策，受该政策的影响，公司《重整计</w:t>
      </w:r>
    </w:p>
    <w:p>
      <w:pPr>
        <w:pStyle w:val="BodyText"/>
        <w:spacing w:line="314" w:lineRule="auto" w:before="34"/>
        <w:ind w:left="217" w:right="92"/>
        <w:jc w:val="left"/>
      </w:pPr>
      <w:r>
        <w:rPr>
          <w:spacing w:val="-3"/>
        </w:rPr>
        <w:t>划》中的资产重组事项被搁置，是否能够实施具有重大不确定性，也不排除无法实施的可能</w:t>
      </w:r>
      <w:r>
        <w:rPr>
          <w:spacing w:val="-72"/>
        </w:rPr>
        <w:t> </w:t>
      </w:r>
      <w:r>
        <w:rPr>
          <w:spacing w:val="-72"/>
        </w:rPr>
      </w:r>
      <w:r>
        <w:rPr/>
        <w:t>性。有关详情见第九节“重要事项”部分。</w:t>
      </w:r>
    </w:p>
    <w:p>
      <w:pPr>
        <w:pStyle w:val="BodyText"/>
        <w:spacing w:line="240" w:lineRule="auto" w:before="20"/>
        <w:ind w:left="637" w:right="92"/>
        <w:jc w:val="left"/>
      </w:pPr>
      <w:r>
        <w:rPr/>
        <w:t>（</w:t>
      </w:r>
      <w:r>
        <w:rPr>
          <w:rFonts w:ascii="Times New Roman" w:hAnsi="Times New Roman" w:cs="Times New Roman" w:eastAsia="Times New Roman" w:hint="default"/>
        </w:rPr>
        <w:t>6</w:t>
      </w:r>
      <w:r>
        <w:rPr/>
        <w:t>）报告期内公司期间费用情况</w:t>
      </w: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30"/>
        <w:gridCol w:w="2130"/>
        <w:gridCol w:w="2131"/>
        <w:gridCol w:w="2131"/>
      </w:tblGrid>
      <w:tr>
        <w:trPr>
          <w:trHeight w:val="370"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年（万元）</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年（万元）</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47" w:right="0"/>
              <w:jc w:val="left"/>
              <w:rPr>
                <w:rFonts w:ascii="宋体" w:hAnsi="宋体" w:cs="宋体" w:eastAsia="宋体" w:hint="default"/>
                <w:sz w:val="21"/>
                <w:szCs w:val="21"/>
              </w:rPr>
            </w:pPr>
            <w:r>
              <w:rPr>
                <w:rFonts w:ascii="宋体" w:hAnsi="宋体" w:cs="宋体" w:eastAsia="宋体" w:hint="default"/>
                <w:sz w:val="21"/>
                <w:szCs w:val="21"/>
              </w:rPr>
              <w:t>增减率（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1"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2,613.96</w:t>
            </w:r>
            <w:r>
              <w:rPr>
                <w:rFonts w:ascii="Times New Roman"/>
                <w:sz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2,356.36</w:t>
            </w:r>
            <w:r>
              <w:rPr>
                <w:rFonts w:ascii="Times New Roman"/>
                <w:sz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10.93</w:t>
            </w:r>
          </w:p>
        </w:tc>
      </w:tr>
      <w:tr>
        <w:trPr>
          <w:trHeight w:val="370"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3,706.52</w:t>
            </w:r>
            <w:r>
              <w:rPr>
                <w:rFonts w:ascii="Times New Roman"/>
                <w:sz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3,315.20</w:t>
            </w:r>
            <w:r>
              <w:rPr>
                <w:rFonts w:ascii="Times New Roman"/>
                <w:sz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3"/>
                <w:sz w:val="21"/>
              </w:rPr>
              <w:t>11.80</w:t>
            </w:r>
            <w:r>
              <w:rPr>
                <w:rFonts w:ascii="Times New Roman"/>
                <w:sz w:val="21"/>
              </w:rPr>
            </w:r>
          </w:p>
        </w:tc>
      </w:tr>
      <w:tr>
        <w:trPr>
          <w:trHeight w:val="371"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40.94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2,780.35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-98.53</w:t>
            </w:r>
          </w:p>
        </w:tc>
      </w:tr>
    </w:tbl>
    <w:p>
      <w:pPr>
        <w:pStyle w:val="BodyText"/>
        <w:spacing w:line="314" w:lineRule="auto" w:before="42"/>
        <w:ind w:left="637" w:right="737"/>
        <w:jc w:val="left"/>
      </w:pPr>
      <w:r>
        <w:rPr/>
        <w:t>重要变动原因： 财务费用减少的原因：报告期内，公司实施了破产重整，债务得以大幅度消除。</w:t>
      </w:r>
    </w:p>
    <w:p>
      <w:pPr>
        <w:pStyle w:val="BodyText"/>
        <w:spacing w:line="240" w:lineRule="auto" w:before="20"/>
        <w:ind w:left="637" w:right="92"/>
        <w:jc w:val="left"/>
      </w:pPr>
      <w:r>
        <w:rPr/>
        <w:t>（</w:t>
      </w:r>
      <w:r>
        <w:rPr>
          <w:rFonts w:ascii="Times New Roman" w:hAnsi="Times New Roman" w:cs="Times New Roman" w:eastAsia="Times New Roman" w:hint="default"/>
        </w:rPr>
        <w:t>7</w:t>
      </w:r>
      <w:r>
        <w:rPr/>
        <w:t>）报告期内公司现金流量情况</w:t>
      </w: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02"/>
        <w:gridCol w:w="1817"/>
        <w:gridCol w:w="2147"/>
        <w:gridCol w:w="1157"/>
      </w:tblGrid>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年（万元）</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年（万元）</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增减率</w:t>
            </w:r>
            <w:r>
              <w:rPr>
                <w:rFonts w:ascii="Times New Roman" w:hAnsi="Times New Roman" w:cs="Times New Roman" w:eastAsia="Times New Roman" w:hint="default"/>
                <w:sz w:val="21"/>
                <w:szCs w:val="21"/>
              </w:rPr>
              <w:t>(%)</w:t>
            </w:r>
          </w:p>
        </w:tc>
      </w:tr>
      <w:tr>
        <w:trPr>
          <w:trHeight w:val="370" w:hRule="exact"/>
        </w:trPr>
        <w:tc>
          <w:tcPr>
            <w:tcW w:w="8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一、经营活动</w:t>
            </w:r>
          </w:p>
        </w:tc>
      </w:tr>
      <w:tr>
        <w:trPr>
          <w:trHeight w:val="37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spacing w:val="-1"/>
                <w:sz w:val="21"/>
              </w:rPr>
              <w:t>45,558.58</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spacing w:val="-1"/>
                <w:sz w:val="21"/>
              </w:rPr>
              <w:t>33,606.86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spacing w:val="-1"/>
                <w:sz w:val="21"/>
              </w:rPr>
              <w:t>35.56</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spacing w:val="-1"/>
                <w:sz w:val="21"/>
              </w:rPr>
              <w:t>41,524.06</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spacing w:val="-1"/>
                <w:sz w:val="21"/>
              </w:rPr>
              <w:t>33,580.88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spacing w:val="-1"/>
                <w:sz w:val="21"/>
              </w:rPr>
              <w:t>23.65</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21"/>
                <w:szCs w:val="21"/>
              </w:rPr>
            </w:pPr>
            <w:r>
              <w:rPr>
                <w:rFonts w:ascii="Times New Roman"/>
                <w:spacing w:val="-1"/>
                <w:sz w:val="21"/>
              </w:rPr>
              <w:t>4,034.52</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spacing w:val="-1"/>
                <w:sz w:val="21"/>
              </w:rPr>
              <w:t>25.98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spacing w:val="-1"/>
                <w:sz w:val="21"/>
              </w:rPr>
              <w:t>15429.33</w:t>
            </w:r>
          </w:p>
        </w:tc>
      </w:tr>
      <w:tr>
        <w:trPr>
          <w:trHeight w:val="371" w:hRule="exact"/>
        </w:trPr>
        <w:tc>
          <w:tcPr>
            <w:tcW w:w="8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二、投资活动</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21"/>
                <w:szCs w:val="21"/>
              </w:rPr>
            </w:pPr>
            <w:r>
              <w:rPr>
                <w:rFonts w:ascii="Times New Roman"/>
                <w:spacing w:val="-1"/>
                <w:sz w:val="21"/>
              </w:rPr>
              <w:t>173.92</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spacing w:val="-1"/>
                <w:sz w:val="21"/>
              </w:rPr>
              <w:t>75.80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spacing w:val="-1"/>
                <w:sz w:val="21"/>
              </w:rPr>
              <w:t>129.45</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21"/>
                <w:szCs w:val="21"/>
              </w:rPr>
            </w:pPr>
            <w:r>
              <w:rPr>
                <w:rFonts w:ascii="Times New Roman"/>
                <w:spacing w:val="-1"/>
                <w:sz w:val="21"/>
              </w:rPr>
              <w:t>278.92</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21"/>
                <w:szCs w:val="21"/>
              </w:rPr>
            </w:pPr>
            <w:r>
              <w:rPr>
                <w:rFonts w:ascii="Times New Roman"/>
                <w:spacing w:val="-1"/>
                <w:sz w:val="21"/>
              </w:rPr>
              <w:t>102.20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spacing w:val="-1"/>
                <w:sz w:val="21"/>
              </w:rPr>
              <w:t>172.92</w:t>
            </w:r>
          </w:p>
        </w:tc>
      </w:tr>
      <w:tr>
        <w:trPr>
          <w:trHeight w:val="37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Times New Roman" w:hAnsi="Times New Roman" w:cs="Times New Roman" w:eastAsia="Times New Roman" w:hint="default"/>
                <w:sz w:val="21"/>
                <w:szCs w:val="21"/>
              </w:rPr>
            </w:pPr>
            <w:r>
              <w:rPr>
                <w:rFonts w:ascii="Times New Roman"/>
                <w:spacing w:val="-1"/>
                <w:sz w:val="21"/>
              </w:rPr>
              <w:t>-105.00</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21"/>
                <w:szCs w:val="21"/>
              </w:rPr>
            </w:pPr>
            <w:r>
              <w:rPr>
                <w:rFonts w:ascii="Times New Roman"/>
                <w:spacing w:val="-1"/>
                <w:sz w:val="21"/>
              </w:rPr>
              <w:t>-26.40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spacing w:val="-1"/>
                <w:sz w:val="21"/>
              </w:rPr>
              <w:t>297.73</w:t>
            </w:r>
          </w:p>
        </w:tc>
      </w:tr>
      <w:tr>
        <w:trPr>
          <w:trHeight w:val="370" w:hRule="exact"/>
        </w:trPr>
        <w:tc>
          <w:tcPr>
            <w:tcW w:w="8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三、筹资活动</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9" w:right="0"/>
              <w:jc w:val="left"/>
              <w:rPr>
                <w:rFonts w:ascii="Times New Roman" w:hAnsi="Times New Roman" w:cs="Times New Roman" w:eastAsia="Times New Roman" w:hint="default"/>
                <w:sz w:val="21"/>
                <w:szCs w:val="21"/>
              </w:rPr>
            </w:pPr>
            <w:r>
              <w:rPr>
                <w:rFonts w:ascii="Times New Roman"/>
                <w:sz w:val="21"/>
              </w:rPr>
              <w:t>294.65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74" w:right="0"/>
              <w:jc w:val="left"/>
              <w:rPr>
                <w:rFonts w:ascii="Times New Roman" w:hAnsi="Times New Roman" w:cs="Times New Roman" w:eastAsia="Times New Roman" w:hint="default"/>
                <w:sz w:val="21"/>
                <w:szCs w:val="21"/>
              </w:rPr>
            </w:pPr>
            <w:r>
              <w:rPr>
                <w:rFonts w:ascii="Times New Roman"/>
                <w:sz w:val="21"/>
              </w:rPr>
              <w:t>-294.65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314" w:lineRule="auto" w:before="42"/>
        <w:ind w:left="637" w:right="92"/>
        <w:jc w:val="left"/>
      </w:pPr>
      <w:r>
        <w:rPr/>
        <w:t>注： </w:t>
      </w:r>
      <w:r>
        <w:rPr>
          <w:spacing w:val="-3"/>
        </w:rPr>
        <w:t>经营活动现金流量净额大幅变动的原因：报告期内，公司收回以前客户欠款、法院的执</w:t>
      </w:r>
    </w:p>
    <w:p>
      <w:pPr>
        <w:pStyle w:val="BodyText"/>
        <w:spacing w:line="314" w:lineRule="auto" w:before="20"/>
        <w:ind w:left="637" w:right="92" w:hanging="420"/>
        <w:jc w:val="left"/>
      </w:pPr>
      <w:r>
        <w:rPr/>
        <w:t>行余款、重整程序中获得的偿债股份的变现款。 </w:t>
      </w:r>
      <w:r>
        <w:rPr>
          <w:spacing w:val="-3"/>
        </w:rPr>
        <w:t>投资活动现金流量净额大幅变动的原因：报告期内公司购入的经营性固定资产的金额超</w:t>
      </w:r>
    </w:p>
    <w:p>
      <w:pPr>
        <w:pStyle w:val="BodyText"/>
        <w:spacing w:line="240" w:lineRule="auto" w:before="20"/>
        <w:ind w:left="217" w:right="92"/>
        <w:jc w:val="left"/>
      </w:pPr>
      <w:r>
        <w:rPr/>
        <w:t>过上年同期的金额。</w:t>
      </w:r>
    </w:p>
    <w:p>
      <w:pPr>
        <w:pStyle w:val="BodyText"/>
        <w:spacing w:line="240" w:lineRule="auto" w:before="85"/>
        <w:ind w:left="637" w:right="92"/>
        <w:jc w:val="left"/>
      </w:pPr>
      <w:r>
        <w:rPr>
          <w:rFonts w:ascii="Times New Roman" w:hAnsi="Times New Roman" w:cs="Times New Roman" w:eastAsia="Times New Roman" w:hint="default"/>
        </w:rPr>
        <w:t>2</w:t>
      </w:r>
      <w:r>
        <w:rPr/>
        <w:t>、主要控股公司及参股公司的经营情况及业绩</w:t>
      </w:r>
    </w:p>
    <w:p>
      <w:pPr>
        <w:pStyle w:val="BodyText"/>
        <w:spacing w:line="297" w:lineRule="auto" w:before="69"/>
        <w:ind w:left="637" w:right="92"/>
        <w:jc w:val="left"/>
      </w:pPr>
      <w:r>
        <w:rPr/>
        <w:t>（</w:t>
      </w:r>
      <w:r>
        <w:rPr>
          <w:rFonts w:ascii="Times New Roman" w:hAnsi="Times New Roman" w:cs="Times New Roman" w:eastAsia="Times New Roman" w:hint="default"/>
        </w:rPr>
        <w:t>1</w:t>
      </w:r>
      <w:r>
        <w:rPr/>
        <w:t>）深圳市泰丰科技有限公司 </w:t>
      </w:r>
      <w:r>
        <w:rPr>
          <w:spacing w:val="-3"/>
        </w:rPr>
        <w:t>主要从事多功能电话机、无绳电话机、小灵通电话等产品的技术开发、生产、销售等业</w:t>
      </w:r>
    </w:p>
    <w:p>
      <w:pPr>
        <w:pStyle w:val="BodyText"/>
        <w:spacing w:line="297" w:lineRule="auto" w:before="34"/>
        <w:ind w:left="217" w:right="204"/>
        <w:jc w:val="left"/>
      </w:pPr>
      <w:r>
        <w:rPr/>
        <w:t>务。该公司注册资本为 </w:t>
      </w:r>
      <w:r>
        <w:rPr>
          <w:rFonts w:ascii="Times New Roman" w:hAnsi="Times New Roman" w:cs="Times New Roman" w:eastAsia="Times New Roman" w:hint="default"/>
        </w:rPr>
        <w:t>16,000 </w:t>
      </w:r>
      <w:r>
        <w:rPr/>
        <w:t>万元，报告期末本公司直接持有其 </w:t>
      </w:r>
      <w:r>
        <w:rPr>
          <w:rFonts w:ascii="Times New Roman" w:hAnsi="Times New Roman" w:cs="Times New Roman" w:eastAsia="Times New Roman" w:hint="default"/>
        </w:rPr>
        <w:t>100%</w:t>
      </w:r>
      <w:r>
        <w:rPr/>
        <w:t>股份。</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年末该 公司总资产</w:t>
      </w:r>
      <w:r>
        <w:rPr>
          <w:spacing w:val="-45"/>
        </w:rPr>
        <w:t> </w:t>
      </w:r>
      <w:r>
        <w:rPr>
          <w:rFonts w:ascii="Times New Roman" w:hAnsi="Times New Roman" w:cs="Times New Roman" w:eastAsia="Times New Roman" w:hint="default"/>
        </w:rPr>
        <w:t>6,406.84</w:t>
      </w:r>
      <w:r>
        <w:rPr>
          <w:rFonts w:ascii="Times New Roman" w:hAnsi="Times New Roman" w:cs="Times New Roman" w:eastAsia="Times New Roman" w:hint="default"/>
          <w:spacing w:val="8"/>
        </w:rPr>
        <w:t> </w:t>
      </w:r>
      <w:r>
        <w:rPr/>
        <w:t>万元，净资产为</w:t>
      </w:r>
      <w:r>
        <w:rPr>
          <w:rFonts w:ascii="Times New Roman" w:hAnsi="Times New Roman" w:cs="Times New Roman" w:eastAsia="Times New Roman" w:hint="default"/>
        </w:rPr>
        <w:t>-30.52</w:t>
      </w:r>
      <w:r>
        <w:rPr>
          <w:rFonts w:ascii="Times New Roman" w:hAnsi="Times New Roman" w:cs="Times New Roman" w:eastAsia="Times New Roman" w:hint="default"/>
          <w:spacing w:val="8"/>
        </w:rPr>
        <w:t> </w:t>
      </w:r>
      <w:r>
        <w:rPr/>
        <w:t>万元。报告期实现收入</w:t>
      </w:r>
      <w:r>
        <w:rPr>
          <w:spacing w:val="-45"/>
        </w:rPr>
        <w:t> </w:t>
      </w:r>
      <w:r>
        <w:rPr>
          <w:rFonts w:ascii="Times New Roman" w:hAnsi="Times New Roman" w:cs="Times New Roman" w:eastAsia="Times New Roman" w:hint="default"/>
        </w:rPr>
        <w:t>14,476.06</w:t>
      </w:r>
      <w:r>
        <w:rPr>
          <w:rFonts w:ascii="Times New Roman" w:hAnsi="Times New Roman" w:cs="Times New Roman" w:eastAsia="Times New Roman" w:hint="default"/>
          <w:spacing w:val="8"/>
        </w:rPr>
        <w:t> </w:t>
      </w:r>
      <w:r>
        <w:rPr/>
        <w:t>万元，主营业</w:t>
      </w:r>
    </w:p>
    <w:p>
      <w:pPr>
        <w:spacing w:after="0" w:line="297" w:lineRule="auto"/>
        <w:jc w:val="left"/>
        <w:sectPr>
          <w:footerReference w:type="default" r:id="rId11"/>
          <w:pgSz w:w="11910" w:h="16840"/>
          <w:pgMar w:footer="975" w:header="877" w:top="1100" w:bottom="1160" w:left="1580" w:right="1580"/>
          <w:pgNumType w:start="24"/>
        </w:sectPr>
      </w:pPr>
    </w:p>
    <w:p>
      <w:pPr>
        <w:spacing w:line="240" w:lineRule="auto" w:before="6"/>
        <w:rPr>
          <w:rFonts w:ascii="宋体" w:hAnsi="宋体" w:cs="宋体" w:eastAsia="宋体" w:hint="default"/>
          <w:sz w:val="25"/>
          <w:szCs w:val="25"/>
        </w:rPr>
      </w:pPr>
    </w:p>
    <w:p>
      <w:pPr>
        <w:pStyle w:val="BodyText"/>
        <w:spacing w:line="240" w:lineRule="auto" w:before="35"/>
        <w:ind w:left="137" w:right="0"/>
        <w:jc w:val="both"/>
      </w:pPr>
      <w:r>
        <w:rPr/>
        <w:t>务利润</w:t>
      </w:r>
      <w:r>
        <w:rPr>
          <w:spacing w:val="-45"/>
        </w:rPr>
        <w:t> </w:t>
      </w:r>
      <w:r>
        <w:rPr>
          <w:rFonts w:ascii="Times New Roman" w:hAnsi="Times New Roman" w:cs="Times New Roman" w:eastAsia="Times New Roman" w:hint="default"/>
        </w:rPr>
        <w:t>2,643.01</w:t>
      </w:r>
      <w:r>
        <w:rPr>
          <w:rFonts w:ascii="Times New Roman" w:hAnsi="Times New Roman" w:cs="Times New Roman" w:eastAsia="Times New Roman" w:hint="default"/>
          <w:spacing w:val="8"/>
        </w:rPr>
        <w:t> </w:t>
      </w:r>
      <w:r>
        <w:rPr/>
        <w:t>万元，毛利率为</w:t>
      </w:r>
      <w:r>
        <w:rPr>
          <w:spacing w:val="-45"/>
        </w:rPr>
        <w:t> </w:t>
      </w:r>
      <w:r>
        <w:rPr>
          <w:rFonts w:ascii="Times New Roman" w:hAnsi="Times New Roman" w:cs="Times New Roman" w:eastAsia="Times New Roman" w:hint="default"/>
        </w:rPr>
        <w:t>18.56%</w:t>
      </w:r>
      <w:r>
        <w:rPr/>
        <w:t>，实现净利润</w:t>
      </w:r>
      <w:r>
        <w:rPr>
          <w:spacing w:val="-45"/>
        </w:rPr>
        <w:t> </w:t>
      </w:r>
      <w:r>
        <w:rPr>
          <w:rFonts w:ascii="Times New Roman" w:hAnsi="Times New Roman" w:cs="Times New Roman" w:eastAsia="Times New Roman" w:hint="default"/>
        </w:rPr>
        <w:t>6,731.57</w:t>
      </w:r>
      <w:r>
        <w:rPr>
          <w:rFonts w:ascii="Times New Roman" w:hAnsi="Times New Roman" w:cs="Times New Roman" w:eastAsia="Times New Roman" w:hint="default"/>
          <w:spacing w:val="7"/>
        </w:rPr>
        <w:t> </w:t>
      </w:r>
      <w:r>
        <w:rPr/>
        <w:t>万元，扣除重整收益后的净</w:t>
      </w:r>
    </w:p>
    <w:p>
      <w:pPr>
        <w:pStyle w:val="BodyText"/>
        <w:spacing w:line="240" w:lineRule="auto" w:before="69"/>
        <w:ind w:left="137" w:right="0"/>
        <w:jc w:val="both"/>
      </w:pPr>
      <w:r>
        <w:rPr/>
        <w:t>利润为</w:t>
      </w:r>
      <w:r>
        <w:rPr>
          <w:spacing w:val="-55"/>
        </w:rPr>
        <w:t> </w:t>
      </w:r>
      <w:r>
        <w:rPr>
          <w:rFonts w:ascii="Times New Roman" w:hAnsi="Times New Roman" w:cs="Times New Roman" w:eastAsia="Times New Roman" w:hint="default"/>
        </w:rPr>
        <w:t>1,115.41</w:t>
      </w:r>
      <w:r>
        <w:rPr>
          <w:rFonts w:ascii="Times New Roman" w:hAnsi="Times New Roman" w:cs="Times New Roman" w:eastAsia="Times New Roman" w:hint="default"/>
          <w:spacing w:val="-2"/>
        </w:rPr>
        <w:t> </w:t>
      </w:r>
      <w:r>
        <w:rPr/>
        <w:t>万元。</w:t>
      </w:r>
    </w:p>
    <w:p>
      <w:pPr>
        <w:pStyle w:val="BodyText"/>
        <w:spacing w:line="297" w:lineRule="auto" w:before="69"/>
        <w:ind w:left="557" w:right="104"/>
        <w:jc w:val="left"/>
      </w:pPr>
      <w:r>
        <w:rPr/>
        <w:t>（</w:t>
      </w:r>
      <w:r>
        <w:rPr>
          <w:rFonts w:ascii="Times New Roman" w:hAnsi="Times New Roman" w:cs="Times New Roman" w:eastAsia="Times New Roman" w:hint="default"/>
        </w:rPr>
        <w:t>2</w:t>
      </w:r>
      <w:r>
        <w:rPr/>
        <w:t>）深圳市汇德祥贸易有限公司 主要从事多功能电话、无绳电话的购销业务。报告期末，该公司注册资本</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w:t>
      </w:r>
    </w:p>
    <w:p>
      <w:pPr>
        <w:pStyle w:val="BodyText"/>
        <w:spacing w:line="240" w:lineRule="auto" w:before="13"/>
        <w:ind w:left="137" w:right="0"/>
        <w:jc w:val="both"/>
      </w:pPr>
      <w:r>
        <w:rPr>
          <w:spacing w:val="3"/>
        </w:rPr>
        <w:t>本公司间接持有其 </w:t>
      </w:r>
      <w:r>
        <w:rPr>
          <w:rFonts w:ascii="Times New Roman" w:hAnsi="Times New Roman" w:cs="Times New Roman" w:eastAsia="Times New Roman" w:hint="default"/>
        </w:rPr>
        <w:t>100%</w:t>
      </w:r>
      <w:r>
        <w:rPr/>
        <w:t>股份。</w:t>
      </w:r>
      <w:r>
        <w:rPr>
          <w:rFonts w:ascii="Times New Roman" w:hAnsi="Times New Roman" w:cs="Times New Roman" w:eastAsia="Times New Roman" w:hint="default"/>
        </w:rPr>
        <w:t>2010  </w:t>
      </w:r>
      <w:r>
        <w:rPr>
          <w:spacing w:val="3"/>
        </w:rPr>
        <w:t>年末该公司总资产为 </w:t>
      </w:r>
      <w:r>
        <w:rPr>
          <w:rFonts w:ascii="Times New Roman" w:hAnsi="Times New Roman" w:cs="Times New Roman" w:eastAsia="Times New Roman" w:hint="default"/>
        </w:rPr>
        <w:t>3,817.43 </w:t>
      </w:r>
      <w:r>
        <w:rPr>
          <w:rFonts w:ascii="Times New Roman" w:hAnsi="Times New Roman" w:cs="Times New Roman" w:eastAsia="Times New Roman" w:hint="default"/>
          <w:spacing w:val="39"/>
        </w:rPr>
        <w:t> </w:t>
      </w:r>
      <w:r>
        <w:rPr>
          <w:spacing w:val="4"/>
        </w:rPr>
        <w:t>万元，全年实现收入</w:t>
      </w:r>
      <w:r>
        <w:rPr/>
      </w:r>
    </w:p>
    <w:p>
      <w:pPr>
        <w:pStyle w:val="BodyText"/>
        <w:spacing w:line="240" w:lineRule="auto" w:before="69"/>
        <w:ind w:left="137" w:right="0"/>
        <w:jc w:val="both"/>
      </w:pPr>
      <w:r>
        <w:rPr>
          <w:rFonts w:ascii="Times New Roman" w:hAnsi="Times New Roman" w:cs="Times New Roman" w:eastAsia="Times New Roman" w:hint="default"/>
        </w:rPr>
        <w:t>14,243.60</w:t>
      </w:r>
      <w:r>
        <w:rPr>
          <w:rFonts w:ascii="Times New Roman" w:hAnsi="Times New Roman" w:cs="Times New Roman" w:eastAsia="Times New Roman" w:hint="default"/>
          <w:spacing w:val="-3"/>
        </w:rPr>
        <w:t> </w:t>
      </w:r>
      <w:r>
        <w:rPr/>
        <w:t>万元，主营业务利润</w:t>
      </w:r>
      <w:r>
        <w:rPr>
          <w:spacing w:val="-56"/>
        </w:rPr>
        <w:t> </w:t>
      </w:r>
      <w:r>
        <w:rPr>
          <w:rFonts w:ascii="Times New Roman" w:hAnsi="Times New Roman" w:cs="Times New Roman" w:eastAsia="Times New Roman" w:hint="default"/>
        </w:rPr>
        <w:t>2,293.24</w:t>
      </w:r>
      <w:r>
        <w:rPr>
          <w:rFonts w:ascii="Times New Roman" w:hAnsi="Times New Roman" w:cs="Times New Roman" w:eastAsia="Times New Roman" w:hint="default"/>
          <w:spacing w:val="-3"/>
        </w:rPr>
        <w:t> </w:t>
      </w:r>
      <w:r>
        <w:rPr/>
        <w:t>万元，毛利率为</w:t>
      </w:r>
      <w:r>
        <w:rPr>
          <w:spacing w:val="-56"/>
        </w:rPr>
        <w:t> </w:t>
      </w:r>
      <w:r>
        <w:rPr>
          <w:rFonts w:ascii="Times New Roman" w:hAnsi="Times New Roman" w:cs="Times New Roman" w:eastAsia="Times New Roman" w:hint="default"/>
        </w:rPr>
        <w:t>16.23%</w:t>
      </w:r>
      <w:r>
        <w:rPr/>
        <w:t>，实现净利润</w:t>
      </w:r>
      <w:r>
        <w:rPr>
          <w:spacing w:val="-56"/>
        </w:rPr>
        <w:t> </w:t>
      </w:r>
      <w:r>
        <w:rPr>
          <w:rFonts w:ascii="Times New Roman" w:hAnsi="Times New Roman" w:cs="Times New Roman" w:eastAsia="Times New Roman" w:hint="default"/>
        </w:rPr>
        <w:t>245.39</w:t>
      </w:r>
      <w:r>
        <w:rPr>
          <w:rFonts w:ascii="Times New Roman" w:hAnsi="Times New Roman" w:cs="Times New Roman" w:eastAsia="Times New Roman" w:hint="default"/>
          <w:spacing w:val="-3"/>
        </w:rPr>
        <w:t> </w:t>
      </w:r>
      <w:r>
        <w:rPr/>
        <w:t>万元。</w:t>
      </w:r>
    </w:p>
    <w:p>
      <w:pPr>
        <w:pStyle w:val="BodyText"/>
        <w:spacing w:line="240" w:lineRule="auto" w:before="69"/>
        <w:ind w:left="557" w:right="104"/>
        <w:jc w:val="left"/>
      </w:pPr>
      <w:r>
        <w:rPr/>
        <w:t>（</w:t>
      </w:r>
      <w:r>
        <w:rPr>
          <w:rFonts w:ascii="Times New Roman" w:hAnsi="Times New Roman" w:cs="Times New Roman" w:eastAsia="Times New Roman" w:hint="default"/>
        </w:rPr>
        <w:t>3</w:t>
      </w:r>
      <w:r>
        <w:rPr/>
        <w:t>）深圳市华宝（集团）饲料有限公司</w:t>
      </w:r>
    </w:p>
    <w:p>
      <w:pPr>
        <w:pStyle w:val="BodyText"/>
        <w:spacing w:line="240" w:lineRule="auto" w:before="69"/>
        <w:ind w:left="557" w:right="104"/>
        <w:jc w:val="left"/>
      </w:pPr>
      <w:r>
        <w:rPr/>
        <w:t>主要从事饲料产销等业务。该公司注册资本 </w:t>
      </w:r>
      <w:r>
        <w:rPr>
          <w:rFonts w:ascii="Times New Roman" w:hAnsi="Times New Roman" w:cs="Times New Roman" w:eastAsia="Times New Roman" w:hint="default"/>
        </w:rPr>
        <w:t>6,130  </w:t>
      </w:r>
      <w:r>
        <w:rPr>
          <w:rFonts w:ascii="Times New Roman" w:hAnsi="Times New Roman" w:cs="Times New Roman" w:eastAsia="Times New Roman" w:hint="default"/>
          <w:spacing w:val="5"/>
        </w:rPr>
        <w:t> </w:t>
      </w:r>
      <w:r>
        <w:rPr/>
        <w:t>万元，报告期末本公司直接持有其</w:t>
      </w:r>
    </w:p>
    <w:p>
      <w:pPr>
        <w:pStyle w:val="BodyText"/>
        <w:spacing w:line="240" w:lineRule="auto" w:before="69"/>
        <w:ind w:left="137" w:right="0"/>
        <w:jc w:val="both"/>
      </w:pPr>
      <w:r>
        <w:rPr>
          <w:rFonts w:ascii="Times New Roman" w:hAnsi="Times New Roman" w:cs="Times New Roman" w:eastAsia="Times New Roman" w:hint="default"/>
        </w:rPr>
        <w:t>100%</w:t>
      </w:r>
      <w:r>
        <w:rPr/>
        <w:t>股份。</w:t>
      </w:r>
      <w:r>
        <w:rPr>
          <w:rFonts w:ascii="Times New Roman" w:hAnsi="Times New Roman" w:cs="Times New Roman" w:eastAsia="Times New Roman" w:hint="default"/>
        </w:rPr>
        <w:t>2010 </w:t>
      </w:r>
      <w:r>
        <w:rPr/>
        <w:t>年末该公司总资产为 </w:t>
      </w:r>
      <w:r>
        <w:rPr>
          <w:rFonts w:ascii="Times New Roman" w:hAnsi="Times New Roman" w:cs="Times New Roman" w:eastAsia="Times New Roman" w:hint="default"/>
        </w:rPr>
        <w:t>5,738.39 </w:t>
      </w:r>
      <w:r>
        <w:rPr/>
        <w:t>万元，全年实现主营业务收入 </w:t>
      </w:r>
      <w:r>
        <w:rPr>
          <w:rFonts w:ascii="Times New Roman" w:hAnsi="Times New Roman" w:cs="Times New Roman" w:eastAsia="Times New Roman" w:hint="default"/>
        </w:rPr>
        <w:t>17,622.92</w:t>
      </w:r>
      <w:r>
        <w:rPr>
          <w:rFonts w:ascii="Times New Roman" w:hAnsi="Times New Roman" w:cs="Times New Roman" w:eastAsia="Times New Roman" w:hint="default"/>
          <w:spacing w:val="-12"/>
        </w:rPr>
        <w:t> </w:t>
      </w:r>
      <w:r>
        <w:rPr/>
        <w:t>万</w:t>
      </w:r>
    </w:p>
    <w:p>
      <w:pPr>
        <w:pStyle w:val="BodyText"/>
        <w:spacing w:line="240" w:lineRule="auto" w:before="69"/>
        <w:ind w:left="137" w:right="0"/>
        <w:jc w:val="both"/>
      </w:pPr>
      <w:r>
        <w:rPr/>
        <w:t>元，主营业务利润</w:t>
      </w:r>
      <w:r>
        <w:rPr>
          <w:spacing w:val="-45"/>
        </w:rPr>
        <w:t> </w:t>
      </w:r>
      <w:r>
        <w:rPr>
          <w:rFonts w:ascii="Times New Roman" w:hAnsi="Times New Roman" w:cs="Times New Roman" w:eastAsia="Times New Roman" w:hint="default"/>
        </w:rPr>
        <w:t>1,190.53</w:t>
      </w:r>
      <w:r>
        <w:rPr>
          <w:rFonts w:ascii="Times New Roman" w:hAnsi="Times New Roman" w:cs="Times New Roman" w:eastAsia="Times New Roman" w:hint="default"/>
          <w:spacing w:val="8"/>
        </w:rPr>
        <w:t> </w:t>
      </w:r>
      <w:r>
        <w:rPr/>
        <w:t>万元，毛利率为</w:t>
      </w:r>
      <w:r>
        <w:rPr>
          <w:spacing w:val="-45"/>
        </w:rPr>
        <w:t> </w:t>
      </w:r>
      <w:r>
        <w:rPr>
          <w:rFonts w:ascii="Times New Roman" w:hAnsi="Times New Roman" w:cs="Times New Roman" w:eastAsia="Times New Roman" w:hint="default"/>
        </w:rPr>
        <w:t>6.76%</w:t>
      </w:r>
      <w:r>
        <w:rPr/>
        <w:t>，实现净利润</w:t>
      </w:r>
      <w:r>
        <w:rPr>
          <w:spacing w:val="-45"/>
        </w:rPr>
        <w:t> </w:t>
      </w:r>
      <w:r>
        <w:rPr>
          <w:rFonts w:ascii="Times New Roman" w:hAnsi="Times New Roman" w:cs="Times New Roman" w:eastAsia="Times New Roman" w:hint="default"/>
        </w:rPr>
        <w:t>15,159.00</w:t>
      </w:r>
      <w:r>
        <w:rPr>
          <w:rFonts w:ascii="Times New Roman" w:hAnsi="Times New Roman" w:cs="Times New Roman" w:eastAsia="Times New Roman" w:hint="default"/>
          <w:spacing w:val="7"/>
        </w:rPr>
        <w:t> </w:t>
      </w:r>
      <w:r>
        <w:rPr/>
        <w:t>万元，扣除重整</w:t>
      </w:r>
    </w:p>
    <w:p>
      <w:pPr>
        <w:pStyle w:val="BodyText"/>
        <w:spacing w:line="240" w:lineRule="auto" w:before="69"/>
        <w:ind w:left="137" w:right="0"/>
        <w:jc w:val="both"/>
      </w:pPr>
      <w:r>
        <w:rPr/>
        <w:t>收益后的净利润为</w:t>
      </w:r>
      <w:r>
        <w:rPr>
          <w:spacing w:val="-55"/>
        </w:rPr>
        <w:t> </w:t>
      </w:r>
      <w:r>
        <w:rPr>
          <w:rFonts w:ascii="Times New Roman" w:hAnsi="Times New Roman" w:cs="Times New Roman" w:eastAsia="Times New Roman" w:hint="default"/>
        </w:rPr>
        <w:t>611.85</w:t>
      </w:r>
      <w:r>
        <w:rPr>
          <w:rFonts w:ascii="Times New Roman" w:hAnsi="Times New Roman" w:cs="Times New Roman" w:eastAsia="Times New Roman" w:hint="default"/>
          <w:spacing w:val="-2"/>
        </w:rPr>
        <w:t> </w:t>
      </w:r>
      <w:r>
        <w:rPr/>
        <w:t>万元。</w:t>
      </w:r>
    </w:p>
    <w:p>
      <w:pPr>
        <w:pStyle w:val="BodyText"/>
        <w:spacing w:line="297" w:lineRule="auto" w:before="69"/>
        <w:ind w:left="557" w:right="104"/>
        <w:jc w:val="left"/>
      </w:pPr>
      <w:r>
        <w:rPr/>
        <w:t>（</w:t>
      </w:r>
      <w:r>
        <w:rPr>
          <w:rFonts w:ascii="Times New Roman" w:hAnsi="Times New Roman" w:cs="Times New Roman" w:eastAsia="Times New Roman" w:hint="default"/>
        </w:rPr>
        <w:t>4</w:t>
      </w:r>
      <w:r>
        <w:rPr/>
        <w:t>）深圳市深信泰丰投资发展有限公司和深圳市华宝西部物业管理有限公司 </w:t>
      </w:r>
      <w:r>
        <w:rPr>
          <w:spacing w:val="8"/>
        </w:rPr>
        <w:t>泰丰投资公司和华宝物业公司主要从事物业出租和物业管理服务，注册资本分别为</w:t>
      </w:r>
      <w:r>
        <w:rPr/>
      </w:r>
    </w:p>
    <w:p>
      <w:pPr>
        <w:pStyle w:val="BodyText"/>
        <w:spacing w:line="240" w:lineRule="auto" w:before="34"/>
        <w:ind w:left="137" w:right="0"/>
        <w:jc w:val="both"/>
      </w:pPr>
      <w:r>
        <w:rPr>
          <w:rFonts w:ascii="Times New Roman" w:hAnsi="Times New Roman" w:cs="Times New Roman" w:eastAsia="Times New Roman" w:hint="default"/>
        </w:rPr>
        <w:t>5,000.00</w:t>
      </w:r>
      <w:r>
        <w:rPr>
          <w:rFonts w:ascii="Times New Roman" w:hAnsi="Times New Roman" w:cs="Times New Roman" w:eastAsia="Times New Roman" w:hint="default"/>
          <w:spacing w:val="-7"/>
        </w:rPr>
        <w:t> </w:t>
      </w:r>
      <w:r>
        <w:rPr/>
        <w:t>万元和</w:t>
      </w:r>
      <w:r>
        <w:rPr>
          <w:spacing w:val="-61"/>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8"/>
        </w:rPr>
        <w:t> </w:t>
      </w:r>
      <w:r>
        <w:rPr/>
        <w:t>万元。报告期末本公司直接和间接持有其</w:t>
      </w:r>
      <w:r>
        <w:rPr>
          <w:spacing w:val="-61"/>
        </w:rPr>
        <w:t> </w:t>
      </w:r>
      <w:r>
        <w:rPr>
          <w:rFonts w:ascii="Times New Roman" w:hAnsi="Times New Roman" w:cs="Times New Roman" w:eastAsia="Times New Roman" w:hint="default"/>
          <w:spacing w:val="-3"/>
        </w:rPr>
        <w:t>100%</w:t>
      </w:r>
      <w:r>
        <w:rPr>
          <w:spacing w:val="-3"/>
        </w:rPr>
        <w:t>股份。</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8"/>
        </w:rPr>
        <w:t> </w:t>
      </w:r>
      <w:r>
        <w:rPr/>
        <w:t>年末该两</w:t>
      </w:r>
    </w:p>
    <w:p>
      <w:pPr>
        <w:pStyle w:val="BodyText"/>
        <w:spacing w:line="240" w:lineRule="auto" w:before="69"/>
        <w:ind w:left="137" w:right="0"/>
        <w:jc w:val="both"/>
        <w:rPr>
          <w:rFonts w:ascii="Times New Roman" w:hAnsi="Times New Roman" w:cs="Times New Roman" w:eastAsia="Times New Roman" w:hint="default"/>
        </w:rPr>
      </w:pPr>
      <w:r>
        <w:rPr/>
        <w:t>公司总资产为 </w:t>
      </w:r>
      <w:r>
        <w:rPr>
          <w:rFonts w:ascii="Times New Roman" w:hAnsi="Times New Roman" w:cs="Times New Roman" w:eastAsia="Times New Roman" w:hint="default"/>
        </w:rPr>
        <w:t>3,593.27  </w:t>
      </w:r>
      <w:r>
        <w:rPr/>
        <w:t>万元，全年实现主营业务收入 </w:t>
      </w:r>
      <w:r>
        <w:rPr>
          <w:rFonts w:ascii="Times New Roman" w:hAnsi="Times New Roman" w:cs="Times New Roman" w:eastAsia="Times New Roman" w:hint="default"/>
        </w:rPr>
        <w:t>1,020.39</w:t>
      </w:r>
      <w:r>
        <w:rPr>
          <w:rFonts w:ascii="Times New Roman" w:hAnsi="Times New Roman" w:cs="Times New Roman" w:eastAsia="Times New Roman" w:hint="default"/>
          <w:spacing w:val="-13"/>
        </w:rPr>
        <w:t> </w:t>
      </w:r>
      <w:r>
        <w:rPr/>
        <w:t>万元，实现净利润</w:t>
      </w:r>
      <w:r>
        <w:rPr>
          <w:rFonts w:ascii="Times New Roman" w:hAnsi="Times New Roman" w:cs="Times New Roman" w:eastAsia="Times New Roman" w:hint="default"/>
        </w:rPr>
        <w:t>-1,160.31</w:t>
      </w:r>
    </w:p>
    <w:p>
      <w:pPr>
        <w:pStyle w:val="BodyText"/>
        <w:spacing w:line="240" w:lineRule="auto" w:before="69"/>
        <w:ind w:left="136" w:right="0"/>
        <w:jc w:val="both"/>
      </w:pPr>
      <w:r>
        <w:rPr/>
        <w:t>万元，扣除重整损益后的净利润为</w:t>
      </w:r>
      <w:r>
        <w:rPr>
          <w:spacing w:val="-55"/>
        </w:rPr>
        <w:t> </w:t>
      </w:r>
      <w:r>
        <w:rPr>
          <w:rFonts w:ascii="Times New Roman" w:hAnsi="Times New Roman" w:cs="Times New Roman" w:eastAsia="Times New Roman" w:hint="default"/>
        </w:rPr>
        <w:t>205.00</w:t>
      </w:r>
      <w:r>
        <w:rPr>
          <w:rFonts w:ascii="Times New Roman" w:hAnsi="Times New Roman" w:cs="Times New Roman" w:eastAsia="Times New Roman" w:hint="default"/>
          <w:spacing w:val="-2"/>
        </w:rPr>
        <w:t> </w:t>
      </w:r>
      <w:r>
        <w:rPr/>
        <w:t>万元。</w:t>
      </w:r>
    </w:p>
    <w:p>
      <w:pPr>
        <w:pStyle w:val="BodyText"/>
        <w:spacing w:line="240" w:lineRule="auto" w:before="69"/>
        <w:ind w:left="556" w:right="104"/>
        <w:jc w:val="left"/>
      </w:pPr>
      <w:r>
        <w:rPr/>
        <w:t>（</w:t>
      </w:r>
      <w:r>
        <w:rPr>
          <w:rFonts w:ascii="Times New Roman" w:hAnsi="Times New Roman" w:cs="Times New Roman" w:eastAsia="Times New Roman" w:hint="default"/>
        </w:rPr>
        <w:t>5</w:t>
      </w:r>
      <w:r>
        <w:rPr/>
        <w:t>）深圳市宝安华宝实业有限公司</w:t>
      </w:r>
    </w:p>
    <w:p>
      <w:pPr>
        <w:pStyle w:val="BodyText"/>
        <w:spacing w:line="297" w:lineRule="auto" w:before="69"/>
        <w:ind w:left="136" w:right="153" w:firstLine="420"/>
        <w:jc w:val="both"/>
      </w:pPr>
      <w:r>
        <w:rPr/>
        <w:t>主要从事养殖业务。该公司注册资本 </w:t>
      </w:r>
      <w:r>
        <w:rPr>
          <w:rFonts w:ascii="Times New Roman" w:hAnsi="Times New Roman" w:cs="Times New Roman" w:eastAsia="Times New Roman" w:hint="default"/>
        </w:rPr>
        <w:t>3,620 </w:t>
      </w:r>
      <w:r>
        <w:rPr/>
        <w:t>万元，报告期末本公司直接持有其</w:t>
      </w:r>
      <w:r>
        <w:rPr>
          <w:spacing w:val="-59"/>
        </w:rPr>
        <w:t> </w:t>
      </w:r>
      <w:r>
        <w:rPr>
          <w:rFonts w:ascii="Times New Roman" w:hAnsi="Times New Roman" w:cs="Times New Roman" w:eastAsia="Times New Roman" w:hint="default"/>
        </w:rPr>
        <w:t>100%</w:t>
      </w:r>
      <w:r>
        <w:rPr/>
        <w:t>股 份。</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年末该公司总资产为</w:t>
      </w:r>
      <w:r>
        <w:rPr>
          <w:spacing w:val="-52"/>
        </w:rPr>
        <w:t> </w:t>
      </w:r>
      <w:r>
        <w:rPr>
          <w:rFonts w:ascii="Times New Roman" w:hAnsi="Times New Roman" w:cs="Times New Roman" w:eastAsia="Times New Roman" w:hint="default"/>
        </w:rPr>
        <w:t>718.11</w:t>
      </w:r>
      <w:r>
        <w:rPr>
          <w:rFonts w:ascii="Times New Roman" w:hAnsi="Times New Roman" w:cs="Times New Roman" w:eastAsia="Times New Roman" w:hint="default"/>
          <w:spacing w:val="1"/>
        </w:rPr>
        <w:t> </w:t>
      </w:r>
      <w:r>
        <w:rPr/>
        <w:t>万元，全年实现主营业务收入为</w:t>
      </w:r>
      <w:r>
        <w:rPr>
          <w:spacing w:val="-52"/>
        </w:rPr>
        <w:t> </w:t>
      </w:r>
      <w:r>
        <w:rPr>
          <w:rFonts w:ascii="Times New Roman" w:hAnsi="Times New Roman" w:cs="Times New Roman" w:eastAsia="Times New Roman" w:hint="default"/>
        </w:rPr>
        <w:t>1,736.98</w:t>
      </w:r>
      <w:r>
        <w:rPr>
          <w:rFonts w:ascii="Times New Roman" w:hAnsi="Times New Roman" w:cs="Times New Roman" w:eastAsia="Times New Roman" w:hint="default"/>
          <w:spacing w:val="1"/>
        </w:rPr>
        <w:t> </w:t>
      </w:r>
      <w:r>
        <w:rPr/>
        <w:t>万元，主营 业务利润</w:t>
      </w:r>
      <w:r>
        <w:rPr>
          <w:spacing w:val="-47"/>
        </w:rPr>
        <w:t> </w:t>
      </w:r>
      <w:r>
        <w:rPr>
          <w:rFonts w:ascii="Times New Roman" w:hAnsi="Times New Roman" w:cs="Times New Roman" w:eastAsia="Times New Roman" w:hint="default"/>
        </w:rPr>
        <w:t>119.55</w:t>
      </w:r>
      <w:r>
        <w:rPr>
          <w:rFonts w:ascii="Times New Roman" w:hAnsi="Times New Roman" w:cs="Times New Roman" w:eastAsia="Times New Roman" w:hint="default"/>
          <w:spacing w:val="6"/>
        </w:rPr>
        <w:t> </w:t>
      </w:r>
      <w:r>
        <w:rPr/>
        <w:t>万元，毛利率为</w:t>
      </w:r>
      <w:r>
        <w:rPr>
          <w:spacing w:val="-47"/>
        </w:rPr>
        <w:t> </w:t>
      </w:r>
      <w:r>
        <w:rPr>
          <w:rFonts w:ascii="Times New Roman" w:hAnsi="Times New Roman" w:cs="Times New Roman" w:eastAsia="Times New Roman" w:hint="default"/>
        </w:rPr>
        <w:t>6.88%</w:t>
      </w:r>
      <w:r>
        <w:rPr/>
        <w:t>，实现净利润</w:t>
      </w:r>
      <w:r>
        <w:rPr>
          <w:rFonts w:ascii="Times New Roman" w:hAnsi="Times New Roman" w:cs="Times New Roman" w:eastAsia="Times New Roman" w:hint="default"/>
        </w:rPr>
        <w:t>-716.60</w:t>
      </w:r>
      <w:r>
        <w:rPr>
          <w:rFonts w:ascii="Times New Roman" w:hAnsi="Times New Roman" w:cs="Times New Roman" w:eastAsia="Times New Roman" w:hint="default"/>
          <w:spacing w:val="6"/>
        </w:rPr>
        <w:t> </w:t>
      </w:r>
      <w:r>
        <w:rPr/>
        <w:t>万元，扣除重整损益后的净利 润为</w:t>
      </w:r>
      <w:r>
        <w:rPr>
          <w:rFonts w:ascii="Times New Roman" w:hAnsi="Times New Roman" w:cs="Times New Roman" w:eastAsia="Times New Roman" w:hint="default"/>
        </w:rPr>
        <w:t>-314.58</w:t>
      </w:r>
      <w:r>
        <w:rPr>
          <w:rFonts w:ascii="Times New Roman" w:hAnsi="Times New Roman" w:cs="Times New Roman" w:eastAsia="Times New Roman" w:hint="default"/>
          <w:spacing w:val="-3"/>
        </w:rPr>
        <w:t> </w:t>
      </w:r>
      <w:r>
        <w:rPr/>
        <w:t>万元。</w:t>
      </w:r>
    </w:p>
    <w:p>
      <w:pPr>
        <w:pStyle w:val="Heading3"/>
        <w:spacing w:line="240" w:lineRule="auto" w:before="13"/>
        <w:ind w:right="104"/>
        <w:jc w:val="left"/>
        <w:rPr>
          <w:b w:val="0"/>
          <w:bCs w:val="0"/>
        </w:rPr>
      </w:pPr>
      <w:r>
        <w:rPr/>
        <w:t>（二）</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年的主要工作</w:t>
      </w:r>
      <w:r>
        <w:rPr>
          <w:b w:val="0"/>
          <w:bCs w:val="0"/>
        </w:rPr>
      </w:r>
    </w:p>
    <w:p>
      <w:pPr>
        <w:pStyle w:val="BodyText"/>
        <w:spacing w:line="240" w:lineRule="auto" w:before="69"/>
        <w:ind w:left="617" w:right="104"/>
        <w:jc w:val="left"/>
      </w:pPr>
      <w:r>
        <w:rPr>
          <w:rFonts w:ascii="Times New Roman" w:hAnsi="Times New Roman" w:cs="Times New Roman" w:eastAsia="Times New Roman" w:hint="default"/>
        </w:rPr>
        <w:t>1</w:t>
      </w:r>
      <w:r>
        <w:rPr/>
        <w:t>、全力以赴，完成了破产重整工作</w:t>
      </w:r>
    </w:p>
    <w:p>
      <w:pPr>
        <w:pStyle w:val="BodyText"/>
        <w:spacing w:line="297" w:lineRule="auto" w:before="69"/>
        <w:ind w:left="136" w:right="154"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年，公司的破产重整进入了关键性的阶段。为确保重整事项顺利推进，公司将其 作为工作的重中之重，投入了主要的精力，相继解决了重整过程中遇到的一系列难题。</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日，公司顺利完成了破产重整工作。</w:t>
      </w:r>
    </w:p>
    <w:p>
      <w:pPr>
        <w:pStyle w:val="BodyText"/>
        <w:spacing w:line="297" w:lineRule="auto" w:before="13"/>
        <w:ind w:left="617" w:right="104"/>
        <w:jc w:val="left"/>
      </w:pPr>
      <w:r>
        <w:rPr>
          <w:rFonts w:ascii="Times New Roman" w:hAnsi="Times New Roman" w:cs="Times New Roman" w:eastAsia="Times New Roman" w:hint="default"/>
        </w:rPr>
        <w:t>2</w:t>
      </w:r>
      <w:r>
        <w:rPr/>
        <w:t>、开展规范会计基础专项活动，完善会计基础工作 根据深圳证监局下发的《关于在深圳辖区上市公司全面深入开展规范财务会计基础工</w:t>
      </w:r>
    </w:p>
    <w:p>
      <w:pPr>
        <w:pStyle w:val="BodyText"/>
        <w:spacing w:line="314" w:lineRule="auto" w:before="34"/>
        <w:ind w:left="136" w:right="151"/>
        <w:jc w:val="both"/>
      </w:pPr>
      <w:r>
        <w:rPr>
          <w:spacing w:val="-3"/>
        </w:rPr>
        <w:t>作专项活动的通知》精神，公司制订了相应的工作方案，集团内部进行全面自查，形成了自</w:t>
      </w:r>
      <w:r>
        <w:rPr>
          <w:spacing w:val="-73"/>
        </w:rPr>
        <w:t> </w:t>
      </w:r>
      <w:r>
        <w:rPr>
          <w:spacing w:val="-73"/>
        </w:rPr>
      </w:r>
      <w:r>
        <w:rPr>
          <w:spacing w:val="-3"/>
        </w:rPr>
        <w:t>查报告，并针对相关问题进行了深入细致的整改。通过整改使公司财务会计基础工作进一步</w:t>
      </w:r>
      <w:r>
        <w:rPr>
          <w:spacing w:val="-75"/>
        </w:rPr>
        <w:t> </w:t>
      </w:r>
      <w:r>
        <w:rPr>
          <w:spacing w:val="-75"/>
        </w:rPr>
      </w:r>
      <w:r>
        <w:rPr/>
        <w:t>规范和完善。</w:t>
      </w:r>
    </w:p>
    <w:p>
      <w:pPr>
        <w:pStyle w:val="BodyText"/>
        <w:spacing w:line="240" w:lineRule="auto" w:before="20"/>
        <w:ind w:left="617" w:right="104"/>
        <w:jc w:val="left"/>
      </w:pPr>
      <w:r>
        <w:rPr>
          <w:rFonts w:ascii="Times New Roman" w:hAnsi="Times New Roman" w:cs="Times New Roman" w:eastAsia="Times New Roman" w:hint="default"/>
        </w:rPr>
        <w:t>3</w:t>
      </w:r>
      <w:r>
        <w:rPr/>
        <w:t>、进一步健全和完善内控制度体系</w:t>
      </w:r>
    </w:p>
    <w:p>
      <w:pPr>
        <w:pStyle w:val="BodyText"/>
        <w:spacing w:line="304" w:lineRule="auto" w:before="69"/>
        <w:ind w:left="136" w:right="152"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年，在已有的《制度汇编》的基础上，公司又完善了《财务会计相关负责人管理 </w:t>
      </w:r>
      <w:r>
        <w:rPr>
          <w:spacing w:val="-3"/>
        </w:rPr>
        <w:t>制度》，补充修订了《防范控股股东及关联方资金占用管理办法》，制订了《公司外部信息</w:t>
      </w:r>
      <w:r>
        <w:rPr>
          <w:spacing w:val="-75"/>
        </w:rPr>
        <w:t> </w:t>
      </w:r>
      <w:r>
        <w:rPr>
          <w:spacing w:val="-75"/>
        </w:rPr>
      </w:r>
      <w:r>
        <w:rPr/>
        <w:t>使用人管理制度》。经过上述一系列的工作，公司的内控制度得到了进一步完善。</w:t>
      </w:r>
    </w:p>
    <w:p>
      <w:pPr>
        <w:pStyle w:val="BodyText"/>
        <w:spacing w:line="240" w:lineRule="auto" w:before="28"/>
        <w:ind w:left="617" w:right="104"/>
        <w:jc w:val="left"/>
      </w:pPr>
      <w:r>
        <w:rPr>
          <w:rFonts w:ascii="Times New Roman" w:hAnsi="Times New Roman" w:cs="Times New Roman" w:eastAsia="Times New Roman" w:hint="default"/>
        </w:rPr>
        <w:t>4</w:t>
      </w:r>
      <w:r>
        <w:rPr/>
        <w:t>、通过现场调研和强化预算监督职能等方式，不断加强对下属各公司的监控管理</w:t>
      </w:r>
    </w:p>
    <w:p>
      <w:pPr>
        <w:pStyle w:val="BodyText"/>
        <w:spacing w:line="297" w:lineRule="auto" w:before="69"/>
        <w:ind w:left="136" w:right="151"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年，通过对各子公司进行现场调研、不断论证的方式，集团及时掌握了下属各公 </w:t>
      </w:r>
      <w:r>
        <w:rPr>
          <w:spacing w:val="-3"/>
        </w:rPr>
        <w:t>司的经营管理现状，与之共同探讨了企业发展中存在的问题，研究布置解决方案，进行工作</w:t>
      </w:r>
    </w:p>
    <w:p>
      <w:pPr>
        <w:spacing w:after="0" w:line="297" w:lineRule="auto"/>
        <w:jc w:val="both"/>
        <w:sectPr>
          <w:pgSz w:w="11910" w:h="16840"/>
          <w:pgMar w:header="877" w:footer="975" w:top="1100" w:bottom="1160" w:left="1660" w:right="1640"/>
        </w:sectPr>
      </w:pPr>
    </w:p>
    <w:p>
      <w:pPr>
        <w:spacing w:line="240" w:lineRule="auto" w:before="6"/>
        <w:rPr>
          <w:rFonts w:ascii="宋体" w:hAnsi="宋体" w:cs="宋体" w:eastAsia="宋体" w:hint="default"/>
          <w:sz w:val="25"/>
          <w:szCs w:val="25"/>
        </w:rPr>
      </w:pPr>
    </w:p>
    <w:p>
      <w:pPr>
        <w:pStyle w:val="BodyText"/>
        <w:spacing w:line="302" w:lineRule="auto" w:before="35"/>
        <w:ind w:left="137" w:right="212"/>
        <w:jc w:val="both"/>
      </w:pPr>
      <w:r>
        <w:rPr>
          <w:spacing w:val="-7"/>
        </w:rPr>
        <w:t>布置并跟踪相关要求、措施的落实情况。报告期内，公司下达了《</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21"/>
        </w:rPr>
        <w:t> </w:t>
      </w:r>
      <w:r>
        <w:rPr>
          <w:spacing w:val="-13"/>
        </w:rPr>
        <w:t>年财务预算》、《</w:t>
      </w:r>
      <w:r>
        <w:rPr>
          <w:rFonts w:ascii="Times New Roman" w:hAnsi="Times New Roman" w:cs="Times New Roman" w:eastAsia="Times New Roman" w:hint="default"/>
          <w:spacing w:val="-13"/>
        </w:rPr>
        <w:t>2010</w:t>
      </w:r>
      <w:r>
        <w:rPr>
          <w:rFonts w:ascii="Times New Roman" w:hAnsi="Times New Roman" w:cs="Times New Roman" w:eastAsia="Times New Roman" w:hint="default"/>
          <w:spacing w:val="-46"/>
        </w:rPr>
        <w:t> </w:t>
      </w:r>
      <w:r>
        <w:rPr/>
        <w:t>年工作要点布置》和</w:t>
      </w:r>
      <w:r>
        <w:rPr>
          <w:spacing w:val="-66"/>
        </w:rPr>
        <w:t> </w:t>
      </w:r>
      <w:r>
        <w:rPr>
          <w:rFonts w:ascii="Times New Roman" w:hAnsi="Times New Roman" w:cs="Times New Roman" w:eastAsia="Times New Roman" w:hint="default"/>
        </w:rPr>
        <w:t>24</w:t>
      </w:r>
      <w:r>
        <w:rPr>
          <w:rFonts w:ascii="Times New Roman" w:hAnsi="Times New Roman" w:cs="Times New Roman" w:eastAsia="Times New Roman" w:hint="default"/>
          <w:spacing w:val="-14"/>
        </w:rPr>
        <w:t> </w:t>
      </w:r>
      <w:r>
        <w:rPr/>
        <w:t>份会议纪要，制定了《</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年经营管理考核办法》，财务部门还坚 </w:t>
      </w:r>
      <w:r>
        <w:rPr>
          <w:spacing w:val="-3"/>
        </w:rPr>
        <w:t>持做好季度财务分析，进一步强化了对下属各公司的预算监督职能；新设立的投资管理部也</w:t>
      </w:r>
      <w:r>
        <w:rPr>
          <w:spacing w:val="-75"/>
        </w:rPr>
        <w:t> </w:t>
      </w:r>
      <w:r>
        <w:rPr>
          <w:spacing w:val="-75"/>
        </w:rPr>
      </w:r>
      <w:r>
        <w:rPr/>
        <w:t>有效地发挥了日常监管职能。通过上述举措，</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年公司的经营情况取得了较好的表现。</w:t>
      </w:r>
    </w:p>
    <w:p>
      <w:pPr>
        <w:pStyle w:val="BodyText"/>
        <w:spacing w:line="297" w:lineRule="auto" w:before="8"/>
        <w:ind w:left="617" w:right="198"/>
        <w:jc w:val="left"/>
      </w:pPr>
      <w:r>
        <w:rPr>
          <w:rFonts w:ascii="Times New Roman" w:hAnsi="Times New Roman" w:cs="Times New Roman" w:eastAsia="Times New Roman" w:hint="default"/>
        </w:rPr>
        <w:t>5</w:t>
      </w:r>
      <w:r>
        <w:rPr/>
        <w:t>、对下属子公司的问题进行审视、分析和诊断，有针对性地布置管理措施 在采取上述强化管理措施的基础上，</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spacing w:val="-4"/>
        </w:rPr>
        <w:t>月份以后，通过整理、分析下属各公司的历史经</w:t>
      </w:r>
    </w:p>
    <w:p>
      <w:pPr>
        <w:pStyle w:val="BodyText"/>
        <w:spacing w:line="314" w:lineRule="auto" w:before="13"/>
        <w:ind w:left="137" w:right="107"/>
        <w:jc w:val="left"/>
      </w:pPr>
      <w:r>
        <w:rPr/>
        <w:t>营数据，并结合多次的调研情况，集团对下属子公司的困局进行了一次全面、系统地审视、 </w:t>
      </w:r>
      <w:r>
        <w:rPr>
          <w:spacing w:val="-3"/>
        </w:rPr>
        <w:t>分析和诊断，经过厘清问题的症结、部署有针对性的解决措施、明确具体的发展要求等一系</w:t>
      </w:r>
      <w:r>
        <w:rPr>
          <w:spacing w:val="-72"/>
        </w:rPr>
        <w:t> </w:t>
      </w:r>
      <w:r>
        <w:rPr>
          <w:spacing w:val="-72"/>
        </w:rPr>
      </w:r>
      <w:r>
        <w:rPr>
          <w:spacing w:val="-3"/>
        </w:rPr>
        <w:t>列工作，最终形成了《深信泰丰集团经营发展工作报告》和下属五家子公司《经营管理分析</w:t>
      </w:r>
      <w:r>
        <w:rPr>
          <w:spacing w:val="-73"/>
        </w:rPr>
        <w:t> </w:t>
      </w:r>
      <w:r>
        <w:rPr>
          <w:spacing w:val="-73"/>
        </w:rPr>
      </w:r>
      <w:r>
        <w:rPr>
          <w:spacing w:val="-3"/>
        </w:rPr>
        <w:t>暨发展工作报告》。通过上述工作，下属公司的各项业务运作更加规范，工作氛围也在向好</w:t>
      </w:r>
      <w:r>
        <w:rPr>
          <w:spacing w:val="-75"/>
        </w:rPr>
        <w:t> </w:t>
      </w:r>
      <w:r>
        <w:rPr>
          <w:spacing w:val="-75"/>
        </w:rPr>
      </w:r>
      <w:r>
        <w:rPr/>
        <w:t>的方面转变。</w:t>
      </w:r>
    </w:p>
    <w:p>
      <w:pPr>
        <w:pStyle w:val="BodyText"/>
        <w:spacing w:line="240" w:lineRule="auto" w:before="20"/>
        <w:ind w:left="617" w:right="102"/>
        <w:jc w:val="left"/>
      </w:pPr>
      <w:r>
        <w:rPr>
          <w:rFonts w:ascii="Times New Roman" w:hAnsi="Times New Roman" w:cs="Times New Roman" w:eastAsia="Times New Roman" w:hint="default"/>
        </w:rPr>
        <w:t>6</w:t>
      </w:r>
      <w:r>
        <w:rPr/>
        <w:t>、督促泰丰科技公司将八款新型飞利浦数字电话机成功推向市场</w:t>
      </w:r>
    </w:p>
    <w:p>
      <w:pPr>
        <w:pStyle w:val="BodyText"/>
        <w:spacing w:line="304" w:lineRule="auto" w:before="69"/>
        <w:ind w:left="137" w:right="211" w:firstLine="479"/>
        <w:jc w:val="both"/>
      </w:pPr>
      <w:r>
        <w:rPr/>
        <w:t>经过努力，</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月泰丰科技公司将三大系列八个型号的飞利浦新数字机成功推向 </w:t>
      </w:r>
      <w:r>
        <w:rPr>
          <w:spacing w:val="-3"/>
        </w:rPr>
        <w:t>市场，并获得初步的成效，改变了科技公司多年来没有生产新数字机的历史，进一步巩固和</w:t>
      </w:r>
      <w:r>
        <w:rPr>
          <w:spacing w:val="-72"/>
        </w:rPr>
        <w:t> </w:t>
      </w:r>
      <w:r>
        <w:rPr>
          <w:spacing w:val="-72"/>
        </w:rPr>
      </w:r>
      <w:r>
        <w:rPr/>
        <w:t>深化了与飞利浦的合作关系。</w:t>
      </w:r>
    </w:p>
    <w:p>
      <w:pPr>
        <w:pStyle w:val="BodyText"/>
        <w:spacing w:line="297" w:lineRule="auto" w:before="28"/>
        <w:ind w:left="617" w:right="102"/>
        <w:jc w:val="left"/>
      </w:pPr>
      <w:r>
        <w:rPr>
          <w:rFonts w:ascii="Times New Roman" w:hAnsi="Times New Roman" w:cs="Times New Roman" w:eastAsia="Times New Roman" w:hint="default"/>
        </w:rPr>
        <w:t>7</w:t>
      </w:r>
      <w:r>
        <w:rPr/>
        <w:t>、经过分析论证，制定饲料公司迁建新厂的方案 为保持华宝饲料公司的持续经营，妥善解决搬迁问题，经过近半年的时间，在对各种</w:t>
      </w:r>
    </w:p>
    <w:p>
      <w:pPr>
        <w:pStyle w:val="BodyText"/>
        <w:spacing w:line="314" w:lineRule="auto" w:before="34"/>
        <w:ind w:left="137" w:right="102"/>
        <w:jc w:val="left"/>
      </w:pPr>
      <w:r>
        <w:rPr>
          <w:spacing w:val="-3"/>
        </w:rPr>
        <w:t>可能的方案进行分析、比较和论证的基础上，公司选定了迁建新厂的方案。目前，该方案正</w:t>
      </w:r>
      <w:r>
        <w:rPr>
          <w:spacing w:val="-74"/>
        </w:rPr>
        <w:t> </w:t>
      </w:r>
      <w:r>
        <w:rPr>
          <w:spacing w:val="-74"/>
        </w:rPr>
      </w:r>
      <w:r>
        <w:rPr/>
        <w:t>处于实施阶段。</w:t>
      </w:r>
    </w:p>
    <w:p>
      <w:pPr>
        <w:pStyle w:val="BodyText"/>
        <w:spacing w:line="297" w:lineRule="auto" w:before="20"/>
        <w:ind w:left="557" w:right="107" w:firstLine="60"/>
        <w:jc w:val="left"/>
      </w:pPr>
      <w:r>
        <w:rPr>
          <w:rFonts w:ascii="Times New Roman" w:hAnsi="Times New Roman" w:cs="Times New Roman" w:eastAsia="Times New Roman" w:hint="default"/>
        </w:rPr>
        <w:t>8</w:t>
      </w:r>
      <w:r>
        <w:rPr/>
        <w:t>、积极推进华宝实业公司执行调整方案 受产品结构不合理、出口指标萎缩等因素的影响，华宝实业公司的经营状况日益严峻。</w:t>
      </w:r>
    </w:p>
    <w:p>
      <w:pPr>
        <w:pStyle w:val="BodyText"/>
        <w:spacing w:line="314" w:lineRule="auto" w:before="34"/>
        <w:ind w:left="137" w:right="102"/>
        <w:jc w:val="left"/>
      </w:pPr>
      <w:r>
        <w:rPr>
          <w:spacing w:val="-3"/>
        </w:rPr>
        <w:t>为使其尽快摆脱困境，公司进行了大量调研工作，制定了合理的调整方案并督促其落实，至</w:t>
      </w:r>
      <w:r>
        <w:rPr>
          <w:spacing w:val="-72"/>
        </w:rPr>
        <w:t> </w:t>
      </w:r>
      <w:r>
        <w:rPr>
          <w:spacing w:val="-72"/>
        </w:rPr>
      </w:r>
      <w:r>
        <w:rPr/>
        <w:t>报告期末，实业公司基本完成了该方案的实施工作。</w:t>
      </w:r>
    </w:p>
    <w:p>
      <w:pPr>
        <w:spacing w:line="240" w:lineRule="auto" w:before="0"/>
        <w:rPr>
          <w:rFonts w:ascii="宋体" w:hAnsi="宋体" w:cs="宋体" w:eastAsia="宋体" w:hint="default"/>
          <w:sz w:val="29"/>
          <w:szCs w:val="29"/>
        </w:rPr>
      </w:pPr>
    </w:p>
    <w:p>
      <w:pPr>
        <w:pStyle w:val="Heading3"/>
        <w:spacing w:line="240" w:lineRule="auto"/>
        <w:ind w:right="4727"/>
        <w:jc w:val="left"/>
        <w:rPr>
          <w:b w:val="0"/>
          <w:bCs w:val="0"/>
        </w:rPr>
      </w:pPr>
      <w:r>
        <w:rPr/>
        <w:t>二、对未来发展的展望</w:t>
      </w:r>
      <w:r>
        <w:rPr>
          <w:b w:val="0"/>
          <w:bCs w:val="0"/>
        </w:rPr>
      </w:r>
    </w:p>
    <w:p>
      <w:pPr>
        <w:pStyle w:val="Heading3"/>
        <w:spacing w:line="240" w:lineRule="auto" w:before="85"/>
        <w:ind w:right="102"/>
        <w:jc w:val="left"/>
        <w:rPr>
          <w:b w:val="0"/>
          <w:bCs w:val="0"/>
        </w:rPr>
      </w:pPr>
      <w:r>
        <w:rPr/>
        <w:t>（一）行业发展趋势以及公司面临的市场竞争格局</w:t>
      </w:r>
      <w:r>
        <w:rPr>
          <w:b w:val="0"/>
          <w:bCs w:val="0"/>
        </w:rPr>
      </w:r>
    </w:p>
    <w:p>
      <w:pPr>
        <w:pStyle w:val="BodyText"/>
        <w:spacing w:line="240" w:lineRule="auto" w:before="85"/>
        <w:ind w:left="557" w:right="102"/>
        <w:jc w:val="left"/>
      </w:pPr>
      <w:r>
        <w:rPr>
          <w:rFonts w:ascii="Times New Roman" w:hAnsi="Times New Roman" w:cs="Times New Roman" w:eastAsia="Times New Roman" w:hint="default"/>
        </w:rPr>
        <w:t>1</w:t>
      </w:r>
      <w:r>
        <w:rPr/>
        <w:t>、固定电话整体市场容量逐年萎缩，竞争日趋激烈</w:t>
      </w:r>
    </w:p>
    <w:p>
      <w:pPr>
        <w:pStyle w:val="BodyText"/>
        <w:spacing w:line="302" w:lineRule="auto" w:before="69"/>
        <w:ind w:left="137" w:right="96" w:firstLine="420"/>
        <w:jc w:val="left"/>
      </w:pPr>
      <w:r>
        <w:rPr/>
        <w:t>中国固定电话拥有量在</w:t>
      </w:r>
      <w:r>
        <w:rPr>
          <w:spacing w:val="-46"/>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7"/>
        </w:rPr>
        <w:t> </w:t>
      </w:r>
      <w:r>
        <w:rPr>
          <w:spacing w:val="-4"/>
        </w:rPr>
        <w:t>年达到高峰，而后随着手机的快速推广及普及率不断攀升，</w:t>
      </w:r>
      <w:r>
        <w:rPr/>
        <w:t> 固定电话明显受到冲击，固定电话拥有量以超过</w:t>
      </w:r>
      <w:r>
        <w:rPr>
          <w:spacing w:val="-54"/>
        </w:rPr>
        <w:t> </w:t>
      </w:r>
      <w:r>
        <w:rPr>
          <w:rFonts w:ascii="Times New Roman" w:hAnsi="Times New Roman" w:cs="Times New Roman" w:eastAsia="Times New Roman" w:hint="default"/>
        </w:rPr>
        <w:t>7%</w:t>
      </w:r>
      <w:r>
        <w:rPr/>
        <w:t>的幅度逐年下降，电话机行业的市场竞 </w:t>
      </w:r>
      <w:r>
        <w:rPr>
          <w:spacing w:val="-3"/>
        </w:rPr>
        <w:t>争压力与日俱增。按照固定电话行业目前的发展状况，主流媒体已将电话机列为将逐渐淡出</w:t>
      </w:r>
      <w:r>
        <w:rPr>
          <w:spacing w:val="-75"/>
        </w:rPr>
        <w:t> </w:t>
      </w:r>
      <w:r>
        <w:rPr>
          <w:spacing w:val="-75"/>
        </w:rPr>
      </w:r>
      <w:r>
        <w:rPr/>
        <w:t>历史舞台的十大科技产品之一。</w:t>
      </w:r>
    </w:p>
    <w:p>
      <w:pPr>
        <w:pStyle w:val="BodyText"/>
        <w:spacing w:line="297" w:lineRule="auto" w:before="30"/>
        <w:ind w:left="557" w:right="196"/>
        <w:jc w:val="left"/>
      </w:pPr>
      <w:r>
        <w:rPr>
          <w:rFonts w:ascii="Times New Roman" w:hAnsi="Times New Roman" w:cs="Times New Roman" w:eastAsia="Times New Roman" w:hint="default"/>
        </w:rPr>
        <w:t>2</w:t>
      </w:r>
      <w:r>
        <w:rPr/>
        <w:t>、现阶段饲料行业的并购重组加剧，中小型企业的发展形势严峻，生存空间日益狭小 近</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年来，我国饲料行业发展的总体态势是，大型饲料企业发展稳定，饲料产量稳步</w:t>
      </w:r>
    </w:p>
    <w:p>
      <w:pPr>
        <w:pStyle w:val="BodyText"/>
        <w:spacing w:line="314" w:lineRule="auto" w:before="13"/>
        <w:ind w:left="136" w:right="108"/>
        <w:jc w:val="left"/>
      </w:pPr>
      <w:r>
        <w:rPr/>
        <w:t>增长；中小型企业的发展形势极不稳定，受市场环境的影响较大，无法有效抵御市场风险。 目前，饲料产业进入到行业并购重组的关键时期，中小型企业的生存空间日益狭小。</w:t>
      </w:r>
    </w:p>
    <w:p>
      <w:pPr>
        <w:spacing w:line="314" w:lineRule="auto" w:before="20"/>
        <w:ind w:left="556" w:right="102" w:firstLine="2"/>
        <w:jc w:val="left"/>
        <w:rPr>
          <w:rFonts w:ascii="宋体" w:hAnsi="宋体" w:cs="宋体" w:eastAsia="宋体" w:hint="default"/>
          <w:sz w:val="21"/>
          <w:szCs w:val="21"/>
        </w:rPr>
      </w:pPr>
      <w:r>
        <w:rPr>
          <w:rFonts w:ascii="宋体" w:hAnsi="宋体" w:cs="宋体" w:eastAsia="宋体" w:hint="default"/>
          <w:b/>
          <w:bCs/>
          <w:sz w:val="21"/>
          <w:szCs w:val="21"/>
        </w:rPr>
        <w:t>（二）公司面临的挑战</w:t>
      </w:r>
      <w:r>
        <w:rPr>
          <w:rFonts w:ascii="宋体" w:hAnsi="宋体" w:cs="宋体" w:eastAsia="宋体" w:hint="default"/>
          <w:b/>
          <w:bCs/>
          <w:w w:val="99"/>
          <w:sz w:val="21"/>
          <w:szCs w:val="21"/>
        </w:rPr>
        <w:t> </w:t>
      </w:r>
      <w:r>
        <w:rPr>
          <w:rFonts w:ascii="宋体" w:hAnsi="宋体" w:cs="宋体" w:eastAsia="宋体" w:hint="default"/>
          <w:spacing w:val="-3"/>
          <w:sz w:val="21"/>
          <w:szCs w:val="21"/>
        </w:rPr>
        <w:t>公司现有产业规模小，盈利能力弱，抗风险能力差；主要产品的技术含量不高，附加值</w:t>
      </w:r>
    </w:p>
    <w:p>
      <w:pPr>
        <w:pStyle w:val="BodyText"/>
        <w:spacing w:line="240" w:lineRule="auto" w:before="20"/>
        <w:ind w:left="136" w:right="102"/>
        <w:jc w:val="left"/>
      </w:pPr>
      <w:r>
        <w:rPr/>
        <w:t>低；研发能力有待提高，缺乏核心竞争力。</w:t>
      </w:r>
    </w:p>
    <w:p>
      <w:pPr>
        <w:spacing w:after="0" w:line="240" w:lineRule="auto"/>
        <w:jc w:val="left"/>
        <w:sectPr>
          <w:pgSz w:w="11910" w:h="16840"/>
          <w:pgMar w:header="877" w:footer="975" w:top="1100" w:bottom="1160" w:left="1660" w:right="1580"/>
        </w:sectPr>
      </w:pPr>
    </w:p>
    <w:p>
      <w:pPr>
        <w:spacing w:line="240" w:lineRule="auto" w:before="6"/>
        <w:rPr>
          <w:rFonts w:ascii="宋体" w:hAnsi="宋体" w:cs="宋体" w:eastAsia="宋体" w:hint="default"/>
          <w:sz w:val="25"/>
          <w:szCs w:val="25"/>
        </w:rPr>
      </w:pPr>
    </w:p>
    <w:p>
      <w:pPr>
        <w:pStyle w:val="BodyText"/>
        <w:spacing w:line="297" w:lineRule="auto" w:before="35"/>
        <w:ind w:left="137" w:right="96" w:firstLine="419"/>
        <w:jc w:val="left"/>
      </w:pPr>
      <w:r>
        <w:rPr>
          <w:rFonts w:ascii="Times New Roman" w:hAnsi="Times New Roman" w:cs="Times New Roman" w:eastAsia="Times New Roman" w:hint="default"/>
        </w:rPr>
        <w:t>1</w:t>
      </w:r>
      <w:r>
        <w:rPr/>
        <w:t>、公司</w:t>
      </w:r>
      <w:r>
        <w:rPr>
          <w:spacing w:val="1"/>
        </w:rPr>
        <w:t>电话</w:t>
      </w:r>
      <w:r>
        <w:rPr/>
        <w:t>机产业</w:t>
      </w:r>
      <w:r>
        <w:rPr>
          <w:spacing w:val="1"/>
        </w:rPr>
        <w:t>目前</w:t>
      </w:r>
      <w:r>
        <w:rPr/>
        <w:t>面临的</w:t>
      </w:r>
      <w:r>
        <w:rPr>
          <w:spacing w:val="1"/>
        </w:rPr>
        <w:t>挑战</w:t>
      </w:r>
      <w:r>
        <w:rPr/>
        <w:t>主要是</w:t>
      </w:r>
      <w:r>
        <w:rPr>
          <w:spacing w:val="-105"/>
        </w:rPr>
        <w:t>：</w:t>
      </w:r>
      <w:r>
        <w:rPr/>
        <w:t>（</w:t>
      </w:r>
      <w:r>
        <w:rPr>
          <w:rFonts w:ascii="Times New Roman" w:hAnsi="Times New Roman" w:cs="Times New Roman" w:eastAsia="Times New Roman" w:hint="default"/>
          <w:spacing w:val="1"/>
        </w:rPr>
        <w:t>1</w:t>
      </w:r>
      <w:r>
        <w:rPr/>
        <w:t>）产业</w:t>
      </w:r>
      <w:r>
        <w:rPr>
          <w:spacing w:val="1"/>
        </w:rPr>
        <w:t>基础</w:t>
      </w:r>
      <w:r>
        <w:rPr/>
        <w:t>薄弱、</w:t>
      </w:r>
      <w:r>
        <w:rPr>
          <w:spacing w:val="1"/>
        </w:rPr>
        <w:t>规模</w:t>
      </w:r>
      <w:r>
        <w:rPr/>
        <w:t>较小</w:t>
      </w:r>
      <w:r>
        <w:rPr>
          <w:spacing w:val="-105"/>
        </w:rPr>
        <w:t>；</w:t>
      </w:r>
      <w:r>
        <w:rPr/>
        <w:t>（</w:t>
      </w:r>
      <w:r>
        <w:rPr>
          <w:rFonts w:ascii="Times New Roman" w:hAnsi="Times New Roman" w:cs="Times New Roman" w:eastAsia="Times New Roman" w:hint="default"/>
        </w:rPr>
        <w:t>2</w:t>
      </w:r>
      <w:r>
        <w:rPr>
          <w:spacing w:val="1"/>
        </w:rPr>
        <w:t>）</w:t>
      </w:r>
      <w:r>
        <w:rPr>
          <w:spacing w:val="-1"/>
        </w:rPr>
        <w:t>研</w:t>
      </w:r>
      <w:r>
        <w:rPr/>
        <w:t>发</w:t>
      </w:r>
      <w:r>
        <w:rPr/>
        <w:t> 能力严重不足</w:t>
      </w:r>
      <w:r>
        <w:rPr>
          <w:spacing w:val="-137"/>
        </w:rPr>
        <w:t>；</w:t>
      </w:r>
      <w:r>
        <w:rPr/>
        <w:t>（</w:t>
      </w:r>
      <w:r>
        <w:rPr>
          <w:rFonts w:ascii="Times New Roman" w:hAnsi="Times New Roman" w:cs="Times New Roman" w:eastAsia="Times New Roman" w:hint="default"/>
        </w:rPr>
        <w:t>3</w:t>
      </w:r>
      <w:r>
        <w:rPr>
          <w:spacing w:val="-33"/>
        </w:rPr>
        <w:t>）</w:t>
      </w:r>
      <w:r>
        <w:rPr/>
        <w:t>设</w:t>
      </w:r>
      <w:r>
        <w:rPr>
          <w:spacing w:val="-2"/>
        </w:rPr>
        <w:t>备</w:t>
      </w:r>
      <w:r>
        <w:rPr/>
        <w:t>陈旧老化</w:t>
      </w:r>
      <w:r>
        <w:rPr>
          <w:spacing w:val="-33"/>
        </w:rPr>
        <w:t>，</w:t>
      </w:r>
      <w:r>
        <w:rPr/>
        <w:t>亟待更新</w:t>
      </w:r>
      <w:r>
        <w:rPr>
          <w:spacing w:val="-137"/>
        </w:rPr>
        <w:t>；</w:t>
      </w:r>
      <w:r>
        <w:rPr/>
        <w:t>（</w:t>
      </w:r>
      <w:r>
        <w:rPr>
          <w:rFonts w:ascii="Times New Roman" w:hAnsi="Times New Roman" w:cs="Times New Roman" w:eastAsia="Times New Roman" w:hint="default"/>
        </w:rPr>
        <w:t>4</w:t>
      </w:r>
      <w:r>
        <w:rPr>
          <w:spacing w:val="-34"/>
        </w:rPr>
        <w:t>）</w:t>
      </w:r>
      <w:r>
        <w:rPr/>
        <w:t>生产成本居高不下</w:t>
      </w:r>
      <w:r>
        <w:rPr>
          <w:spacing w:val="-33"/>
        </w:rPr>
        <w:t>，</w:t>
      </w:r>
      <w:r>
        <w:rPr/>
        <w:t>管理水平亟待提高。</w:t>
      </w:r>
    </w:p>
    <w:p>
      <w:pPr>
        <w:pStyle w:val="BodyText"/>
        <w:spacing w:line="297" w:lineRule="auto" w:before="13"/>
        <w:ind w:left="137" w:right="124" w:firstLine="420"/>
        <w:jc w:val="both"/>
      </w:pPr>
      <w:r>
        <w:rPr>
          <w:rFonts w:ascii="Times New Roman" w:hAnsi="Times New Roman" w:cs="Times New Roman" w:eastAsia="Times New Roman" w:hint="default"/>
        </w:rPr>
        <w:t>2</w:t>
      </w:r>
      <w:r>
        <w:rPr/>
        <w:t>、饲料</w:t>
      </w:r>
      <w:r>
        <w:rPr>
          <w:spacing w:val="1"/>
        </w:rPr>
        <w:t>产业</w:t>
      </w:r>
      <w:r>
        <w:rPr/>
        <w:t>面临的</w:t>
      </w:r>
      <w:r>
        <w:rPr>
          <w:spacing w:val="1"/>
        </w:rPr>
        <w:t>挑战</w:t>
      </w:r>
      <w:r>
        <w:rPr/>
        <w:t>主要有</w:t>
      </w:r>
      <w:r>
        <w:rPr>
          <w:spacing w:val="-105"/>
        </w:rPr>
        <w:t>：</w:t>
      </w:r>
      <w:r>
        <w:rPr/>
        <w:t>（</w:t>
      </w:r>
      <w:r>
        <w:rPr>
          <w:rFonts w:ascii="Times New Roman" w:hAnsi="Times New Roman" w:cs="Times New Roman" w:eastAsia="Times New Roman" w:hint="default"/>
          <w:spacing w:val="1"/>
        </w:rPr>
        <w:t>1</w:t>
      </w:r>
      <w:r>
        <w:rPr/>
        <w:t>）宏观</w:t>
      </w:r>
      <w:r>
        <w:rPr>
          <w:spacing w:val="1"/>
        </w:rPr>
        <w:t>上中</w:t>
      </w:r>
      <w:r>
        <w:rPr/>
        <w:t>小型饲</w:t>
      </w:r>
      <w:r>
        <w:rPr>
          <w:spacing w:val="1"/>
        </w:rPr>
        <w:t>料企</w:t>
      </w:r>
      <w:r>
        <w:rPr/>
        <w:t>业的发</w:t>
      </w:r>
      <w:r>
        <w:rPr>
          <w:spacing w:val="1"/>
        </w:rPr>
        <w:t>展形</w:t>
      </w:r>
      <w:r>
        <w:rPr/>
        <w:t>势极不</w:t>
      </w:r>
      <w:r>
        <w:rPr>
          <w:spacing w:val="1"/>
        </w:rPr>
        <w:t>稳定</w:t>
      </w:r>
      <w:r>
        <w:rPr/>
        <w:t>，生</w:t>
      </w:r>
      <w:r>
        <w:rPr/>
        <w:t> 存空间日益狭小</w:t>
      </w:r>
      <w:r>
        <w:rPr>
          <w:spacing w:val="-134"/>
        </w:rPr>
        <w:t>；</w:t>
      </w:r>
      <w:r>
        <w:rPr/>
        <w:t>（</w:t>
      </w:r>
      <w:r>
        <w:rPr>
          <w:rFonts w:ascii="Times New Roman" w:hAnsi="Times New Roman" w:cs="Times New Roman" w:eastAsia="Times New Roman" w:hint="default"/>
          <w:spacing w:val="-1"/>
        </w:rPr>
        <w:t>2</w:t>
      </w:r>
      <w:r>
        <w:rPr>
          <w:spacing w:val="-29"/>
        </w:rPr>
        <w:t>）</w:t>
      </w:r>
      <w:r>
        <w:rPr>
          <w:spacing w:val="-2"/>
        </w:rPr>
        <w:t>微</w:t>
      </w:r>
      <w:r>
        <w:rPr/>
        <w:t>观上公司下属的饲料公司采购成本亟待降低</w:t>
      </w:r>
      <w:r>
        <w:rPr>
          <w:spacing w:val="-29"/>
        </w:rPr>
        <w:t>、</w:t>
      </w:r>
      <w:r>
        <w:rPr/>
        <w:t>市场开拓能力亟待加</w:t>
      </w:r>
      <w:r>
        <w:rPr/>
        <w:t> 强、市场规模亟需扩大、产品结构有待优化、盈利能力有待增强</w:t>
      </w:r>
      <w:r>
        <w:rPr>
          <w:spacing w:val="-105"/>
        </w:rPr>
        <w:t>；</w:t>
      </w:r>
      <w:r>
        <w:rPr/>
        <w:t>（</w:t>
      </w:r>
      <w:r>
        <w:rPr>
          <w:rFonts w:ascii="Times New Roman" w:hAnsi="Times New Roman" w:cs="Times New Roman" w:eastAsia="Times New Roman" w:hint="default"/>
          <w:spacing w:val="-1"/>
        </w:rPr>
        <w:t>3</w:t>
      </w:r>
      <w:r>
        <w:rPr/>
        <w:t>）现有厂区需要搬迁；</w:t>
      </w:r>
    </w:p>
    <w:p>
      <w:pPr>
        <w:pStyle w:val="BodyText"/>
        <w:spacing w:line="240" w:lineRule="auto" w:before="13"/>
        <w:ind w:left="137" w:right="0"/>
        <w:jc w:val="both"/>
      </w:pPr>
      <w:r>
        <w:rPr/>
        <w:t>（</w:t>
      </w:r>
      <w:r>
        <w:rPr>
          <w:rFonts w:ascii="Times New Roman" w:hAnsi="Times New Roman" w:cs="Times New Roman" w:eastAsia="Times New Roman" w:hint="default"/>
        </w:rPr>
        <w:t>4</w:t>
      </w:r>
      <w:r>
        <w:rPr/>
        <w:t>）生产设备使用</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年，严重老化，急需更新。</w:t>
      </w:r>
    </w:p>
    <w:p>
      <w:pPr>
        <w:pStyle w:val="Heading3"/>
        <w:spacing w:line="240" w:lineRule="auto" w:before="69"/>
        <w:ind w:right="4727"/>
        <w:jc w:val="left"/>
        <w:rPr>
          <w:b w:val="0"/>
          <w:bCs w:val="0"/>
        </w:rPr>
      </w:pPr>
      <w:r>
        <w:rPr/>
        <w:t>（三）新年度的经营计划</w:t>
      </w:r>
      <w:r>
        <w:rPr>
          <w:b w:val="0"/>
          <w:bCs w:val="0"/>
        </w:rPr>
      </w:r>
    </w:p>
    <w:p>
      <w:pPr>
        <w:pStyle w:val="BodyText"/>
        <w:spacing w:line="297" w:lineRule="auto" w:before="85"/>
        <w:ind w:left="137" w:right="102" w:firstLine="470"/>
        <w:jc w:val="left"/>
      </w:pPr>
      <w:r>
        <w:rPr>
          <w:rFonts w:ascii="Times New Roman" w:hAnsi="Times New Roman" w:cs="Times New Roman" w:eastAsia="Times New Roman" w:hint="default"/>
        </w:rPr>
        <w:t>2011 </w:t>
      </w:r>
      <w:r>
        <w:rPr/>
        <w:t>年，公司仍将以现有产业为基础谋求发展，计划实现主营业务收入 </w:t>
      </w:r>
      <w:r>
        <w:rPr>
          <w:rFonts w:ascii="Times New Roman" w:hAnsi="Times New Roman" w:cs="Times New Roman" w:eastAsia="Times New Roman" w:hint="default"/>
        </w:rPr>
        <w:t>44,000</w:t>
      </w:r>
      <w:r>
        <w:rPr>
          <w:rFonts w:ascii="Times New Roman" w:hAnsi="Times New Roman" w:cs="Times New Roman" w:eastAsia="Times New Roman" w:hint="default"/>
          <w:spacing w:val="11"/>
        </w:rPr>
        <w:t> </w:t>
      </w:r>
      <w:r>
        <w:rPr/>
        <w:t>万元</w:t>
      </w:r>
      <w:r>
        <w:rPr>
          <w:rFonts w:ascii="Times New Roman" w:hAnsi="Times New Roman" w:cs="Times New Roman" w:eastAsia="Times New Roman" w:hint="default"/>
        </w:rPr>
        <w:t>, </w:t>
      </w:r>
      <w:r>
        <w:rPr/>
        <w:t>比</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年增长约</w:t>
      </w:r>
      <w:r>
        <w:rPr>
          <w:spacing w:val="-56"/>
        </w:rPr>
        <w:t> </w:t>
      </w:r>
      <w:r>
        <w:rPr>
          <w:rFonts w:ascii="Times New Roman" w:hAnsi="Times New Roman" w:cs="Times New Roman" w:eastAsia="Times New Roman" w:hint="default"/>
        </w:rPr>
        <w:t>10%</w:t>
      </w:r>
      <w:r>
        <w:rPr/>
        <w:t>。为此，将主要做好如下经营工作：</w:t>
      </w:r>
    </w:p>
    <w:p>
      <w:pPr>
        <w:pStyle w:val="BodyText"/>
        <w:spacing w:line="297" w:lineRule="auto" w:before="13"/>
        <w:ind w:left="137" w:right="162" w:firstLine="470"/>
        <w:jc w:val="left"/>
      </w:pPr>
      <w:r>
        <w:rPr>
          <w:rFonts w:ascii="Times New Roman" w:hAnsi="Times New Roman" w:cs="Times New Roman" w:eastAsia="Times New Roman" w:hint="default"/>
        </w:rPr>
        <w:t>1</w:t>
      </w:r>
      <w:r>
        <w:rPr/>
        <w:t>、大力推进公司内部控制规范制度建设工作，完善风险防控体系，实施精细化管理， 进一步提升公司的经营管理水平。</w:t>
      </w:r>
    </w:p>
    <w:p>
      <w:pPr>
        <w:pStyle w:val="BodyText"/>
        <w:spacing w:line="328" w:lineRule="auto" w:before="67"/>
        <w:ind w:left="137" w:right="102" w:firstLine="480"/>
        <w:jc w:val="left"/>
      </w:pPr>
      <w:r>
        <w:rPr>
          <w:rFonts w:ascii="Times New Roman" w:hAnsi="Times New Roman" w:cs="Times New Roman" w:eastAsia="Times New Roman" w:hint="default"/>
          <w:spacing w:val="-2"/>
        </w:rPr>
        <w:t>2</w:t>
      </w:r>
      <w:r>
        <w:rPr>
          <w:spacing w:val="-2"/>
        </w:rPr>
        <w:t>、采取多种措施降低电话机和饲料产业的原材料采购成本，力争进一步提高竞争能力</w:t>
      </w:r>
      <w:r>
        <w:rPr/>
        <w:t> 和盈利能力。</w:t>
      </w:r>
    </w:p>
    <w:p>
      <w:pPr>
        <w:pStyle w:val="BodyText"/>
        <w:spacing w:line="297" w:lineRule="auto" w:before="16"/>
        <w:ind w:left="137" w:right="200" w:firstLine="470"/>
        <w:jc w:val="left"/>
      </w:pPr>
      <w:r>
        <w:rPr>
          <w:rFonts w:ascii="Times New Roman" w:hAnsi="Times New Roman" w:cs="Times New Roman" w:eastAsia="Times New Roman" w:hint="default"/>
          <w:spacing w:val="-1"/>
        </w:rPr>
        <w:t>3</w:t>
      </w:r>
      <w:r>
        <w:rPr>
          <w:spacing w:val="-1"/>
        </w:rPr>
        <w:t>、做好下属公司的设备更新改造工作，进一步提高产品质量，扩大市场占有率；尽快</w:t>
      </w:r>
      <w:r>
        <w:rPr/>
        <w:t> 提高研究与开发能力，保持对高新技术的追踪能力，加大对新产品研制与开发的力度。</w:t>
      </w:r>
    </w:p>
    <w:p>
      <w:pPr>
        <w:pStyle w:val="BodyText"/>
        <w:spacing w:line="240" w:lineRule="auto" w:before="34"/>
        <w:ind w:left="607" w:right="4727"/>
        <w:jc w:val="left"/>
      </w:pPr>
      <w:r>
        <w:rPr>
          <w:rFonts w:ascii="Times New Roman" w:hAnsi="Times New Roman" w:cs="Times New Roman" w:eastAsia="Times New Roman" w:hint="default"/>
        </w:rPr>
        <w:t>4</w:t>
      </w:r>
      <w:r>
        <w:rPr/>
        <w:t>、做好惠州饲料厂的建设工作。</w:t>
      </w:r>
    </w:p>
    <w:p>
      <w:pPr>
        <w:pStyle w:val="BodyText"/>
        <w:spacing w:line="297" w:lineRule="auto" w:before="69"/>
        <w:ind w:left="137" w:right="200" w:firstLine="470"/>
        <w:jc w:val="left"/>
      </w:pPr>
      <w:r>
        <w:rPr>
          <w:rFonts w:ascii="Times New Roman" w:hAnsi="Times New Roman" w:cs="Times New Roman" w:eastAsia="Times New Roman" w:hint="default"/>
          <w:spacing w:val="-1"/>
        </w:rPr>
        <w:t>5</w:t>
      </w:r>
      <w:r>
        <w:rPr>
          <w:spacing w:val="-1"/>
        </w:rPr>
        <w:t>、做好新项目的调研、筛选等工作，力求尽早实现新的业务突破，早日摆脱资产规模</w:t>
      </w:r>
      <w:r>
        <w:rPr/>
        <w:t> 严重偏小，市场竞争能力严重不足的不利局面。</w:t>
      </w:r>
    </w:p>
    <w:p>
      <w:pPr>
        <w:pStyle w:val="Heading3"/>
        <w:spacing w:line="240" w:lineRule="auto" w:before="34"/>
        <w:ind w:left="609" w:right="4727"/>
        <w:jc w:val="left"/>
        <w:rPr>
          <w:b w:val="0"/>
          <w:bCs w:val="0"/>
        </w:rPr>
      </w:pPr>
      <w:r>
        <w:rPr/>
        <w:t>（四）公司面临的风险因素及对策</w:t>
      </w:r>
      <w:r>
        <w:rPr>
          <w:b w:val="0"/>
          <w:bCs w:val="0"/>
        </w:rPr>
      </w:r>
    </w:p>
    <w:p>
      <w:pPr>
        <w:pStyle w:val="BodyText"/>
        <w:spacing w:line="297" w:lineRule="auto" w:before="85"/>
        <w:ind w:left="557" w:right="102"/>
        <w:jc w:val="left"/>
      </w:pPr>
      <w:r>
        <w:rPr>
          <w:rFonts w:ascii="Times New Roman" w:hAnsi="Times New Roman" w:cs="Times New Roman" w:eastAsia="Times New Roman" w:hint="default"/>
        </w:rPr>
        <w:t>1</w:t>
      </w:r>
      <w:r>
        <w:rPr/>
        <w:t>、公司主要的风险因素 </w:t>
      </w:r>
      <w:r>
        <w:rPr>
          <w:spacing w:val="-3"/>
        </w:rPr>
        <w:t>目前，固定电话的客户拥有量逐年下降，电话机的行业风险日趋加大，公司该类业务对</w:t>
      </w:r>
    </w:p>
    <w:p>
      <w:pPr>
        <w:pStyle w:val="BodyText"/>
        <w:spacing w:line="314" w:lineRule="auto" w:before="34"/>
        <w:ind w:left="137" w:right="212"/>
        <w:jc w:val="both"/>
      </w:pPr>
      <w:r>
        <w:rPr>
          <w:spacing w:val="-3"/>
        </w:rPr>
        <w:t>单一产品的依赖度过大；其次，公司饲料产业规模较小，抗击市场风险的能力亟待提高。与</w:t>
      </w:r>
      <w:r>
        <w:rPr>
          <w:spacing w:val="-75"/>
        </w:rPr>
        <w:t> </w:t>
      </w:r>
      <w:r>
        <w:rPr>
          <w:spacing w:val="-75"/>
        </w:rPr>
      </w:r>
      <w:r>
        <w:rPr>
          <w:spacing w:val="-3"/>
        </w:rPr>
        <w:t>同行相比，公司电话机及饲料产业在经营规模、盈利能力、竞争能力等方面均存在着较大差</w:t>
      </w:r>
      <w:r>
        <w:rPr>
          <w:spacing w:val="-74"/>
        </w:rPr>
        <w:t> </w:t>
      </w:r>
      <w:r>
        <w:rPr>
          <w:spacing w:val="-74"/>
        </w:rPr>
      </w:r>
      <w:r>
        <w:rPr/>
        <w:t>距，积聚了较大的经营风险。</w:t>
      </w:r>
    </w:p>
    <w:p>
      <w:pPr>
        <w:pStyle w:val="BodyText"/>
        <w:spacing w:line="240" w:lineRule="auto" w:before="20"/>
        <w:ind w:left="557" w:right="4727"/>
        <w:jc w:val="left"/>
      </w:pPr>
      <w:r>
        <w:rPr>
          <w:rFonts w:ascii="Times New Roman" w:hAnsi="Times New Roman" w:cs="Times New Roman" w:eastAsia="Times New Roman" w:hint="default"/>
        </w:rPr>
        <w:t>2</w:t>
      </w:r>
      <w:r>
        <w:rPr/>
        <w:t>、所面临风险的解决对策</w:t>
      </w:r>
    </w:p>
    <w:p>
      <w:pPr>
        <w:pStyle w:val="BodyText"/>
        <w:spacing w:line="240" w:lineRule="auto" w:before="69"/>
        <w:ind w:left="557" w:right="102"/>
        <w:jc w:val="left"/>
      </w:pPr>
      <w:r>
        <w:rPr/>
        <w:t>公司在</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年拟采取的解决对策主要有：</w:t>
      </w:r>
    </w:p>
    <w:p>
      <w:pPr>
        <w:pStyle w:val="BodyText"/>
        <w:spacing w:line="297" w:lineRule="auto" w:before="69"/>
        <w:ind w:left="137" w:right="102" w:firstLine="420"/>
        <w:jc w:val="left"/>
      </w:pPr>
      <w:r>
        <w:rPr/>
        <w:t>（</w:t>
      </w:r>
      <w:r>
        <w:rPr>
          <w:rFonts w:ascii="Times New Roman" w:hAnsi="Times New Roman" w:cs="Times New Roman" w:eastAsia="Times New Roman" w:hint="default"/>
        </w:rPr>
        <w:t>1</w:t>
      </w:r>
      <w:r>
        <w:rPr/>
        <w:t>）深入细致地完善公司生产、经营、管理等环节的关键节点控制，完善内控制度体 系建设，进一步降低采购成本，降低管理风险，提高企业的盈利能力和竞争能力。</w:t>
      </w:r>
    </w:p>
    <w:p>
      <w:pPr>
        <w:pStyle w:val="BodyText"/>
        <w:spacing w:line="297" w:lineRule="auto" w:before="34"/>
        <w:ind w:left="137" w:right="102" w:firstLine="420"/>
        <w:jc w:val="left"/>
      </w:pPr>
      <w:r>
        <w:rPr>
          <w:spacing w:val="-3"/>
        </w:rPr>
        <w:t>（</w:t>
      </w:r>
      <w:r>
        <w:rPr>
          <w:rFonts w:ascii="Times New Roman" w:hAnsi="Times New Roman" w:cs="Times New Roman" w:eastAsia="Times New Roman" w:hint="default"/>
          <w:spacing w:val="-3"/>
        </w:rPr>
        <w:t>2</w:t>
      </w:r>
      <w:r>
        <w:rPr>
          <w:spacing w:val="-3"/>
        </w:rPr>
        <w:t>）电话机产业要加快设备的更新改造工作，加大对自有品牌产品的投资和销售力度，</w:t>
      </w:r>
      <w:r>
        <w:rPr/>
        <w:t> 培育核心竞争能力，降低对单一产品的依赖度。</w:t>
      </w:r>
    </w:p>
    <w:p>
      <w:pPr>
        <w:pStyle w:val="BodyText"/>
        <w:spacing w:line="297" w:lineRule="auto" w:before="34"/>
        <w:ind w:left="137" w:right="102" w:firstLine="420"/>
        <w:jc w:val="left"/>
      </w:pPr>
      <w:r>
        <w:rPr/>
        <w:t>（</w:t>
      </w:r>
      <w:r>
        <w:rPr>
          <w:rFonts w:ascii="Times New Roman" w:hAnsi="Times New Roman" w:cs="Times New Roman" w:eastAsia="Times New Roman" w:hint="default"/>
        </w:rPr>
        <w:t>3</w:t>
      </w:r>
      <w:r>
        <w:rPr/>
        <w:t>）加强新产品的研制和开发力度，同时，探索新的产业发展方向，寻求新的利润增 长点。</w:t>
      </w:r>
    </w:p>
    <w:p>
      <w:pPr>
        <w:spacing w:line="240" w:lineRule="auto" w:before="0"/>
        <w:rPr>
          <w:rFonts w:ascii="宋体" w:hAnsi="宋体" w:cs="宋体" w:eastAsia="宋体" w:hint="default"/>
          <w:sz w:val="20"/>
          <w:szCs w:val="20"/>
        </w:rPr>
      </w:pPr>
    </w:p>
    <w:p>
      <w:pPr>
        <w:pStyle w:val="Heading3"/>
        <w:spacing w:line="240" w:lineRule="auto" w:before="133"/>
        <w:ind w:right="4727"/>
        <w:jc w:val="left"/>
        <w:rPr>
          <w:b w:val="0"/>
          <w:bCs w:val="0"/>
        </w:rPr>
      </w:pPr>
      <w:r>
        <w:rPr/>
        <w:t>三、公司的投资情况</w:t>
      </w:r>
      <w:r>
        <w:rPr>
          <w:b w:val="0"/>
          <w:bCs w:val="0"/>
        </w:rPr>
      </w:r>
    </w:p>
    <w:p>
      <w:pPr>
        <w:pStyle w:val="BodyText"/>
        <w:spacing w:line="314" w:lineRule="auto" w:before="85"/>
        <w:ind w:left="136" w:right="102" w:firstLine="420"/>
        <w:jc w:val="left"/>
      </w:pPr>
      <w:r>
        <w:rPr>
          <w:spacing w:val="-3"/>
        </w:rPr>
        <w:t>（一）报告期内，公司无募集资金，也没有报告期之前募集资金的使用延续到报告期内</w:t>
      </w:r>
      <w:r>
        <w:rPr/>
        <w:t> 的情形。</w:t>
      </w:r>
    </w:p>
    <w:p>
      <w:pPr>
        <w:pStyle w:val="BodyText"/>
        <w:spacing w:line="240" w:lineRule="auto" w:before="20"/>
        <w:ind w:left="556" w:right="102"/>
        <w:jc w:val="left"/>
      </w:pPr>
      <w:r>
        <w:rPr/>
        <w:t>（二）报告期内，公司已拟订但尚需在新年度实施的重大投资项目情况如下：</w:t>
      </w:r>
    </w:p>
    <w:p>
      <w:pPr>
        <w:pStyle w:val="BodyText"/>
        <w:spacing w:line="240" w:lineRule="auto" w:before="85"/>
        <w:ind w:left="556" w:right="102"/>
        <w:jc w:val="left"/>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22</w:t>
      </w:r>
      <w:r>
        <w:rPr>
          <w:spacing w:val="-3"/>
        </w:rPr>
        <w:t>日，公司六届十次董事会审议通过，决定由公司下属的华宝饲料公司在惠</w:t>
      </w:r>
    </w:p>
    <w:p>
      <w:pPr>
        <w:spacing w:after="0" w:line="240" w:lineRule="auto"/>
        <w:jc w:val="left"/>
        <w:sectPr>
          <w:pgSz w:w="11910" w:h="16840"/>
          <w:pgMar w:header="877" w:footer="975" w:top="1100" w:bottom="1160" w:left="1660" w:right="1580"/>
        </w:sectPr>
      </w:pPr>
    </w:p>
    <w:p>
      <w:pPr>
        <w:spacing w:line="240" w:lineRule="auto" w:before="6"/>
        <w:rPr>
          <w:rFonts w:ascii="宋体" w:hAnsi="宋体" w:cs="宋体" w:eastAsia="宋体" w:hint="default"/>
          <w:sz w:val="25"/>
          <w:szCs w:val="25"/>
        </w:rPr>
      </w:pPr>
    </w:p>
    <w:p>
      <w:pPr>
        <w:pStyle w:val="BodyText"/>
        <w:spacing w:line="297" w:lineRule="auto" w:before="35"/>
        <w:ind w:left="137" w:right="213"/>
        <w:jc w:val="both"/>
      </w:pPr>
      <w:r>
        <w:rPr>
          <w:spacing w:val="-4"/>
        </w:rPr>
        <w:t>州镇隆镇投资设立惠州市华宝饲料有限公司（注册资金为</w:t>
      </w:r>
      <w:r>
        <w:rPr>
          <w:rFonts w:ascii="Times New Roman" w:hAnsi="Times New Roman" w:cs="Times New Roman" w:eastAsia="Times New Roman" w:hint="default"/>
          <w:spacing w:val="-4"/>
        </w:rPr>
        <w:t>1,000</w:t>
      </w:r>
      <w:r>
        <w:rPr>
          <w:spacing w:val="-4"/>
        </w:rPr>
        <w:t>万元），并投资建设新的饲料</w:t>
      </w:r>
      <w:r>
        <w:rPr>
          <w:spacing w:val="-79"/>
        </w:rPr>
        <w:t> </w:t>
      </w:r>
      <w:r>
        <w:rPr>
          <w:spacing w:val="-79"/>
        </w:rPr>
      </w:r>
      <w:r>
        <w:rPr/>
        <w:t>厂。新饲料厂年产</w:t>
      </w:r>
      <w:r>
        <w:rPr>
          <w:rFonts w:ascii="Times New Roman" w:hAnsi="Times New Roman" w:cs="Times New Roman" w:eastAsia="Times New Roman" w:hint="default"/>
        </w:rPr>
        <w:t>12</w:t>
      </w:r>
      <w:r>
        <w:rPr/>
        <w:t>万吨全价饲料、</w:t>
      </w:r>
      <w:r>
        <w:rPr>
          <w:rFonts w:ascii="Times New Roman" w:hAnsi="Times New Roman" w:cs="Times New Roman" w:eastAsia="Times New Roman" w:hint="default"/>
        </w:rPr>
        <w:t>1</w:t>
      </w:r>
      <w:r>
        <w:rPr/>
        <w:t>万吨预混合饲料，项目用地面积为</w:t>
      </w:r>
      <w:r>
        <w:rPr>
          <w:rFonts w:ascii="Times New Roman" w:hAnsi="Times New Roman" w:cs="Times New Roman" w:eastAsia="Times New Roman" w:hint="default"/>
        </w:rPr>
        <w:t>15,758</w:t>
      </w:r>
      <w:r>
        <w:rPr/>
        <w:t>平方米，该 项目总投资</w:t>
      </w:r>
      <w:r>
        <w:rPr>
          <w:rFonts w:ascii="Times New Roman" w:hAnsi="Times New Roman" w:cs="Times New Roman" w:eastAsia="Times New Roman" w:hint="default"/>
        </w:rPr>
        <w:t>3,961.09</w:t>
      </w:r>
      <w:r>
        <w:rPr/>
        <w:t>万元，其中固定资产投资为</w:t>
      </w:r>
      <w:r>
        <w:rPr>
          <w:rFonts w:ascii="Times New Roman" w:hAnsi="Times New Roman" w:cs="Times New Roman" w:eastAsia="Times New Roman" w:hint="default"/>
        </w:rPr>
        <w:t>2,161.09</w:t>
      </w:r>
      <w:r>
        <w:rPr/>
        <w:t>万元。</w:t>
      </w:r>
    </w:p>
    <w:p>
      <w:pPr>
        <w:pStyle w:val="BodyText"/>
        <w:spacing w:line="304" w:lineRule="auto" w:before="13"/>
        <w:ind w:left="137" w:right="102" w:firstLine="420"/>
        <w:jc w:val="left"/>
      </w:pPr>
      <w:r>
        <w:rPr/>
        <w:t>（三）</w:t>
      </w:r>
      <w:r>
        <w:rPr>
          <w:rFonts w:ascii="Times New Roman" w:hAnsi="Times New Roman" w:cs="Times New Roman" w:eastAsia="Times New Roman" w:hint="default"/>
        </w:rPr>
        <w:t>2010</w:t>
      </w:r>
      <w:r>
        <w:rPr/>
        <w:t>年上半年，公司继续利用生产空闲的自有资金参与国内</w:t>
      </w:r>
      <w:r>
        <w:rPr>
          <w:rFonts w:ascii="Times New Roman" w:hAnsi="Times New Roman" w:cs="Times New Roman" w:eastAsia="Times New Roman" w:hint="default"/>
        </w:rPr>
        <w:t>A</w:t>
      </w:r>
      <w:r>
        <w:rPr>
          <w:rFonts w:ascii="Times New Roman" w:hAnsi="Times New Roman" w:cs="Times New Roman" w:eastAsia="Times New Roman" w:hint="default"/>
          <w:spacing w:val="51"/>
        </w:rPr>
        <w:t> </w:t>
      </w:r>
      <w:r>
        <w:rPr/>
        <w:t>股市场投资风险 </w:t>
      </w:r>
      <w:r>
        <w:rPr>
          <w:spacing w:val="-3"/>
        </w:rPr>
        <w:t>较低的新股申购业务，对于中签的股票原则上在上市首日予以出售。公司已按照相关要求建</w:t>
      </w:r>
      <w:r>
        <w:rPr>
          <w:spacing w:val="-75"/>
        </w:rPr>
        <w:t> </w:t>
      </w:r>
      <w:r>
        <w:rPr>
          <w:spacing w:val="-75"/>
        </w:rPr>
      </w:r>
      <w:r>
        <w:rPr>
          <w:spacing w:val="-3"/>
        </w:rPr>
        <w:t>立了证券投资相关管理制度，规定了公司内部证券投资审批的流程和权限，并能严格按照相</w:t>
      </w:r>
      <w:r>
        <w:rPr>
          <w:spacing w:val="-75"/>
        </w:rPr>
        <w:t> </w:t>
      </w:r>
      <w:r>
        <w:rPr>
          <w:spacing w:val="-75"/>
        </w:rPr>
      </w:r>
      <w:r>
        <w:rPr>
          <w:spacing w:val="-5"/>
        </w:rPr>
        <w:t>关规定执行，有效地控制了证券投资风险，保障公司资金安全。</w:t>
      </w:r>
      <w:r>
        <w:rPr>
          <w:rFonts w:ascii="Times New Roman" w:hAnsi="Times New Roman" w:cs="Times New Roman" w:eastAsia="Times New Roman" w:hint="default"/>
          <w:spacing w:val="-5"/>
        </w:rPr>
        <w:t>2010</w:t>
      </w:r>
      <w:r>
        <w:rPr>
          <w:spacing w:val="-5"/>
        </w:rPr>
        <w:t>年下半年，因资金紧张，</w:t>
      </w:r>
      <w:r>
        <w:rPr>
          <w:spacing w:val="-88"/>
        </w:rPr>
        <w:t> </w:t>
      </w:r>
      <w:r>
        <w:rPr>
          <w:spacing w:val="-88"/>
        </w:rPr>
      </w:r>
      <w:r>
        <w:rPr>
          <w:spacing w:val="-3"/>
        </w:rPr>
        <w:t>公司暂停了新股申购业务。报告期内，公司投资的证券均为申购新股中签股票，证券投资收</w:t>
      </w:r>
      <w:r>
        <w:rPr>
          <w:spacing w:val="-72"/>
        </w:rPr>
        <w:t> </w:t>
      </w:r>
      <w:r>
        <w:rPr>
          <w:spacing w:val="-72"/>
        </w:rPr>
      </w:r>
      <w:r>
        <w:rPr>
          <w:spacing w:val="-3"/>
        </w:rPr>
        <w:t>益为</w:t>
      </w:r>
      <w:r>
        <w:rPr>
          <w:rFonts w:ascii="Times New Roman" w:hAnsi="Times New Roman" w:cs="Times New Roman" w:eastAsia="Times New Roman" w:hint="default"/>
          <w:spacing w:val="-3"/>
        </w:rPr>
        <w:t>70,032.81</w:t>
      </w:r>
      <w:r>
        <w:rPr>
          <w:spacing w:val="-3"/>
        </w:rPr>
        <w:t>元。报告期末，公司未持有其他上市公司股权，未有参股上市商业银行、证券</w:t>
      </w:r>
      <w:r>
        <w:rPr>
          <w:spacing w:val="-64"/>
        </w:rPr>
        <w:t> </w:t>
      </w:r>
      <w:r>
        <w:rPr>
          <w:spacing w:val="-64"/>
        </w:rPr>
      </w:r>
      <w:r>
        <w:rPr/>
        <w:t>公司、保险公司、信托公司等上市金融企业的情况。</w:t>
      </w:r>
    </w:p>
    <w:p>
      <w:pPr>
        <w:pStyle w:val="BodyText"/>
        <w:spacing w:line="240" w:lineRule="auto" w:before="28"/>
        <w:ind w:left="557" w:right="102"/>
        <w:jc w:val="left"/>
      </w:pPr>
      <w:r>
        <w:rPr/>
        <w:t>（四）公司无报告期内和报告期继续发生委托他人进行现金资产管理的事项。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549" w:right="88" w:firstLine="1"/>
        <w:jc w:val="left"/>
        <w:rPr>
          <w:rFonts w:ascii="宋体" w:hAnsi="宋体" w:cs="宋体" w:eastAsia="宋体" w:hint="default"/>
          <w:sz w:val="21"/>
          <w:szCs w:val="21"/>
        </w:rPr>
      </w:pPr>
      <w:r>
        <w:rPr>
          <w:rFonts w:ascii="宋体" w:hAnsi="宋体" w:cs="宋体" w:eastAsia="宋体" w:hint="default"/>
          <w:b/>
          <w:bCs/>
          <w:sz w:val="21"/>
          <w:szCs w:val="21"/>
        </w:rPr>
        <w:t>四、董事会对内部控制责任的声明</w:t>
      </w:r>
      <w:r>
        <w:rPr>
          <w:rFonts w:ascii="宋体" w:hAnsi="宋体" w:cs="宋体" w:eastAsia="宋体" w:hint="default"/>
          <w:b/>
          <w:bCs/>
          <w:w w:val="99"/>
          <w:sz w:val="21"/>
          <w:szCs w:val="21"/>
        </w:rPr>
        <w:t> </w:t>
      </w:r>
      <w:r>
        <w:rPr>
          <w:rFonts w:ascii="宋体" w:hAnsi="宋体" w:cs="宋体" w:eastAsia="宋体" w:hint="default"/>
          <w:sz w:val="21"/>
          <w:szCs w:val="21"/>
        </w:rPr>
        <w:t>公司已经根据财政部等五部会联合下发的《关于印发</w:t>
      </w:r>
      <w:r>
        <w:rPr>
          <w:rFonts w:ascii="Times New Roman" w:hAnsi="Times New Roman" w:cs="Times New Roman" w:eastAsia="Times New Roman" w:hint="default"/>
          <w:sz w:val="21"/>
          <w:szCs w:val="21"/>
        </w:rPr>
        <w:t>&lt;</w:t>
      </w:r>
      <w:r>
        <w:rPr>
          <w:rFonts w:ascii="宋体" w:hAnsi="宋体" w:cs="宋体" w:eastAsia="宋体" w:hint="default"/>
          <w:sz w:val="21"/>
          <w:szCs w:val="21"/>
        </w:rPr>
        <w:t>企业内部控制基本规范</w:t>
      </w:r>
      <w:r>
        <w:rPr>
          <w:rFonts w:ascii="Times New Roman" w:hAnsi="Times New Roman" w:cs="Times New Roman" w:eastAsia="Times New Roman" w:hint="default"/>
          <w:sz w:val="21"/>
          <w:szCs w:val="21"/>
        </w:rPr>
        <w:t>&gt;</w:t>
      </w:r>
      <w:r>
        <w:rPr>
          <w:rFonts w:ascii="宋体" w:hAnsi="宋体" w:cs="宋体" w:eastAsia="宋体" w:hint="default"/>
          <w:sz w:val="21"/>
          <w:szCs w:val="21"/>
        </w:rPr>
        <w:t>的通知》</w:t>
      </w:r>
    </w:p>
    <w:p>
      <w:pPr>
        <w:pStyle w:val="BodyText"/>
        <w:spacing w:line="297" w:lineRule="auto"/>
        <w:ind w:left="137" w:right="212"/>
        <w:jc w:val="left"/>
      </w:pPr>
      <w:r>
        <w:rPr/>
        <w:t>（财会</w:t>
      </w:r>
      <w:r>
        <w:rPr>
          <w:rFonts w:ascii="Times New Roman" w:hAnsi="Times New Roman" w:cs="Times New Roman" w:eastAsia="Times New Roman" w:hint="default"/>
        </w:rPr>
        <w:t>[2008]7</w:t>
      </w:r>
      <w:r>
        <w:rPr/>
        <w:t>号）等要求，编制完成了公司的《内部控制规范体系》，该体系包括《企业 </w:t>
      </w:r>
      <w:r>
        <w:rPr>
          <w:spacing w:val="-3"/>
        </w:rPr>
        <w:t>内部基本规范》及</w:t>
      </w:r>
      <w:r>
        <w:rPr>
          <w:rFonts w:ascii="Times New Roman" w:hAnsi="Times New Roman" w:cs="Times New Roman" w:eastAsia="Times New Roman" w:hint="default"/>
          <w:spacing w:val="-3"/>
        </w:rPr>
        <w:t>16</w:t>
      </w:r>
      <w:r>
        <w:rPr>
          <w:spacing w:val="-3"/>
        </w:rPr>
        <w:t>个《企业内部控制具体规范》。这一整套的内部控制规范体系在公司日</w:t>
      </w:r>
      <w:r>
        <w:rPr>
          <w:spacing w:val="-75"/>
        </w:rPr>
        <w:t> </w:t>
      </w:r>
      <w:r>
        <w:rPr>
          <w:spacing w:val="-75"/>
        </w:rPr>
      </w:r>
      <w:r>
        <w:rPr/>
        <w:t>常经营中得到了落实。</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月，财政部等五部会联合下发了《关于印发企业内部控制配 套指引的通知》（财会</w:t>
      </w:r>
      <w:r>
        <w:rPr>
          <w:rFonts w:ascii="Times New Roman" w:hAnsi="Times New Roman" w:cs="Times New Roman" w:eastAsia="Times New Roman" w:hint="default"/>
        </w:rPr>
        <w:t>[2010]11</w:t>
      </w:r>
      <w:r>
        <w:rPr/>
        <w:t>号）。公司计划在</w:t>
      </w:r>
      <w:r>
        <w:rPr>
          <w:rFonts w:ascii="Times New Roman" w:hAnsi="Times New Roman" w:cs="Times New Roman" w:eastAsia="Times New Roman" w:hint="default"/>
        </w:rPr>
        <w:t>2011</w:t>
      </w:r>
      <w:r>
        <w:rPr/>
        <w:t>年内，根据财会</w:t>
      </w:r>
      <w:r>
        <w:rPr>
          <w:rFonts w:ascii="Times New Roman" w:hAnsi="Times New Roman" w:cs="Times New Roman" w:eastAsia="Times New Roman" w:hint="default"/>
        </w:rPr>
        <w:t>[2010]11</w:t>
      </w:r>
      <w:r>
        <w:rPr/>
        <w:t>号通知的相 关要求，完成相关的内部控制制度的修订完善工作。</w:t>
      </w:r>
    </w:p>
    <w:p>
      <w:pPr>
        <w:pStyle w:val="BodyText"/>
        <w:spacing w:line="314" w:lineRule="auto" w:before="34"/>
        <w:ind w:left="137" w:right="211" w:firstLine="411"/>
        <w:jc w:val="both"/>
      </w:pPr>
      <w:r>
        <w:rPr>
          <w:spacing w:val="-3"/>
        </w:rPr>
        <w:t>董事会认为，公司在内部控制责任的落实上是有成效的，公司能够及时制定内控基本规</w:t>
      </w:r>
      <w:r>
        <w:rPr/>
        <w:t> </w:t>
      </w:r>
      <w:r>
        <w:rPr>
          <w:spacing w:val="-3"/>
        </w:rPr>
        <w:t>范及适宜于自身发展需求的具体规范，把公司的管理纳入到了制度化、规范化的轨道。董事</w:t>
      </w:r>
      <w:r>
        <w:rPr>
          <w:spacing w:val="-72"/>
        </w:rPr>
        <w:t> </w:t>
      </w:r>
      <w:r>
        <w:rPr>
          <w:spacing w:val="-72"/>
        </w:rPr>
      </w:r>
      <w:r>
        <w:rPr>
          <w:spacing w:val="-3"/>
        </w:rPr>
        <w:t>会认真审议有关制度，监事会做好监督工作，管理层做好具体的组织实施工作，公司的治理</w:t>
      </w:r>
      <w:r>
        <w:rPr>
          <w:spacing w:val="-72"/>
        </w:rPr>
        <w:t> </w:t>
      </w:r>
      <w:r>
        <w:rPr>
          <w:spacing w:val="-72"/>
        </w:rPr>
      </w:r>
      <w:r>
        <w:rPr/>
        <w:t>水平也得到了显著提高。</w:t>
      </w:r>
    </w:p>
    <w:p>
      <w:pPr>
        <w:spacing w:line="240" w:lineRule="auto" w:before="0"/>
        <w:rPr>
          <w:rFonts w:ascii="宋体" w:hAnsi="宋体" w:cs="宋体" w:eastAsia="宋体" w:hint="default"/>
          <w:sz w:val="29"/>
          <w:szCs w:val="29"/>
        </w:rPr>
      </w:pPr>
    </w:p>
    <w:p>
      <w:pPr>
        <w:spacing w:line="314" w:lineRule="auto" w:before="0"/>
        <w:ind w:left="557" w:right="102" w:firstLine="2"/>
        <w:jc w:val="left"/>
        <w:rPr>
          <w:rFonts w:ascii="宋体" w:hAnsi="宋体" w:cs="宋体" w:eastAsia="宋体" w:hint="default"/>
          <w:sz w:val="21"/>
          <w:szCs w:val="21"/>
        </w:rPr>
      </w:pPr>
      <w:r>
        <w:rPr>
          <w:rFonts w:ascii="宋体" w:hAnsi="宋体" w:cs="宋体" w:eastAsia="宋体" w:hint="default"/>
          <w:b/>
          <w:bCs/>
          <w:sz w:val="21"/>
          <w:szCs w:val="21"/>
        </w:rPr>
        <w:t>五、建立健全内部控制体系的工作计划和实施方案</w:t>
      </w:r>
      <w:r>
        <w:rPr>
          <w:rFonts w:ascii="宋体" w:hAnsi="宋体" w:cs="宋体" w:eastAsia="宋体" w:hint="default"/>
          <w:b/>
          <w:bCs/>
          <w:spacing w:val="1"/>
          <w:w w:val="99"/>
          <w:sz w:val="21"/>
          <w:szCs w:val="21"/>
        </w:rPr>
        <w:t> </w:t>
      </w:r>
      <w:r>
        <w:rPr>
          <w:rFonts w:ascii="宋体" w:hAnsi="宋体" w:cs="宋体" w:eastAsia="宋体" w:hint="default"/>
          <w:spacing w:val="8"/>
          <w:sz w:val="21"/>
          <w:szCs w:val="21"/>
        </w:rPr>
        <w:t>根据财政部等五部会联合下发的《关于印发企业内部控制配套指引的通知》（财会</w:t>
      </w:r>
      <w:r>
        <w:rPr>
          <w:rFonts w:ascii="宋体" w:hAnsi="宋体" w:cs="宋体" w:eastAsia="宋体" w:hint="default"/>
          <w:sz w:val="21"/>
          <w:szCs w:val="21"/>
        </w:rPr>
      </w:r>
    </w:p>
    <w:p>
      <w:pPr>
        <w:pStyle w:val="BodyText"/>
        <w:spacing w:line="297" w:lineRule="auto" w:before="20"/>
        <w:ind w:left="137" w:right="202"/>
        <w:jc w:val="left"/>
      </w:pPr>
      <w:r>
        <w:rPr>
          <w:rFonts w:ascii="Times New Roman" w:hAnsi="Times New Roman" w:cs="Times New Roman" w:eastAsia="Times New Roman" w:hint="default"/>
        </w:rPr>
        <w:t>[2010]11 </w:t>
      </w:r>
      <w:r>
        <w:rPr/>
        <w:t>号），本公司计划在 </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年度实施该企业内部控制配套指引的具体要求。为此，</w:t>
      </w:r>
      <w:r>
        <w:rPr>
          <w:w w:val="99"/>
        </w:rPr>
        <w:t> </w:t>
      </w:r>
      <w:r>
        <w:rPr/>
        <w:t>制定如下计划：</w:t>
      </w:r>
    </w:p>
    <w:p>
      <w:pPr>
        <w:pStyle w:val="BodyText"/>
        <w:spacing w:line="314" w:lineRule="auto" w:before="34"/>
        <w:ind w:left="137" w:right="102" w:firstLine="420"/>
        <w:jc w:val="left"/>
      </w:pPr>
      <w:r>
        <w:rPr>
          <w:spacing w:val="-3"/>
        </w:rPr>
        <w:t>（一）公司将依据国家的相关要求，结合公司谋求新发展的需要，做好加强企业内部控</w:t>
      </w:r>
      <w:r>
        <w:rPr/>
        <w:t> 制规范体系的计划编制、计划实施、人员培训、动员及思想宣传工作。</w:t>
      </w:r>
    </w:p>
    <w:p>
      <w:pPr>
        <w:pStyle w:val="BodyText"/>
        <w:spacing w:line="314" w:lineRule="auto" w:before="20"/>
        <w:ind w:left="137" w:right="107" w:firstLine="420"/>
        <w:jc w:val="left"/>
      </w:pPr>
      <w:r>
        <w:rPr>
          <w:spacing w:val="-3"/>
        </w:rPr>
        <w:t>（二）在组织自查、实施专项调研和充分沟通的基础上，以内部控制环境、风险识别与</w:t>
      </w:r>
      <w:r>
        <w:rPr/>
        <w:t> 防范、控制活动、信息与沟通、检查与评估等关键控制节点为重点，有针对性地全面审视、 </w:t>
      </w:r>
      <w:r>
        <w:rPr>
          <w:spacing w:val="-3"/>
        </w:rPr>
        <w:t>修订、完善公司已有的《企业内部控制具体规范》，建立新的既符合国家部会相关要求，又</w:t>
      </w:r>
      <w:r>
        <w:rPr>
          <w:spacing w:val="-79"/>
        </w:rPr>
        <w:t> </w:t>
      </w:r>
      <w:r>
        <w:rPr>
          <w:spacing w:val="-79"/>
        </w:rPr>
      </w:r>
      <w:r>
        <w:rPr/>
        <w:t>切合公司实际情况的企业内部控制规范体系。</w:t>
      </w:r>
    </w:p>
    <w:p>
      <w:pPr>
        <w:pStyle w:val="BodyText"/>
        <w:spacing w:line="314" w:lineRule="auto" w:before="20"/>
        <w:ind w:left="137" w:right="102" w:firstLine="420"/>
        <w:jc w:val="left"/>
      </w:pPr>
      <w:r>
        <w:rPr>
          <w:spacing w:val="-3"/>
        </w:rPr>
        <w:t>（三）督促、检查落实企业内部控制规范体系的具体实施情况，并把内控工作作为一项</w:t>
      </w:r>
      <w:r>
        <w:rPr/>
        <w:t> 日常工作，持之以恒地坚持做好。</w:t>
      </w:r>
    </w:p>
    <w:p>
      <w:pPr>
        <w:spacing w:after="0" w:line="314" w:lineRule="auto"/>
        <w:jc w:val="left"/>
        <w:sectPr>
          <w:pgSz w:w="11910" w:h="16840"/>
          <w:pgMar w:header="877" w:footer="975" w:top="1100" w:bottom="1160" w:left="1660" w:right="1580"/>
        </w:sectPr>
      </w:pPr>
    </w:p>
    <w:p>
      <w:pPr>
        <w:spacing w:line="240" w:lineRule="auto" w:before="6"/>
        <w:rPr>
          <w:rFonts w:ascii="宋体" w:hAnsi="宋体" w:cs="宋体" w:eastAsia="宋体" w:hint="default"/>
          <w:sz w:val="25"/>
          <w:szCs w:val="25"/>
        </w:rPr>
      </w:pPr>
    </w:p>
    <w:p>
      <w:pPr>
        <w:pStyle w:val="Heading3"/>
        <w:spacing w:line="240" w:lineRule="auto" w:before="35"/>
        <w:ind w:left="453" w:right="4727"/>
        <w:jc w:val="left"/>
        <w:rPr>
          <w:b w:val="0"/>
          <w:bCs w:val="0"/>
        </w:rPr>
      </w:pPr>
      <w:r>
        <w:rPr/>
        <w:t>六、董事会日常工作情况</w:t>
      </w:r>
      <w:r>
        <w:rPr>
          <w:b w:val="0"/>
          <w:bCs w:val="0"/>
        </w:rPr>
      </w:r>
    </w:p>
    <w:p>
      <w:pPr>
        <w:pStyle w:val="BodyText"/>
        <w:spacing w:line="240" w:lineRule="auto" w:before="85"/>
        <w:ind w:left="453" w:right="4727"/>
        <w:jc w:val="left"/>
      </w:pPr>
      <w:r>
        <w:rPr/>
        <w:t>（一）报告期内董事会的会议情况</w:t>
      </w:r>
    </w:p>
    <w:p>
      <w:pPr>
        <w:pStyle w:val="BodyText"/>
        <w:spacing w:line="240" w:lineRule="auto" w:before="85"/>
        <w:ind w:left="557" w:right="102"/>
        <w:jc w:val="left"/>
      </w:pPr>
      <w:r>
        <w:rPr>
          <w:spacing w:val="-5"/>
        </w:rPr>
        <w:t>报告期内，公司共召开了</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6"/>
        </w:rPr>
        <w:t>次董事会，召集了</w:t>
      </w:r>
      <w:r>
        <w:rPr>
          <w:spacing w:val="-52"/>
        </w:rPr>
        <w:t> </w:t>
      </w:r>
      <w:r>
        <w:rPr>
          <w:rFonts w:ascii="Times New Roman" w:hAnsi="Times New Roman" w:cs="Times New Roman" w:eastAsia="Times New Roman" w:hint="default"/>
        </w:rPr>
        <w:t>2009 </w:t>
      </w:r>
      <w:r>
        <w:rPr/>
        <w:t>年度股东大会和</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年第一次临时</w:t>
      </w:r>
    </w:p>
    <w:p>
      <w:pPr>
        <w:pStyle w:val="BodyText"/>
        <w:spacing w:line="240" w:lineRule="auto" w:before="69"/>
        <w:ind w:left="137" w:right="102"/>
        <w:jc w:val="left"/>
      </w:pPr>
      <w:r>
        <w:rPr/>
        <w:t>股东大会，进行了</w:t>
      </w:r>
      <w:r>
        <w:rPr>
          <w:spacing w:val="-55"/>
        </w:rPr>
        <w:t> </w:t>
      </w:r>
      <w:r>
        <w:rPr>
          <w:rFonts w:ascii="Times New Roman" w:hAnsi="Times New Roman" w:cs="Times New Roman" w:eastAsia="Times New Roman" w:hint="default"/>
        </w:rPr>
        <w:t>95</w:t>
      </w:r>
      <w:r>
        <w:rPr>
          <w:rFonts w:ascii="Times New Roman" w:hAnsi="Times New Roman" w:cs="Times New Roman" w:eastAsia="Times New Roman" w:hint="default"/>
          <w:spacing w:val="-2"/>
        </w:rPr>
        <w:t> </w:t>
      </w:r>
      <w:r>
        <w:rPr/>
        <w:t>次信息披露。董事会会议的有关情况分述如下：</w:t>
      </w:r>
    </w:p>
    <w:p>
      <w:pPr>
        <w:pStyle w:val="BodyText"/>
        <w:spacing w:line="297" w:lineRule="auto" w:before="69"/>
        <w:ind w:left="136" w:right="212" w:firstLine="420"/>
        <w:jc w:val="left"/>
      </w:pPr>
      <w:r>
        <w:rPr>
          <w:rFonts w:ascii="Times New Roman" w:hAnsi="Times New Roman" w:cs="Times New Roman" w:eastAsia="Times New Roman" w:hint="default"/>
        </w:rPr>
        <w:t>1</w:t>
      </w:r>
      <w:r>
        <w:rPr/>
        <w:t>、六届五次会议于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日召开，此次董事会决议刊登在</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日《证券时 报》和巨潮网。</w:t>
      </w:r>
    </w:p>
    <w:p>
      <w:pPr>
        <w:pStyle w:val="BodyText"/>
        <w:spacing w:line="240" w:lineRule="auto" w:before="34"/>
        <w:ind w:left="556" w:right="102"/>
        <w:jc w:val="left"/>
      </w:pPr>
      <w:r>
        <w:rPr>
          <w:rFonts w:ascii="Times New Roman" w:hAnsi="Times New Roman" w:cs="Times New Roman" w:eastAsia="Times New Roman" w:hint="default"/>
        </w:rPr>
        <w:t>2</w:t>
      </w:r>
      <w:r>
        <w:rPr/>
        <w:t>、六届六次会议于</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w:t>
      </w:r>
    </w:p>
    <w:p>
      <w:pPr>
        <w:pStyle w:val="BodyText"/>
        <w:spacing w:line="297" w:lineRule="auto" w:before="69"/>
        <w:ind w:left="136" w:right="201" w:firstLine="420"/>
        <w:jc w:val="left"/>
      </w:pPr>
      <w:r>
        <w:rPr>
          <w:rFonts w:ascii="Times New Roman" w:hAnsi="Times New Roman" w:cs="Times New Roman" w:eastAsia="Times New Roman" w:hint="default"/>
        </w:rPr>
        <w:t>3</w:t>
      </w:r>
      <w:r>
        <w:rPr/>
        <w:t>、六届七次会议于</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日召开，此次董事会决议刊登在</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日《证券时报》和 巨潮网。</w:t>
      </w:r>
    </w:p>
    <w:p>
      <w:pPr>
        <w:pStyle w:val="BodyText"/>
        <w:spacing w:line="297" w:lineRule="auto" w:before="34"/>
        <w:ind w:left="136" w:right="203" w:firstLine="420"/>
        <w:jc w:val="left"/>
      </w:pPr>
      <w:r>
        <w:rPr>
          <w:rFonts w:ascii="Times New Roman" w:hAnsi="Times New Roman" w:cs="Times New Roman" w:eastAsia="Times New Roman" w:hint="default"/>
        </w:rPr>
        <w:t>4</w:t>
      </w:r>
      <w:r>
        <w:rPr/>
        <w:t>、六届八次会议于</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日召开，此次董事会决议刊登在</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日《证券时报》和巨 潮网。</w:t>
      </w:r>
    </w:p>
    <w:p>
      <w:pPr>
        <w:pStyle w:val="BodyText"/>
        <w:spacing w:line="297" w:lineRule="auto" w:before="34"/>
        <w:ind w:left="136" w:right="201" w:firstLine="420"/>
        <w:jc w:val="left"/>
      </w:pPr>
      <w:r>
        <w:rPr>
          <w:rFonts w:ascii="Times New Roman" w:hAnsi="Times New Roman" w:cs="Times New Roman" w:eastAsia="Times New Roman" w:hint="default"/>
        </w:rPr>
        <w:t>5</w:t>
      </w:r>
      <w:r>
        <w:rPr/>
        <w:t>、六届九次会议于</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日召开，此次董事会决议刊登在</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日《证券时报》和 巨潮网。</w:t>
      </w:r>
    </w:p>
    <w:p>
      <w:pPr>
        <w:pStyle w:val="BodyText"/>
        <w:spacing w:line="297" w:lineRule="auto" w:before="34"/>
        <w:ind w:left="136" w:right="211" w:firstLine="420"/>
        <w:jc w:val="left"/>
      </w:pPr>
      <w:r>
        <w:rPr>
          <w:rFonts w:ascii="Times New Roman" w:hAnsi="Times New Roman" w:cs="Times New Roman" w:eastAsia="Times New Roman" w:hint="default"/>
        </w:rPr>
        <w:t>6</w:t>
      </w:r>
      <w:r>
        <w:rPr/>
        <w:t>、六届十次会议于</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日召开，此次董事会决议刊登在</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日《证券时报》 和巨潮网。</w:t>
      </w:r>
    </w:p>
    <w:p>
      <w:pPr>
        <w:pStyle w:val="BodyText"/>
        <w:spacing w:line="297" w:lineRule="auto" w:before="34"/>
        <w:ind w:left="136" w:right="202" w:firstLine="420"/>
        <w:jc w:val="left"/>
      </w:pPr>
      <w:r>
        <w:rPr>
          <w:rFonts w:ascii="Times New Roman" w:hAnsi="Times New Roman" w:cs="Times New Roman" w:eastAsia="Times New Roman" w:hint="default"/>
        </w:rPr>
        <w:t>7</w:t>
      </w:r>
      <w:r>
        <w:rPr/>
        <w:t>、六届十一次会议于</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日召开，此次董事会决议刊登在</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日《证券时报》 和巨潮网。</w:t>
      </w:r>
    </w:p>
    <w:p>
      <w:pPr>
        <w:pStyle w:val="BodyText"/>
        <w:spacing w:line="314" w:lineRule="auto" w:before="34"/>
        <w:ind w:left="556" w:right="102"/>
        <w:jc w:val="left"/>
      </w:pPr>
      <w:r>
        <w:rPr/>
        <w:t>（二）董事会对股东大会决议的执行情况 </w:t>
      </w:r>
      <w:r>
        <w:rPr>
          <w:spacing w:val="-3"/>
        </w:rPr>
        <w:t>报告期内，公司董事会根据《公司法》、《证券法》等有关法律法规和《公司章程》的</w:t>
      </w:r>
    </w:p>
    <w:p>
      <w:pPr>
        <w:pStyle w:val="BodyText"/>
        <w:spacing w:line="314" w:lineRule="auto" w:before="20"/>
        <w:ind w:left="136" w:right="211"/>
        <w:jc w:val="both"/>
      </w:pPr>
      <w:r>
        <w:rPr>
          <w:spacing w:val="-3"/>
        </w:rPr>
        <w:t>要求，认真履行自己的职责，严格按照股东大会的决议和授权，完成了股东大会决议中的各</w:t>
      </w:r>
      <w:r>
        <w:rPr>
          <w:spacing w:val="-72"/>
        </w:rPr>
        <w:t> </w:t>
      </w:r>
      <w:r>
        <w:rPr>
          <w:spacing w:val="-72"/>
        </w:rPr>
      </w:r>
      <w:r>
        <w:rPr/>
        <w:t>项工作。</w:t>
      </w:r>
    </w:p>
    <w:p>
      <w:pPr>
        <w:pStyle w:val="BodyText"/>
        <w:spacing w:line="328" w:lineRule="auto" w:before="20"/>
        <w:ind w:left="556" w:right="102"/>
        <w:jc w:val="left"/>
      </w:pPr>
      <w:r>
        <w:rPr/>
        <w:t>（三）董事会专业委员会的工作情况 报告期内，董事会各专业委员会共召开了</w:t>
      </w:r>
      <w:r>
        <w:rPr>
          <w:rFonts w:ascii="Times New Roman" w:hAnsi="Times New Roman" w:cs="Times New Roman" w:eastAsia="Times New Roman" w:hint="default"/>
        </w:rPr>
        <w:t>10</w:t>
      </w:r>
      <w:r>
        <w:rPr/>
        <w:t>次会议，审计委员会召开了</w:t>
      </w:r>
      <w:r>
        <w:rPr>
          <w:rFonts w:ascii="Times New Roman" w:hAnsi="Times New Roman" w:cs="Times New Roman" w:eastAsia="Times New Roman" w:hint="default"/>
        </w:rPr>
        <w:t>7</w:t>
      </w:r>
      <w:r>
        <w:rPr/>
        <w:t>次会议，提名</w:t>
      </w:r>
    </w:p>
    <w:p>
      <w:pPr>
        <w:pStyle w:val="BodyText"/>
        <w:spacing w:line="312" w:lineRule="auto" w:before="3"/>
        <w:ind w:left="136" w:right="102"/>
        <w:jc w:val="left"/>
      </w:pPr>
      <w:r>
        <w:rPr>
          <w:spacing w:val="-3"/>
        </w:rPr>
        <w:t>委员会、绩效与薪酬委员会、战略与投资委员会各召开了</w:t>
      </w:r>
      <w:r>
        <w:rPr>
          <w:rFonts w:ascii="Times New Roman" w:hAnsi="Times New Roman" w:cs="Times New Roman" w:eastAsia="Times New Roman" w:hint="default"/>
          <w:spacing w:val="-3"/>
        </w:rPr>
        <w:t>1</w:t>
      </w:r>
      <w:r>
        <w:rPr>
          <w:spacing w:val="-3"/>
        </w:rPr>
        <w:t>次会议。各委员会职责分工明确，</w:t>
      </w:r>
      <w:r>
        <w:rPr>
          <w:spacing w:val="-70"/>
        </w:rPr>
        <w:t> </w:t>
      </w:r>
      <w:r>
        <w:rPr>
          <w:spacing w:val="-70"/>
        </w:rPr>
      </w:r>
      <w:r>
        <w:rPr/>
        <w:t>运作情况良好。</w:t>
      </w:r>
    </w:p>
    <w:p>
      <w:pPr>
        <w:pStyle w:val="BodyText"/>
        <w:spacing w:line="240" w:lineRule="auto" w:before="27"/>
        <w:ind w:left="556" w:right="4727"/>
        <w:jc w:val="left"/>
      </w:pPr>
      <w:r>
        <w:rPr/>
        <w:t>（四）审计委员会的履职情况报告</w:t>
      </w:r>
    </w:p>
    <w:p>
      <w:pPr>
        <w:pStyle w:val="BodyText"/>
        <w:spacing w:line="297" w:lineRule="auto" w:before="85"/>
        <w:ind w:left="556" w:right="222"/>
        <w:jc w:val="left"/>
      </w:pPr>
      <w:r>
        <w:rPr>
          <w:rFonts w:ascii="Times New Roman" w:hAnsi="Times New Roman" w:cs="Times New Roman" w:eastAsia="Times New Roman" w:hint="default"/>
        </w:rPr>
        <w:t>1</w:t>
      </w:r>
      <w:r>
        <w:rPr/>
        <w:t>、董事会审计委员会相关工作制度的健全情况 </w:t>
      </w:r>
      <w:r>
        <w:rPr>
          <w:spacing w:val="-3"/>
        </w:rPr>
        <w:t>公司制定有《董事会审计委员会工作制度》和《董事会审计委员会年报工作规程》，董</w:t>
      </w:r>
    </w:p>
    <w:p>
      <w:pPr>
        <w:pStyle w:val="BodyText"/>
        <w:spacing w:line="304" w:lineRule="auto" w:before="34"/>
        <w:ind w:left="556" w:right="102" w:hanging="420"/>
        <w:jc w:val="left"/>
      </w:pPr>
      <w:r>
        <w:rPr/>
        <w:t>事会审计委员会相关工作制度是健全且完善的，也是切合公司实际情况和行之有效的。 </w:t>
      </w:r>
      <w:r>
        <w:rPr>
          <w:rFonts w:ascii="Times New Roman" w:hAnsi="Times New Roman" w:cs="Times New Roman" w:eastAsia="Times New Roman" w:hint="default"/>
        </w:rPr>
        <w:t>2</w:t>
      </w:r>
      <w:r>
        <w:rPr/>
        <w:t>、董事会审计委员会的工作情况 </w:t>
      </w:r>
      <w:r>
        <w:rPr>
          <w:spacing w:val="-6"/>
        </w:rPr>
        <w:t>根据中国证监会、深交所的有关规定及公司《董事会审计委员会工作制度》、《董事会</w:t>
      </w:r>
    </w:p>
    <w:p>
      <w:pPr>
        <w:pStyle w:val="BodyText"/>
        <w:spacing w:line="314" w:lineRule="auto" w:before="28"/>
        <w:ind w:left="136" w:right="231"/>
        <w:jc w:val="both"/>
      </w:pPr>
      <w:r>
        <w:rPr>
          <w:spacing w:val="-3"/>
        </w:rPr>
        <w:t>审计委员会年报工作规程》，公司董事会审计委员会本着勤勉尽责的原则，较好地履行了应</w:t>
      </w:r>
      <w:r>
        <w:rPr>
          <w:spacing w:val="-92"/>
        </w:rPr>
        <w:t> </w:t>
      </w:r>
      <w:r>
        <w:rPr>
          <w:spacing w:val="-92"/>
        </w:rPr>
      </w:r>
      <w:r>
        <w:rPr/>
        <w:t>尽的职责。</w:t>
      </w:r>
      <w:r>
        <w:rPr>
          <w:rFonts w:ascii="Times New Roman" w:hAnsi="Times New Roman" w:cs="Times New Roman" w:eastAsia="Times New Roman" w:hint="default"/>
        </w:rPr>
        <w:t>2010</w:t>
      </w:r>
      <w:r>
        <w:rPr/>
        <w:t>年，公司董事会审计委员会主要履行了以下工作职责：</w:t>
      </w:r>
    </w:p>
    <w:p>
      <w:pPr>
        <w:pStyle w:val="BodyText"/>
        <w:spacing w:line="297" w:lineRule="auto"/>
        <w:ind w:left="556" w:right="102"/>
        <w:jc w:val="left"/>
      </w:pPr>
      <w:r>
        <w:rPr/>
        <w:t>（</w:t>
      </w:r>
      <w:r>
        <w:rPr>
          <w:rFonts w:ascii="Times New Roman" w:hAnsi="Times New Roman" w:cs="Times New Roman" w:eastAsia="Times New Roman" w:hint="default"/>
        </w:rPr>
        <w:t>1</w:t>
      </w:r>
      <w:r>
        <w:rPr/>
        <w:t>）召集七次会议，审议通过一系列报告 </w:t>
      </w:r>
      <w:r>
        <w:rPr>
          <w:spacing w:val="-6"/>
        </w:rPr>
        <w:t>报告期内召集了</w:t>
      </w:r>
      <w:r>
        <w:rPr>
          <w:rFonts w:ascii="Times New Roman" w:hAnsi="Times New Roman" w:cs="Times New Roman" w:eastAsia="Times New Roman" w:hint="default"/>
          <w:spacing w:val="-6"/>
        </w:rPr>
        <w:t>7</w:t>
      </w:r>
      <w:r>
        <w:rPr>
          <w:spacing w:val="-6"/>
        </w:rPr>
        <w:t>次会议，完成了对《关于</w:t>
      </w:r>
      <w:r>
        <w:rPr>
          <w:rFonts w:ascii="Times New Roman" w:hAnsi="Times New Roman" w:cs="Times New Roman" w:eastAsia="Times New Roman" w:hint="default"/>
          <w:spacing w:val="-6"/>
        </w:rPr>
        <w:t>2009</w:t>
      </w:r>
      <w:r>
        <w:rPr>
          <w:spacing w:val="-6"/>
        </w:rPr>
        <w:t>年度审计工作报告》、《</w:t>
      </w:r>
      <w:r>
        <w:rPr>
          <w:rFonts w:ascii="Times New Roman" w:hAnsi="Times New Roman" w:cs="Times New Roman" w:eastAsia="Times New Roman" w:hint="default"/>
          <w:spacing w:val="-6"/>
        </w:rPr>
        <w:t>2009</w:t>
      </w:r>
      <w:r>
        <w:rPr>
          <w:spacing w:val="-6"/>
        </w:rPr>
        <w:t>年度财务报</w:t>
      </w:r>
    </w:p>
    <w:p>
      <w:pPr>
        <w:pStyle w:val="BodyText"/>
        <w:spacing w:line="304" w:lineRule="auto" w:before="13"/>
        <w:ind w:left="136" w:right="213"/>
        <w:jc w:val="both"/>
      </w:pPr>
      <w:r>
        <w:rPr>
          <w:spacing w:val="-17"/>
        </w:rPr>
        <w:t>告》、《</w:t>
      </w:r>
      <w:r>
        <w:rPr>
          <w:rFonts w:ascii="Times New Roman" w:hAnsi="Times New Roman" w:cs="Times New Roman" w:eastAsia="Times New Roman" w:hint="default"/>
          <w:spacing w:val="-17"/>
        </w:rPr>
        <w:t>2010</w:t>
      </w:r>
      <w:r>
        <w:rPr>
          <w:spacing w:val="-17"/>
        </w:rPr>
        <w:t>年度第一季度财务报告》、《规范财务会计基础工作专项活动工作方案》、《关于财</w:t>
      </w:r>
      <w:r>
        <w:rPr>
          <w:spacing w:val="-65"/>
        </w:rPr>
        <w:t> </w:t>
      </w:r>
      <w:r>
        <w:rPr>
          <w:spacing w:val="-65"/>
        </w:rPr>
      </w:r>
      <w:r>
        <w:rPr>
          <w:spacing w:val="-8"/>
        </w:rPr>
        <w:t>务会计基础工作的自查报告》、《关于规范财务会计基础工作的整改报告》等一系列报告的审</w:t>
      </w:r>
      <w:r>
        <w:rPr>
          <w:spacing w:val="-78"/>
        </w:rPr>
        <w:t> </w:t>
      </w:r>
      <w:r>
        <w:rPr>
          <w:spacing w:val="-78"/>
        </w:rPr>
      </w:r>
      <w:r>
        <w:rPr/>
        <w:t>议工作。</w:t>
      </w:r>
    </w:p>
    <w:p>
      <w:pPr>
        <w:spacing w:after="0" w:line="304" w:lineRule="auto"/>
        <w:jc w:val="both"/>
        <w:sectPr>
          <w:pgSz w:w="11910" w:h="16840"/>
          <w:pgMar w:header="877" w:footer="975" w:top="1100" w:bottom="1160" w:left="1660" w:right="1580"/>
        </w:sectPr>
      </w:pPr>
    </w:p>
    <w:p>
      <w:pPr>
        <w:spacing w:line="240" w:lineRule="auto" w:before="6"/>
        <w:rPr>
          <w:rFonts w:ascii="宋体" w:hAnsi="宋体" w:cs="宋体" w:eastAsia="宋体" w:hint="default"/>
          <w:sz w:val="25"/>
          <w:szCs w:val="25"/>
        </w:rPr>
      </w:pPr>
    </w:p>
    <w:p>
      <w:pPr>
        <w:pStyle w:val="BodyText"/>
        <w:spacing w:line="297" w:lineRule="auto" w:before="35"/>
        <w:ind w:left="897" w:right="327"/>
        <w:jc w:val="left"/>
      </w:pPr>
      <w:r>
        <w:rPr/>
        <w:t>（</w:t>
      </w:r>
      <w:r>
        <w:rPr>
          <w:rFonts w:ascii="Times New Roman" w:hAnsi="Times New Roman" w:cs="Times New Roman" w:eastAsia="Times New Roman" w:hint="default"/>
        </w:rPr>
        <w:t>2</w:t>
      </w:r>
      <w:r>
        <w:rPr/>
        <w:t>）加强与年报审计会计师的沟通，对其工作进行评估 </w:t>
      </w:r>
      <w:r>
        <w:rPr>
          <w:spacing w:val="-3"/>
        </w:rPr>
        <w:t>在</w:t>
      </w:r>
      <w:r>
        <w:rPr>
          <w:rFonts w:ascii="Times New Roman" w:hAnsi="Times New Roman" w:cs="Times New Roman" w:eastAsia="Times New Roman" w:hint="default"/>
          <w:spacing w:val="-3"/>
        </w:rPr>
        <w:t>2009</w:t>
      </w:r>
      <w:r>
        <w:rPr>
          <w:spacing w:val="-3"/>
        </w:rPr>
        <w:t>年报财务报告审计期间，除</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月份与会计师沟通外，在审计过程中，审计</w:t>
      </w:r>
    </w:p>
    <w:p>
      <w:pPr>
        <w:pStyle w:val="BodyText"/>
        <w:spacing w:line="297" w:lineRule="auto" w:before="13"/>
        <w:ind w:left="477" w:right="327" w:hanging="1"/>
        <w:jc w:val="left"/>
      </w:pPr>
      <w:r>
        <w:rPr>
          <w:spacing w:val="-3"/>
        </w:rPr>
        <w:t>委员会也在不断跟踪审计工作进展情况，</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日召开六届三次会议，评审会计师事务</w:t>
      </w:r>
      <w:r>
        <w:rPr>
          <w:spacing w:val="-71"/>
        </w:rPr>
        <w:t> </w:t>
      </w:r>
      <w:r>
        <w:rPr>
          <w:spacing w:val="-71"/>
        </w:rPr>
      </w:r>
      <w:r>
        <w:rPr/>
        <w:t>所年报审计工作情况和其执业质量。</w:t>
      </w:r>
    </w:p>
    <w:p>
      <w:pPr>
        <w:pStyle w:val="BodyText"/>
        <w:spacing w:line="240" w:lineRule="auto" w:before="34"/>
        <w:ind w:left="897" w:right="327"/>
        <w:jc w:val="left"/>
      </w:pPr>
      <w:r>
        <w:rPr/>
        <w:t>（</w:t>
      </w:r>
      <w:r>
        <w:rPr>
          <w:rFonts w:ascii="Times New Roman" w:hAnsi="Times New Roman" w:cs="Times New Roman" w:eastAsia="Times New Roman" w:hint="default"/>
        </w:rPr>
        <w:t>3</w:t>
      </w:r>
      <w:r>
        <w:rPr/>
        <w:t>）向董事会递交关于聘请及变更审计机构的决议</w:t>
      </w:r>
    </w:p>
    <w:p>
      <w:pPr>
        <w:pStyle w:val="BodyText"/>
        <w:spacing w:line="297" w:lineRule="auto" w:before="69"/>
        <w:ind w:left="477" w:right="450" w:firstLine="42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月，审计委员会向董事会递交了《关于</w:t>
      </w:r>
      <w:r>
        <w:rPr>
          <w:rFonts w:ascii="Times New Roman" w:hAnsi="Times New Roman" w:cs="Times New Roman" w:eastAsia="Times New Roman" w:hint="default"/>
        </w:rPr>
        <w:t>2009</w:t>
      </w:r>
      <w:r>
        <w:rPr/>
        <w:t>年度审计工作及聘请</w:t>
      </w:r>
      <w:r>
        <w:rPr>
          <w:rFonts w:ascii="Times New Roman" w:hAnsi="Times New Roman" w:cs="Times New Roman" w:eastAsia="Times New Roman" w:hint="default"/>
        </w:rPr>
        <w:t>2010</w:t>
      </w:r>
      <w:r>
        <w:rPr/>
        <w:t>年财务审 </w:t>
      </w:r>
      <w:r>
        <w:rPr>
          <w:spacing w:val="-3"/>
        </w:rPr>
        <w:t>计机构的决议》。</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月，审计委员会向董事会出具了《关于变更公司</w:t>
      </w:r>
      <w:r>
        <w:rPr>
          <w:rFonts w:ascii="Times New Roman" w:hAnsi="Times New Roman" w:cs="Times New Roman" w:eastAsia="Times New Roman" w:hint="default"/>
          <w:spacing w:val="-3"/>
        </w:rPr>
        <w:t>2010</w:t>
      </w:r>
      <w:r>
        <w:rPr>
          <w:spacing w:val="-3"/>
        </w:rPr>
        <w:t>年度审计机</w:t>
      </w:r>
      <w:r>
        <w:rPr>
          <w:spacing w:val="-84"/>
        </w:rPr>
        <w:t> </w:t>
      </w:r>
      <w:r>
        <w:rPr>
          <w:spacing w:val="-84"/>
        </w:rPr>
      </w:r>
      <w:r>
        <w:rPr>
          <w:spacing w:val="-11"/>
        </w:rPr>
        <w:t>构及其报酬的决议》。</w:t>
      </w:r>
    </w:p>
    <w:p>
      <w:pPr>
        <w:spacing w:line="240" w:lineRule="auto" w:before="0"/>
        <w:rPr>
          <w:rFonts w:ascii="宋体" w:hAnsi="宋体" w:cs="宋体" w:eastAsia="宋体" w:hint="default"/>
          <w:sz w:val="20"/>
          <w:szCs w:val="20"/>
        </w:rPr>
      </w:pPr>
    </w:p>
    <w:p>
      <w:pPr>
        <w:spacing w:line="314" w:lineRule="auto" w:before="133"/>
        <w:ind w:left="913" w:right="468" w:hanging="14"/>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七、本年度利润分配预案、资本公积金转增股本的预案</w:t>
      </w:r>
      <w:r>
        <w:rPr>
          <w:rFonts w:ascii="宋体" w:hAnsi="宋体" w:cs="宋体" w:eastAsia="宋体" w:hint="default"/>
          <w:b/>
          <w:bCs/>
          <w:spacing w:val="1"/>
          <w:w w:val="99"/>
          <w:sz w:val="21"/>
          <w:szCs w:val="21"/>
        </w:rPr>
        <w:t> </w:t>
      </w:r>
      <w:r>
        <w:rPr>
          <w:rFonts w:ascii="宋体" w:hAnsi="宋体" w:cs="宋体" w:eastAsia="宋体" w:hint="default"/>
          <w:sz w:val="21"/>
          <w:szCs w:val="21"/>
        </w:rPr>
        <w:t>经中审国际会计师事务所有限公司审计，母公司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年度实现净利润为</w:t>
      </w:r>
      <w:r>
        <w:rPr>
          <w:rFonts w:ascii="Times New Roman" w:hAnsi="Times New Roman" w:cs="Times New Roman" w:eastAsia="Times New Roman" w:hint="default"/>
          <w:sz w:val="21"/>
          <w:szCs w:val="21"/>
        </w:rPr>
        <w:t>414,646,431.13</w:t>
      </w:r>
    </w:p>
    <w:p>
      <w:pPr>
        <w:pStyle w:val="BodyText"/>
        <w:spacing w:line="288" w:lineRule="exact"/>
        <w:ind w:left="477" w:right="327"/>
        <w:jc w:val="left"/>
      </w:pPr>
      <w:r>
        <w:rPr/>
        <w:t>元，加上</w:t>
      </w:r>
      <w:r>
        <w:rPr>
          <w:rFonts w:ascii="Times New Roman" w:hAnsi="Times New Roman" w:cs="Times New Roman" w:eastAsia="Times New Roman" w:hint="default"/>
        </w:rPr>
        <w:t>2010</w:t>
      </w:r>
      <w:r>
        <w:rPr/>
        <w:t>年初的未分配利润</w:t>
      </w:r>
      <w:r>
        <w:rPr>
          <w:rFonts w:ascii="Times New Roman" w:hAnsi="Times New Roman" w:cs="Times New Roman" w:eastAsia="Times New Roman" w:hint="default"/>
        </w:rPr>
        <w:t>-1,203,119,467.40</w:t>
      </w:r>
      <w:r>
        <w:rPr/>
        <w:t>元，母公司</w:t>
      </w:r>
      <w:r>
        <w:rPr>
          <w:rFonts w:ascii="Times New Roman" w:hAnsi="Times New Roman" w:cs="Times New Roman" w:eastAsia="Times New Roman" w:hint="default"/>
        </w:rPr>
        <w:t>2010</w:t>
      </w:r>
      <w:r>
        <w:rPr/>
        <w:t>年度实际可供分配利润为</w:t>
      </w:r>
    </w:p>
    <w:p>
      <w:pPr>
        <w:pStyle w:val="BodyText"/>
        <w:spacing w:line="240" w:lineRule="auto" w:before="69"/>
        <w:ind w:left="477" w:right="327"/>
        <w:jc w:val="left"/>
      </w:pPr>
      <w:r>
        <w:rPr>
          <w:rFonts w:ascii="Times New Roman" w:hAnsi="Times New Roman" w:cs="Times New Roman" w:eastAsia="Times New Roman" w:hint="default"/>
        </w:rPr>
        <w:t>-788,473,036.27</w:t>
      </w:r>
      <w:r>
        <w:rPr/>
        <w:t>元。鉴于公司进行利润分配以母公司为主体，母公司存在未弥补亏损，根据</w:t>
      </w:r>
    </w:p>
    <w:p>
      <w:pPr>
        <w:pStyle w:val="BodyText"/>
        <w:spacing w:line="297" w:lineRule="auto" w:before="69"/>
        <w:ind w:left="477" w:right="327"/>
        <w:jc w:val="left"/>
      </w:pPr>
      <w:r>
        <w:rPr>
          <w:spacing w:val="-3"/>
        </w:rPr>
        <w:t>《公司章程》第一百七十三条的规定，公司</w:t>
      </w:r>
      <w:r>
        <w:rPr>
          <w:rFonts w:ascii="Times New Roman" w:hAnsi="Times New Roman" w:cs="Times New Roman" w:eastAsia="Times New Roman" w:hint="default"/>
          <w:spacing w:val="-3"/>
        </w:rPr>
        <w:t>2010</w:t>
      </w:r>
      <w:r>
        <w:rPr>
          <w:spacing w:val="-3"/>
        </w:rPr>
        <w:t>年末拟不进行利润分配，也不以资本公积金</w:t>
      </w:r>
      <w:r>
        <w:rPr>
          <w:spacing w:val="-70"/>
        </w:rPr>
        <w:t> </w:t>
      </w:r>
      <w:r>
        <w:rPr>
          <w:spacing w:val="-70"/>
        </w:rPr>
      </w:r>
      <w:r>
        <w:rPr/>
        <w:t>转增股本。</w:t>
      </w:r>
    </w:p>
    <w:p>
      <w:pPr>
        <w:pStyle w:val="BodyText"/>
        <w:spacing w:line="240" w:lineRule="auto" w:before="34"/>
        <w:ind w:left="3189" w:right="3265"/>
        <w:jc w:val="center"/>
      </w:pPr>
      <w:r>
        <w:rPr/>
        <w:t>公司最近三年现金分红情况表</w:t>
      </w:r>
    </w:p>
    <w:p>
      <w:pPr>
        <w:spacing w:line="240" w:lineRule="auto" w:before="4"/>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076"/>
        <w:gridCol w:w="1471"/>
        <w:gridCol w:w="2634"/>
        <w:gridCol w:w="2198"/>
        <w:gridCol w:w="1600"/>
      </w:tblGrid>
      <w:tr>
        <w:trPr>
          <w:trHeight w:val="94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0"/>
              <w:ind w:left="262" w:right="49" w:hanging="210"/>
              <w:jc w:val="left"/>
              <w:rPr>
                <w:rFonts w:ascii="宋体" w:hAnsi="宋体" w:cs="宋体" w:eastAsia="宋体" w:hint="default"/>
                <w:sz w:val="21"/>
                <w:szCs w:val="21"/>
              </w:rPr>
            </w:pPr>
            <w:r>
              <w:rPr>
                <w:rFonts w:ascii="宋体" w:hAnsi="宋体" w:cs="宋体" w:eastAsia="宋体" w:hint="default"/>
                <w:sz w:val="21"/>
                <w:szCs w:val="21"/>
              </w:rPr>
              <w:t>分红年度合并报表中归属于 上市公司股东的净利润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4" w:right="0"/>
              <w:jc w:val="left"/>
              <w:rPr>
                <w:rFonts w:ascii="宋体" w:hAnsi="宋体" w:cs="宋体" w:eastAsia="宋体" w:hint="default"/>
                <w:sz w:val="21"/>
                <w:szCs w:val="21"/>
              </w:rPr>
            </w:pPr>
            <w:r>
              <w:rPr>
                <w:rFonts w:ascii="宋体" w:hAnsi="宋体" w:cs="宋体" w:eastAsia="宋体" w:hint="default"/>
                <w:sz w:val="21"/>
                <w:szCs w:val="21"/>
              </w:rPr>
              <w:t>占合并报表中归属于上</w:t>
            </w:r>
          </w:p>
          <w:p>
            <w:pPr>
              <w:pStyle w:val="TableParagraph"/>
              <w:spacing w:line="273" w:lineRule="auto" w:before="37"/>
              <w:ind w:left="884" w:right="42" w:hanging="840"/>
              <w:jc w:val="left"/>
              <w:rPr>
                <w:rFonts w:ascii="宋体" w:hAnsi="宋体" w:cs="宋体" w:eastAsia="宋体" w:hint="default"/>
                <w:sz w:val="21"/>
                <w:szCs w:val="21"/>
              </w:rPr>
            </w:pPr>
            <w:r>
              <w:rPr>
                <w:rFonts w:ascii="宋体" w:hAnsi="宋体" w:cs="宋体" w:eastAsia="宋体" w:hint="default"/>
                <w:sz w:val="21"/>
                <w:szCs w:val="21"/>
              </w:rPr>
              <w:t>市公司股东的净利润的 比率</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323"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133,403,579.37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-257,094,725.71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-214,751,833.52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5" w:hRule="exact"/>
        </w:trPr>
        <w:tc>
          <w:tcPr>
            <w:tcW w:w="5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1"/>
        <w:rPr>
          <w:rFonts w:ascii="宋体" w:hAnsi="宋体" w:cs="宋体" w:eastAsia="宋体" w:hint="default"/>
          <w:sz w:val="28"/>
          <w:szCs w:val="28"/>
        </w:rPr>
      </w:pPr>
    </w:p>
    <w:p>
      <w:pPr>
        <w:pStyle w:val="Heading3"/>
        <w:spacing w:line="240" w:lineRule="auto" w:before="35"/>
        <w:ind w:left="913" w:right="327"/>
        <w:jc w:val="left"/>
        <w:rPr>
          <w:b w:val="0"/>
          <w:bCs w:val="0"/>
        </w:rPr>
      </w:pPr>
      <w:r>
        <w:rPr/>
        <w:t>八、其他需披露的事项</w:t>
      </w:r>
      <w:r>
        <w:rPr>
          <w:b w:val="0"/>
          <w:bCs w:val="0"/>
        </w:rPr>
      </w:r>
    </w:p>
    <w:p>
      <w:pPr>
        <w:spacing w:line="314" w:lineRule="auto" w:before="85"/>
        <w:ind w:left="897" w:right="327" w:firstLine="105"/>
        <w:jc w:val="left"/>
        <w:rPr>
          <w:rFonts w:ascii="宋体" w:hAnsi="宋体" w:cs="宋体" w:eastAsia="宋体" w:hint="default"/>
          <w:sz w:val="21"/>
          <w:szCs w:val="21"/>
        </w:rPr>
      </w:pPr>
      <w:r>
        <w:rPr>
          <w:rFonts w:ascii="宋体" w:hAnsi="宋体" w:cs="宋体" w:eastAsia="宋体" w:hint="default"/>
          <w:b/>
          <w:bCs/>
          <w:sz w:val="21"/>
          <w:szCs w:val="21"/>
        </w:rPr>
        <w:t>（一）内幕信息知情人管理制度的执行情况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公司制定了《内幕信息知情人管理制度》，对公司内幕信息知情人的范围、内幕信息知</w:t>
      </w:r>
    </w:p>
    <w:p>
      <w:pPr>
        <w:pStyle w:val="BodyText"/>
        <w:spacing w:line="309" w:lineRule="auto" w:before="20"/>
        <w:ind w:left="477" w:right="327"/>
        <w:jc w:val="left"/>
      </w:pPr>
      <w:r>
        <w:rPr/>
        <w:t>情人的登记备案、内幕信息的保密管理等方面进行了规范，并得到了严格执行。</w:t>
      </w:r>
      <w:r>
        <w:rPr>
          <w:rFonts w:ascii="Times New Roman" w:hAnsi="Times New Roman" w:cs="Times New Roman" w:eastAsia="Times New Roman" w:hint="default"/>
        </w:rPr>
        <w:t>2010</w:t>
      </w:r>
      <w:r>
        <w:rPr/>
        <w:t>年度， </w:t>
      </w:r>
      <w:r>
        <w:rPr>
          <w:spacing w:val="-3"/>
        </w:rPr>
        <w:t>公司办理完成了一次高管减持股份的相关报备工作。报告期内未发现内幕信息知情人在影响</w:t>
      </w:r>
      <w:r>
        <w:rPr>
          <w:spacing w:val="-73"/>
        </w:rPr>
        <w:t> </w:t>
      </w:r>
      <w:r>
        <w:rPr>
          <w:spacing w:val="-73"/>
        </w:rPr>
      </w:r>
      <w:r>
        <w:rPr>
          <w:spacing w:val="-3"/>
        </w:rPr>
        <w:t>公司股价的重大敏感信息披露前利用内幕信息买卖公司股份的情况，也没有受到监管部门在</w:t>
      </w:r>
      <w:r>
        <w:rPr>
          <w:spacing w:val="-73"/>
        </w:rPr>
        <w:t> </w:t>
      </w:r>
      <w:r>
        <w:rPr>
          <w:spacing w:val="-73"/>
        </w:rPr>
      </w:r>
      <w:r>
        <w:rPr/>
        <w:t>该方面的查处或收到整改通知。</w:t>
      </w:r>
    </w:p>
    <w:p>
      <w:pPr>
        <w:spacing w:line="314" w:lineRule="auto" w:before="24"/>
        <w:ind w:left="897" w:right="441" w:hanging="111"/>
        <w:jc w:val="left"/>
        <w:rPr>
          <w:rFonts w:ascii="宋体" w:hAnsi="宋体" w:cs="宋体" w:eastAsia="宋体" w:hint="default"/>
          <w:sz w:val="21"/>
          <w:szCs w:val="21"/>
        </w:rPr>
      </w:pPr>
      <w:r>
        <w:rPr>
          <w:rFonts w:ascii="宋体" w:hAnsi="宋体" w:cs="宋体" w:eastAsia="宋体" w:hint="default"/>
          <w:b/>
          <w:bCs/>
          <w:sz w:val="21"/>
          <w:szCs w:val="21"/>
        </w:rPr>
        <w:t>（二）公司外部信息使用人管理制度建立健全情况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报告期内，公司六届五次董事会会议审议通过了《公司外部信息使用人管理制度》，规</w:t>
      </w:r>
    </w:p>
    <w:p>
      <w:pPr>
        <w:pStyle w:val="BodyText"/>
        <w:spacing w:line="314" w:lineRule="auto" w:before="20"/>
        <w:ind w:left="477" w:right="433"/>
        <w:jc w:val="both"/>
      </w:pPr>
      <w:r>
        <w:rPr>
          <w:spacing w:val="-3"/>
        </w:rPr>
        <w:t>定了报送的外部单位相关人员作为内幕知情人的登记备案、其相关人员的保密义务，并制订</w:t>
      </w:r>
      <w:r>
        <w:rPr>
          <w:spacing w:val="-75"/>
        </w:rPr>
        <w:t> </w:t>
      </w:r>
      <w:r>
        <w:rPr>
          <w:spacing w:val="-75"/>
        </w:rPr>
      </w:r>
      <w:r>
        <w:rPr>
          <w:spacing w:val="-3"/>
        </w:rPr>
        <w:t>了标准的《外部信息使用人保密提醒书》，由保密义务人签署。公司外部信息使用人管理制</w:t>
      </w:r>
      <w:r>
        <w:rPr>
          <w:spacing w:val="-92"/>
        </w:rPr>
        <w:t> </w:t>
      </w:r>
      <w:r>
        <w:rPr>
          <w:spacing w:val="-92"/>
        </w:rPr>
      </w:r>
      <w:r>
        <w:rPr/>
        <w:t>度健全，报告期内没有发生外部信息使用人在信息保密期内使用公司信息的情形。</w:t>
      </w:r>
    </w:p>
    <w:p>
      <w:pPr>
        <w:spacing w:after="0" w:line="314" w:lineRule="auto"/>
        <w:jc w:val="both"/>
        <w:sectPr>
          <w:pgSz w:w="11910" w:h="16840"/>
          <w:pgMar w:header="877" w:footer="975" w:top="1100" w:bottom="1160" w:left="1320" w:right="1360"/>
        </w:sectPr>
      </w:pPr>
    </w:p>
    <w:p>
      <w:pPr>
        <w:spacing w:line="240" w:lineRule="auto" w:before="6"/>
        <w:rPr>
          <w:rFonts w:ascii="宋体" w:hAnsi="宋体" w:cs="宋体" w:eastAsia="宋体" w:hint="default"/>
          <w:sz w:val="25"/>
          <w:szCs w:val="25"/>
        </w:rPr>
      </w:pPr>
    </w:p>
    <w:p>
      <w:pPr>
        <w:pStyle w:val="Heading3"/>
        <w:spacing w:line="240" w:lineRule="auto" w:before="35"/>
        <w:ind w:right="4727"/>
        <w:jc w:val="left"/>
        <w:rPr>
          <w:b w:val="0"/>
          <w:bCs w:val="0"/>
        </w:rPr>
      </w:pPr>
      <w:r>
        <w:rPr/>
        <w:t>（三）其他事项</w:t>
      </w:r>
      <w:r>
        <w:rPr>
          <w:b w:val="0"/>
          <w:bCs w:val="0"/>
        </w:rPr>
      </w:r>
    </w:p>
    <w:p>
      <w:pPr>
        <w:pStyle w:val="BodyText"/>
        <w:spacing w:line="240" w:lineRule="auto" w:before="85"/>
        <w:ind w:left="557" w:right="102"/>
        <w:jc w:val="left"/>
      </w:pPr>
      <w:r>
        <w:rPr>
          <w:rFonts w:ascii="Times New Roman" w:hAnsi="Times New Roman" w:cs="Times New Roman" w:eastAsia="Times New Roman" w:hint="default"/>
        </w:rPr>
        <w:t>1</w:t>
      </w:r>
      <w:r>
        <w:rPr/>
        <w:t>、公司选定的信息披露报纸为《证券时报》。</w:t>
      </w:r>
    </w:p>
    <w:p>
      <w:pPr>
        <w:pStyle w:val="BodyText"/>
        <w:spacing w:line="240" w:lineRule="auto" w:before="69"/>
        <w:ind w:left="557" w:right="102"/>
        <w:jc w:val="left"/>
      </w:pPr>
      <w:r>
        <w:rPr>
          <w:rFonts w:ascii="Times New Roman" w:hAnsi="Times New Roman" w:cs="Times New Roman" w:eastAsia="Times New Roman" w:hint="default"/>
        </w:rPr>
        <w:t>2</w:t>
      </w:r>
      <w:r>
        <w:rPr/>
        <w:t>、因公司未分配利润为负数，存在未弥补亏损，最近三年公司均未进行利润分配。</w:t>
      </w:r>
    </w:p>
    <w:p>
      <w:pPr>
        <w:spacing w:line="240" w:lineRule="auto" w:before="10"/>
        <w:rPr>
          <w:rFonts w:ascii="宋体" w:hAnsi="宋体" w:cs="宋体" w:eastAsia="宋体" w:hint="default"/>
          <w:sz w:val="32"/>
          <w:szCs w:val="32"/>
        </w:rPr>
      </w:pPr>
    </w:p>
    <w:p>
      <w:pPr>
        <w:spacing w:line="314" w:lineRule="auto" w:before="0"/>
        <w:ind w:left="557" w:right="286" w:firstLine="2"/>
        <w:jc w:val="left"/>
        <w:rPr>
          <w:rFonts w:ascii="宋体" w:hAnsi="宋体" w:cs="宋体" w:eastAsia="宋体" w:hint="default"/>
          <w:sz w:val="21"/>
          <w:szCs w:val="21"/>
        </w:rPr>
      </w:pPr>
      <w:r>
        <w:rPr>
          <w:rFonts w:ascii="宋体" w:hAnsi="宋体" w:cs="宋体" w:eastAsia="宋体" w:hint="default"/>
          <w:b/>
          <w:bCs/>
          <w:sz w:val="21"/>
          <w:szCs w:val="21"/>
        </w:rPr>
        <w:t>九、独立董事对公司对外担保和关联方资金占用的专项说明及独立意见</w:t>
      </w:r>
      <w:r>
        <w:rPr>
          <w:rFonts w:ascii="宋体" w:hAnsi="宋体" w:cs="宋体" w:eastAsia="宋体" w:hint="default"/>
          <w:b/>
          <w:bCs/>
          <w:w w:val="99"/>
          <w:sz w:val="21"/>
          <w:szCs w:val="21"/>
        </w:rPr>
        <w:t> </w:t>
      </w:r>
      <w:r>
        <w:rPr>
          <w:rFonts w:ascii="宋体" w:hAnsi="宋体" w:cs="宋体" w:eastAsia="宋体" w:hint="default"/>
          <w:sz w:val="21"/>
          <w:szCs w:val="21"/>
        </w:rPr>
        <w:t>依据中国证监会证监发</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[2003]56</w:t>
      </w:r>
      <w:r>
        <w:rPr>
          <w:rFonts w:ascii="宋体" w:hAnsi="宋体" w:cs="宋体" w:eastAsia="宋体" w:hint="default"/>
          <w:sz w:val="21"/>
          <w:szCs w:val="21"/>
        </w:rPr>
        <w:t>号《关于规范上市公司与关联方资金往来及上市公司</w:t>
      </w:r>
    </w:p>
    <w:p>
      <w:pPr>
        <w:pStyle w:val="BodyText"/>
        <w:spacing w:line="309" w:lineRule="auto"/>
        <w:ind w:left="137" w:right="97"/>
        <w:jc w:val="left"/>
      </w:pPr>
      <w:r>
        <w:rPr>
          <w:spacing w:val="-4"/>
        </w:rPr>
        <w:t>对外担保若干问题的通知》和证监发</w:t>
      </w:r>
      <w:r>
        <w:rPr>
          <w:spacing w:val="21"/>
        </w:rPr>
        <w:t> </w:t>
      </w:r>
      <w:r>
        <w:rPr>
          <w:rFonts w:ascii="Times New Roman" w:hAnsi="Times New Roman" w:cs="Times New Roman" w:eastAsia="Times New Roman" w:hint="default"/>
          <w:spacing w:val="-3"/>
        </w:rPr>
        <w:t>[2003]120</w:t>
      </w:r>
      <w:r>
        <w:rPr>
          <w:spacing w:val="-3"/>
        </w:rPr>
        <w:t>号《关于规范上市公司对外担保行为的通知》</w:t>
      </w:r>
      <w:r>
        <w:rPr>
          <w:spacing w:val="-103"/>
        </w:rPr>
        <w:t> </w:t>
      </w:r>
      <w:r>
        <w:rPr>
          <w:spacing w:val="-103"/>
        </w:rPr>
      </w:r>
      <w:r>
        <w:rPr>
          <w:spacing w:val="-3"/>
        </w:rPr>
        <w:t>的要求，我们本着对公司、全体股东尤其是中小投资者负责的态度，按照实事求是的原则对</w:t>
      </w:r>
      <w:r>
        <w:rPr>
          <w:spacing w:val="-72"/>
        </w:rPr>
        <w:t> </w:t>
      </w:r>
      <w:r>
        <w:rPr>
          <w:spacing w:val="-72"/>
        </w:rPr>
      </w:r>
      <w:r>
        <w:rPr>
          <w:spacing w:val="-3"/>
        </w:rPr>
        <w:t>公司对外担保及关联方欠款情况进行了认真地检查和落实，对公司进行了必要地核查和讯问</w:t>
      </w:r>
      <w:r>
        <w:rPr>
          <w:spacing w:val="-73"/>
        </w:rPr>
        <w:t> </w:t>
      </w:r>
      <w:r>
        <w:rPr>
          <w:spacing w:val="-73"/>
        </w:rPr>
      </w:r>
      <w:r>
        <w:rPr/>
        <w:t>后，发表如下独立意见：</w:t>
      </w:r>
    </w:p>
    <w:p>
      <w:pPr>
        <w:pStyle w:val="BodyText"/>
        <w:spacing w:line="314" w:lineRule="auto" w:before="24"/>
        <w:ind w:left="557" w:right="3887"/>
        <w:jc w:val="left"/>
      </w:pPr>
      <w:r>
        <w:rPr/>
        <w:t>（一）关联方资金占用情况 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日关联方资金占用如下表：</w:t>
      </w:r>
    </w:p>
    <w:p>
      <w:pPr>
        <w:pStyle w:val="BodyText"/>
        <w:spacing w:line="272" w:lineRule="exact"/>
        <w:ind w:left="0" w:right="527"/>
        <w:jc w:val="right"/>
      </w:pPr>
      <w:r>
        <w:rPr/>
        <w:t>单位：人民币万元</w:t>
      </w:r>
    </w:p>
    <w:p>
      <w:pPr>
        <w:spacing w:line="240" w:lineRule="auto" w:before="4"/>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520"/>
        <w:gridCol w:w="1440"/>
        <w:gridCol w:w="900"/>
        <w:gridCol w:w="900"/>
        <w:gridCol w:w="1260"/>
        <w:gridCol w:w="1260"/>
      </w:tblGrid>
      <w:tr>
        <w:trPr>
          <w:trHeight w:val="370"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占用性质</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r>
      <w:tr>
        <w:trPr>
          <w:trHeight w:val="371" w:hRule="exact"/>
        </w:trPr>
        <w:tc>
          <w:tcPr>
            <w:tcW w:w="25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宋体" w:hAnsi="宋体" w:cs="宋体" w:eastAsia="宋体" w:hint="default"/>
                <w:sz w:val="18"/>
                <w:szCs w:val="18"/>
              </w:rPr>
            </w:pPr>
            <w:r>
              <w:rPr>
                <w:rFonts w:ascii="宋体" w:hAnsi="宋体" w:cs="宋体" w:eastAsia="宋体" w:hint="default"/>
                <w:sz w:val="18"/>
                <w:szCs w:val="18"/>
              </w:rPr>
              <w:t>深圳达泰宁科技有限公司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经营性占用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78.53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非经营性占用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184.19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23"/>
              <w:jc w:val="left"/>
              <w:rPr>
                <w:rFonts w:ascii="宋体" w:hAnsi="宋体" w:cs="宋体" w:eastAsia="宋体" w:hint="default"/>
                <w:sz w:val="18"/>
                <w:szCs w:val="18"/>
              </w:rPr>
            </w:pPr>
            <w:r>
              <w:rPr>
                <w:rFonts w:ascii="宋体" w:hAnsi="宋体" w:cs="宋体" w:eastAsia="宋体" w:hint="default"/>
                <w:spacing w:val="-5"/>
                <w:sz w:val="18"/>
                <w:szCs w:val="18"/>
              </w:rPr>
              <w:t>中委农业投资（委内瑞拉）有限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非经营性占用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经营性占用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3,036.41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2.61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r>
      <w:tr>
        <w:trPr>
          <w:trHeight w:val="37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3,114.94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Times New Roman" w:hAnsi="Times New Roman" w:cs="Times New Roman" w:eastAsia="Times New Roman" w:hint="default"/>
                <w:sz w:val="18"/>
                <w:szCs w:val="18"/>
              </w:rPr>
            </w:pPr>
            <w:r>
              <w:rPr>
                <w:rFonts w:ascii="Times New Roman"/>
                <w:sz w:val="18"/>
              </w:rPr>
              <w:t>184.19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Times New Roman" w:hAnsi="Times New Roman" w:cs="Times New Roman" w:eastAsia="Times New Roman" w:hint="default"/>
                <w:sz w:val="18"/>
                <w:szCs w:val="18"/>
              </w:rPr>
            </w:pPr>
            <w:r>
              <w:rPr>
                <w:rFonts w:ascii="Times New Roman"/>
                <w:sz w:val="18"/>
              </w:rPr>
              <w:t>8.61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14" w:lineRule="auto" w:before="42"/>
        <w:ind w:left="137" w:right="107" w:firstLine="420"/>
        <w:jc w:val="left"/>
      </w:pPr>
      <w:r>
        <w:rPr>
          <w:spacing w:val="-3"/>
        </w:rPr>
        <w:t>报告期内，在破产重整程序中，深圳达泰宁科技有限公司和深圳市泰丰通讯电子有限公</w:t>
      </w:r>
      <w:r>
        <w:rPr/>
        <w:t> </w:t>
      </w:r>
      <w:r>
        <w:rPr>
          <w:spacing w:val="-3"/>
        </w:rPr>
        <w:t>司分别向泰丰科技公司和西部房地产公司申报债权，并分别依照泰丰科技公司和西部房地产</w:t>
      </w:r>
      <w:r>
        <w:rPr>
          <w:spacing w:val="-73"/>
        </w:rPr>
        <w:t> </w:t>
      </w:r>
      <w:r>
        <w:rPr>
          <w:spacing w:val="-73"/>
        </w:rPr>
      </w:r>
      <w:r>
        <w:rPr/>
        <w:t>公司的《重整计划》获得了部分清偿。根据《重整计划》减免的债务，依照《企业破产法》 第九十四条的规定，泰丰科技公司和西部房地产公司不再承担清偿责任。</w:t>
      </w:r>
    </w:p>
    <w:p>
      <w:pPr>
        <w:pStyle w:val="BodyText"/>
        <w:spacing w:line="297" w:lineRule="auto" w:before="20"/>
        <w:ind w:left="137" w:right="213" w:firstLine="420"/>
        <w:jc w:val="both"/>
      </w:pPr>
      <w:r>
        <w:rPr/>
        <w:t>报告期内，上市公司向控股股东及其子公司提供资金的发生额和余额均为</w:t>
      </w:r>
      <w:r>
        <w:rPr>
          <w:rFonts w:ascii="Times New Roman" w:hAnsi="Times New Roman" w:cs="Times New Roman" w:eastAsia="Times New Roman" w:hint="default"/>
        </w:rPr>
        <w:t>0.00</w:t>
      </w:r>
      <w:r>
        <w:rPr>
          <w:rFonts w:ascii="Times New Roman" w:hAnsi="Times New Roman" w:cs="Times New Roman" w:eastAsia="Times New Roman" w:hint="default"/>
          <w:spacing w:val="51"/>
        </w:rPr>
        <w:t> </w:t>
      </w:r>
      <w:r>
        <w:rPr/>
        <w:t>万元， </w:t>
      </w:r>
      <w:r>
        <w:rPr>
          <w:spacing w:val="-1"/>
        </w:rPr>
        <w:t>向其他关联方提供资金的余额为</w:t>
      </w:r>
      <w:r>
        <w:rPr>
          <w:rFonts w:ascii="Times New Roman" w:hAnsi="Times New Roman" w:cs="Times New Roman" w:eastAsia="Times New Roman" w:hint="default"/>
          <w:spacing w:val="-1"/>
        </w:rPr>
        <w:t>184.19</w:t>
      </w:r>
      <w:r>
        <w:rPr>
          <w:spacing w:val="-1"/>
        </w:rPr>
        <w:t>万元。公司与关联方发生的债权、债务往来情况皆系</w:t>
      </w:r>
      <w:r>
        <w:rPr/>
        <w:t> 以前年度往来形成的历史遗留问题，主要原因是借款形成的。</w:t>
      </w:r>
    </w:p>
    <w:p>
      <w:pPr>
        <w:pStyle w:val="BodyText"/>
        <w:spacing w:line="314" w:lineRule="auto" w:before="34"/>
        <w:ind w:left="557" w:right="4517"/>
        <w:jc w:val="left"/>
      </w:pPr>
      <w:r>
        <w:rPr/>
        <w:t>（二）对外担保情况 报告期内，公司未发生新的担保事项。</w:t>
      </w:r>
    </w:p>
    <w:p>
      <w:pPr>
        <w:pStyle w:val="BodyText"/>
        <w:spacing w:line="302" w:lineRule="auto" w:before="20"/>
        <w:ind w:left="137" w:right="102" w:firstLine="420"/>
        <w:jc w:val="left"/>
      </w:pPr>
      <w:r>
        <w:rPr>
          <w:spacing w:val="-5"/>
        </w:rPr>
        <w:t>公司在</w:t>
      </w:r>
      <w:r>
        <w:rPr>
          <w:rFonts w:ascii="Times New Roman" w:hAnsi="Times New Roman" w:cs="Times New Roman" w:eastAsia="Times New Roman" w:hint="default"/>
          <w:spacing w:val="-5"/>
        </w:rPr>
        <w:t>2009</w:t>
      </w:r>
      <w:r>
        <w:rPr>
          <w:spacing w:val="-5"/>
        </w:rPr>
        <w:t>年度进入破产重整程序，报告期内，公司下属四家子公司进入破产重整程序。</w:t>
      </w:r>
      <w:r>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月，各自的《重整计划》获得债权人和出资人会议审核通过并经深圳市中级人民法 院批准。</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日，深圳市中级人民法院裁定公司及下属四家子公司的《重整计划》执行完 </w:t>
      </w:r>
      <w:r>
        <w:rPr>
          <w:spacing w:val="-3"/>
        </w:rPr>
        <w:t>毕。在重整程序中，公司的对外担保（包括对下属子公司的担保）和下属四家子公司的对外</w:t>
      </w:r>
      <w:r>
        <w:rPr>
          <w:spacing w:val="-73"/>
        </w:rPr>
        <w:t> </w:t>
      </w:r>
      <w:r>
        <w:rPr>
          <w:spacing w:val="-73"/>
        </w:rPr>
      </w:r>
      <w:r>
        <w:rPr>
          <w:spacing w:val="-5"/>
        </w:rPr>
        <w:t>担保（包括对关联公司的担保）而产生的债务，均已依照“</w:t>
      </w:r>
      <w:r>
        <w:rPr>
          <w:rFonts w:ascii="Times New Roman" w:hAnsi="Times New Roman" w:cs="Times New Roman" w:eastAsia="Times New Roman" w:hint="default"/>
          <w:spacing w:val="-5"/>
        </w:rPr>
        <w:t>1+4</w:t>
      </w:r>
      <w:r>
        <w:rPr>
          <w:spacing w:val="-5"/>
        </w:rPr>
        <w:t>”《重整计划》获得了部分清</w:t>
      </w:r>
      <w:r>
        <w:rPr/>
        <w:t> </w:t>
      </w:r>
      <w:r>
        <w:rPr>
          <w:spacing w:val="-3"/>
        </w:rPr>
        <w:t>偿。对于根据《重整计划》减免的债务，依照《企业破产法》第九十四条的规定，公司和下</w:t>
      </w:r>
      <w:r>
        <w:rPr>
          <w:spacing w:val="-81"/>
        </w:rPr>
        <w:t> </w:t>
      </w:r>
      <w:r>
        <w:rPr>
          <w:spacing w:val="-81"/>
        </w:rPr>
      </w:r>
      <w:r>
        <w:rPr/>
        <w:t>属四家子公司不再承担清偿责任。</w:t>
      </w:r>
    </w:p>
    <w:p>
      <w:pPr>
        <w:pStyle w:val="BodyText"/>
        <w:spacing w:line="240" w:lineRule="auto" w:before="30"/>
        <w:ind w:left="557" w:right="102"/>
        <w:jc w:val="left"/>
      </w:pPr>
      <w:r>
        <w:rPr/>
        <w:t>至此，公司和下属子公司均无对外担保事项。</w:t>
      </w:r>
    </w:p>
    <w:p>
      <w:pPr>
        <w:spacing w:after="0" w:line="240" w:lineRule="auto"/>
        <w:jc w:val="left"/>
        <w:sectPr>
          <w:pgSz w:w="11910" w:h="16840"/>
          <w:pgMar w:header="877" w:footer="975" w:top="1100" w:bottom="1160" w:left="1660" w:right="1580"/>
        </w:sectPr>
      </w:pPr>
    </w:p>
    <w:p>
      <w:pPr>
        <w:spacing w:line="240" w:lineRule="auto" w:before="6"/>
        <w:rPr>
          <w:rFonts w:ascii="宋体" w:hAnsi="宋体" w:cs="宋体" w:eastAsia="宋体" w:hint="default"/>
          <w:sz w:val="25"/>
          <w:szCs w:val="25"/>
        </w:rPr>
      </w:pPr>
    </w:p>
    <w:p>
      <w:pPr>
        <w:pStyle w:val="BodyText"/>
        <w:spacing w:line="314" w:lineRule="auto" w:before="35"/>
        <w:ind w:left="137" w:right="151" w:firstLine="420"/>
        <w:jc w:val="both"/>
      </w:pPr>
      <w:r>
        <w:rPr>
          <w:spacing w:val="-3"/>
        </w:rPr>
        <w:t>（三）我们将继续依法对公司的关联交易、对外担保事项予以关注，并督促公司严格按</w:t>
      </w:r>
      <w:r>
        <w:rPr/>
        <w:t> </w:t>
      </w:r>
      <w:r>
        <w:rPr>
          <w:spacing w:val="-3"/>
        </w:rPr>
        <w:t>照中国证监会、深圳证券交易所的相关规定，严格履行相应的决策程序和信息披露义务，继</w:t>
      </w:r>
      <w:r>
        <w:rPr>
          <w:spacing w:val="-72"/>
        </w:rPr>
        <w:t> </w:t>
      </w:r>
      <w:r>
        <w:rPr>
          <w:spacing w:val="-72"/>
        </w:rPr>
      </w:r>
      <w:r>
        <w:rPr/>
        <w:t>续严格控制对外担保风险，保护公司特别是中小投资者的权益。</w:t>
      </w:r>
    </w:p>
    <w:p>
      <w:pPr>
        <w:spacing w:line="240" w:lineRule="auto" w:before="0"/>
        <w:rPr>
          <w:rFonts w:ascii="宋体" w:hAnsi="宋体" w:cs="宋体" w:eastAsia="宋体" w:hint="default"/>
          <w:sz w:val="29"/>
          <w:szCs w:val="29"/>
        </w:rPr>
      </w:pPr>
    </w:p>
    <w:p>
      <w:pPr>
        <w:pStyle w:val="BodyText"/>
        <w:tabs>
          <w:tab w:pos="6123" w:val="left" w:leader="none"/>
          <w:tab w:pos="6753" w:val="left" w:leader="none"/>
        </w:tabs>
        <w:spacing w:line="314" w:lineRule="auto"/>
        <w:ind w:left="4443" w:right="589"/>
        <w:jc w:val="center"/>
      </w:pPr>
      <w:r>
        <w:rPr/>
        <w:t>深圳市深信泰丰（集团）股份有限公司 </w:t>
      </w:r>
      <w:r>
        <w:rPr>
          <w:spacing w:val="-1"/>
        </w:rPr>
        <w:t>独立董事：张溯</w:t>
        <w:tab/>
        <w:t>吴军</w:t>
        <w:tab/>
      </w:r>
      <w:r>
        <w:rPr/>
        <w:t>刘崇</w:t>
      </w:r>
    </w:p>
    <w:p>
      <w:pPr>
        <w:pStyle w:val="BodyText"/>
        <w:spacing w:line="240" w:lineRule="auto" w:before="20"/>
        <w:ind w:left="3881" w:right="16"/>
        <w:jc w:val="center"/>
      </w:pPr>
      <w:r>
        <w:rPr/>
        <w:t>二</w:t>
      </w:r>
      <w:r>
        <w:rPr>
          <w:spacing w:val="-54"/>
        </w:rPr>
        <w:t> </w:t>
      </w:r>
      <w:r>
        <w:rPr>
          <w:rFonts w:ascii="Times New Roman" w:hAnsi="Times New Roman" w:cs="Times New Roman" w:eastAsia="Times New Roman" w:hint="default"/>
        </w:rPr>
        <w:t>O</w:t>
      </w:r>
      <w:r>
        <w:rPr>
          <w:rFonts w:ascii="Times New Roman" w:hAnsi="Times New Roman" w:cs="Times New Roman" w:eastAsia="Times New Roman" w:hint="default"/>
          <w:spacing w:val="-2"/>
        </w:rPr>
        <w:t> </w:t>
      </w:r>
      <w:r>
        <w:rPr/>
        <w:t>一一年二月二十四日</w:t>
      </w:r>
    </w:p>
    <w:p>
      <w:pPr>
        <w:spacing w:after="0" w:line="240" w:lineRule="auto"/>
        <w:jc w:val="center"/>
        <w:sectPr>
          <w:pgSz w:w="11910" w:h="16840"/>
          <w:pgMar w:header="877" w:footer="975" w:top="1100" w:bottom="1160" w:left="1660" w:right="1640"/>
        </w:sectPr>
      </w:pPr>
    </w:p>
    <w:p>
      <w:pPr>
        <w:spacing w:line="240" w:lineRule="auto" w:before="11"/>
        <w:rPr>
          <w:rFonts w:ascii="宋体" w:hAnsi="宋体" w:cs="宋体" w:eastAsia="宋体" w:hint="default"/>
          <w:sz w:val="20"/>
          <w:szCs w:val="20"/>
        </w:rPr>
      </w:pPr>
    </w:p>
    <w:p>
      <w:pPr>
        <w:pStyle w:val="Heading1"/>
        <w:tabs>
          <w:tab w:pos="1124" w:val="left" w:leader="none"/>
        </w:tabs>
        <w:spacing w:line="240" w:lineRule="auto"/>
        <w:ind w:right="75"/>
        <w:jc w:val="center"/>
        <w:rPr>
          <w:b w:val="0"/>
          <w:bCs w:val="0"/>
        </w:rPr>
      </w:pPr>
      <w:bookmarkStart w:name="_TOC_250002" w:id="8"/>
      <w:r>
        <w:rPr>
          <w:w w:val="95"/>
        </w:rPr>
        <w:t>第八节</w:t>
        <w:tab/>
      </w:r>
      <w:r>
        <w:rPr/>
        <w:t>监事会报告</w:t>
      </w:r>
      <w:bookmarkEnd w:id="8"/>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5"/>
          <w:szCs w:val="35"/>
        </w:rPr>
      </w:pPr>
    </w:p>
    <w:p>
      <w:pPr>
        <w:pStyle w:val="Heading3"/>
        <w:spacing w:line="240" w:lineRule="auto"/>
        <w:ind w:left="677" w:right="4727"/>
        <w:jc w:val="left"/>
        <w:rPr>
          <w:b w:val="0"/>
          <w:bCs w:val="0"/>
        </w:rPr>
      </w:pPr>
      <w:r>
        <w:rPr/>
        <w:t>一、监事会工作情况</w:t>
      </w:r>
      <w:r>
        <w:rPr>
          <w:b w:val="0"/>
          <w:bCs w:val="0"/>
        </w:rPr>
      </w:r>
    </w:p>
    <w:p>
      <w:pPr>
        <w:pStyle w:val="BodyText"/>
        <w:spacing w:line="240" w:lineRule="auto" w:before="85"/>
        <w:ind w:left="677" w:right="10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年，监事会召开了</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次监事会会议，会议的具体情况如下：</w:t>
      </w:r>
    </w:p>
    <w:p>
      <w:pPr>
        <w:pStyle w:val="BodyText"/>
        <w:spacing w:line="240" w:lineRule="auto" w:before="69"/>
        <w:ind w:left="677" w:right="102"/>
        <w:jc w:val="left"/>
      </w:pPr>
      <w:r>
        <w:rPr/>
        <w:t>（一）</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日，召开五届五次会议，相关决议公告刊登在</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10 </w:t>
      </w:r>
      <w:r>
        <w:rPr/>
        <w:t>日</w:t>
      </w:r>
      <w:r>
        <w:rPr>
          <w:spacing w:val="-2"/>
        </w:rPr>
        <w:t>《</w:t>
      </w:r>
      <w:r>
        <w:rPr/>
        <w:t>证券时报</w:t>
      </w:r>
      <w:r>
        <w:rPr>
          <w:spacing w:val="-105"/>
        </w:rPr>
        <w:t>》</w:t>
      </w:r>
      <w:r>
        <w:rPr/>
        <w:t>；</w:t>
      </w:r>
    </w:p>
    <w:p>
      <w:pPr>
        <w:pStyle w:val="BodyText"/>
        <w:spacing w:line="240" w:lineRule="auto" w:before="69"/>
        <w:ind w:left="677" w:right="102"/>
        <w:jc w:val="left"/>
      </w:pPr>
      <w:r>
        <w:rPr/>
        <w:t>（二）</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日，召开五届六次会议；</w:t>
      </w:r>
    </w:p>
    <w:p>
      <w:pPr>
        <w:pStyle w:val="BodyText"/>
        <w:spacing w:line="240" w:lineRule="auto" w:before="69"/>
        <w:ind w:left="677" w:right="102"/>
        <w:jc w:val="left"/>
      </w:pPr>
      <w:r>
        <w:rPr/>
        <w:t>（三）</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日，召开五届七次会议；</w:t>
      </w:r>
    </w:p>
    <w:p>
      <w:pPr>
        <w:pStyle w:val="BodyText"/>
        <w:spacing w:line="240" w:lineRule="auto" w:before="69"/>
        <w:ind w:left="677" w:right="0"/>
        <w:jc w:val="left"/>
      </w:pPr>
      <w:r>
        <w:rPr/>
        <w:t>（四</w:t>
      </w:r>
      <w:r>
        <w:rPr>
          <w:spacing w:val="-39"/>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t>日</w:t>
      </w:r>
      <w:r>
        <w:rPr>
          <w:spacing w:val="-39"/>
        </w:rPr>
        <w:t>，</w:t>
      </w:r>
      <w:r>
        <w:rPr/>
        <w:t>召开</w:t>
      </w:r>
      <w:r>
        <w:rPr>
          <w:spacing w:val="-2"/>
        </w:rPr>
        <w:t>五</w:t>
      </w:r>
      <w:r>
        <w:rPr/>
        <w:t>届八次会议</w:t>
      </w:r>
      <w:r>
        <w:rPr>
          <w:spacing w:val="-39"/>
        </w:rPr>
        <w:t>，</w:t>
      </w:r>
      <w:r>
        <w:rPr/>
        <w:t>相关决议公告刊登在</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 </w:t>
      </w:r>
      <w:r>
        <w:rPr>
          <w:spacing w:val="-39"/>
        </w:rPr>
        <w:t>日</w:t>
      </w:r>
      <w:r>
        <w:rPr/>
        <w:t>《</w:t>
      </w:r>
      <w:r>
        <w:rPr>
          <w:spacing w:val="-2"/>
        </w:rPr>
        <w:t>证</w:t>
      </w:r>
      <w:r>
        <w:rPr/>
        <w:t>券时报</w:t>
      </w:r>
      <w:r>
        <w:rPr>
          <w:spacing w:val="-105"/>
        </w:rPr>
        <w:t>》</w:t>
      </w:r>
      <w:r>
        <w:rPr/>
        <w:t>；</w:t>
      </w:r>
    </w:p>
    <w:p>
      <w:pPr>
        <w:spacing w:line="297" w:lineRule="auto" w:before="69"/>
        <w:ind w:left="662" w:right="158" w:firstLine="14"/>
        <w:jc w:val="left"/>
        <w:rPr>
          <w:rFonts w:ascii="宋体" w:hAnsi="宋体" w:cs="宋体" w:eastAsia="宋体"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日，召开五届九次会议，相关决议公告刊登在</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pacing w:val="-14"/>
          <w:sz w:val="21"/>
          <w:szCs w:val="21"/>
        </w:rPr>
        <w:t>日《证券时报》。</w:t>
      </w:r>
      <w:r>
        <w:rPr>
          <w:rFonts w:ascii="宋体" w:hAnsi="宋体" w:cs="宋体" w:eastAsia="宋体" w:hint="default"/>
          <w:sz w:val="21"/>
          <w:szCs w:val="21"/>
        </w:rPr>
        <w:t> </w:t>
      </w:r>
      <w:r>
        <w:rPr>
          <w:rFonts w:ascii="宋体" w:hAnsi="宋体" w:cs="宋体" w:eastAsia="宋体" w:hint="default"/>
          <w:b/>
          <w:bCs/>
          <w:sz w:val="21"/>
          <w:szCs w:val="21"/>
        </w:rPr>
        <w:t>二、公司监事会的独立意见</w:t>
      </w:r>
      <w:r>
        <w:rPr>
          <w:rFonts w:ascii="宋体" w:hAnsi="宋体" w:cs="宋体" w:eastAsia="宋体" w:hint="default"/>
          <w:sz w:val="21"/>
          <w:szCs w:val="21"/>
        </w:rPr>
      </w:r>
    </w:p>
    <w:p>
      <w:pPr>
        <w:pStyle w:val="BodyText"/>
        <w:spacing w:line="314" w:lineRule="auto" w:before="34"/>
        <w:ind w:left="662" w:right="104"/>
        <w:jc w:val="left"/>
      </w:pPr>
      <w:r>
        <w:rPr/>
        <w:t>（一）监事会对公司依法运作情况的独立意见 </w:t>
      </w:r>
      <w:r>
        <w:rPr>
          <w:spacing w:val="-8"/>
        </w:rPr>
        <w:t>报告期内，公司监事会按照《公司法》、《深圳证券交易所主板上市公司规范运作指引》</w:t>
      </w:r>
    </w:p>
    <w:p>
      <w:pPr>
        <w:pStyle w:val="BodyText"/>
        <w:spacing w:line="312" w:lineRule="auto" w:before="20"/>
        <w:ind w:left="136" w:right="108"/>
        <w:jc w:val="left"/>
      </w:pPr>
      <w:r>
        <w:rPr>
          <w:spacing w:val="-3"/>
        </w:rPr>
        <w:t>和《公司章程》的有关规定，本着向全体股东负责的态度，忠实、认真履行监事会的监督职</w:t>
      </w:r>
      <w:r>
        <w:rPr>
          <w:spacing w:val="-79"/>
        </w:rPr>
        <w:t> </w:t>
      </w:r>
      <w:r>
        <w:rPr>
          <w:spacing w:val="-79"/>
        </w:rPr>
      </w:r>
      <w:r>
        <w:rPr/>
        <w:t>能，对公司股东大会、董事会的召开程序、决议事项、董事会对股东大会决议的执行情况、 </w:t>
      </w:r>
      <w:r>
        <w:rPr>
          <w:spacing w:val="-3"/>
        </w:rPr>
        <w:t>公司高级管理人员执行职务的情况及公司管理制度的制定及实施等进行监督。通过监督，我</w:t>
      </w:r>
      <w:r>
        <w:rPr>
          <w:spacing w:val="-75"/>
        </w:rPr>
        <w:t> </w:t>
      </w:r>
      <w:r>
        <w:rPr>
          <w:spacing w:val="-75"/>
        </w:rPr>
      </w:r>
      <w:r>
        <w:rPr/>
        <w:t>们认为，在 </w:t>
      </w: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spacing w:val="-10"/>
        </w:rPr>
        <w:t>年度，公司董事会和经营层能够严格按照《公司法》、《证券法》、深圳证</w:t>
      </w:r>
      <w:r>
        <w:rPr>
          <w:spacing w:val="-76"/>
        </w:rPr>
        <w:t> </w:t>
      </w:r>
      <w:r>
        <w:rPr>
          <w:spacing w:val="-76"/>
        </w:rPr>
      </w:r>
      <w:r>
        <w:rPr>
          <w:spacing w:val="-8"/>
        </w:rPr>
        <w:t>券交易所《股票上市规则》、《主板上市公司规范运作指引》和《公司章程》等相关法律、部</w:t>
      </w:r>
      <w:r>
        <w:rPr>
          <w:spacing w:val="-78"/>
        </w:rPr>
        <w:t> </w:t>
      </w:r>
      <w:r>
        <w:rPr>
          <w:spacing w:val="-78"/>
        </w:rPr>
      </w:r>
      <w:r>
        <w:rPr>
          <w:spacing w:val="-3"/>
        </w:rPr>
        <w:t>门规章及公司制度运作，决策程序合法合规，符合公司制度的规定；公司经营目标明确，运</w:t>
      </w:r>
      <w:r>
        <w:rPr>
          <w:spacing w:val="-73"/>
        </w:rPr>
        <w:t> </w:t>
      </w:r>
      <w:r>
        <w:rPr>
          <w:spacing w:val="-73"/>
        </w:rPr>
      </w:r>
      <w:r>
        <w:rPr>
          <w:spacing w:val="-3"/>
        </w:rPr>
        <w:t>作规范；公司建立健全了完善的内部控制制度；公司董事、高级管理人员在执行公司职务时</w:t>
      </w:r>
      <w:r>
        <w:rPr>
          <w:spacing w:val="-74"/>
        </w:rPr>
        <w:t> </w:t>
      </w:r>
      <w:r>
        <w:rPr>
          <w:spacing w:val="-74"/>
        </w:rPr>
      </w:r>
      <w:r>
        <w:rPr>
          <w:spacing w:val="-3"/>
        </w:rPr>
        <w:t>均尽心尽力地履行自己的职责，履行了诚信和勤勉的义务，没有违反法律、法规、《公司章</w:t>
      </w:r>
      <w:r>
        <w:rPr>
          <w:spacing w:val="-77"/>
        </w:rPr>
        <w:t> </w:t>
      </w:r>
      <w:r>
        <w:rPr>
          <w:spacing w:val="-77"/>
        </w:rPr>
      </w:r>
      <w:r>
        <w:rPr/>
        <w:t>程》的行为，没有损害公司利益的行为，股东大会的各项决议也都得到了较好的落实。</w:t>
      </w:r>
    </w:p>
    <w:p>
      <w:pPr>
        <w:pStyle w:val="BodyText"/>
        <w:spacing w:line="314" w:lineRule="auto" w:before="22"/>
        <w:ind w:left="662" w:right="212"/>
        <w:jc w:val="left"/>
      </w:pPr>
      <w:r>
        <w:rPr/>
        <w:t>（二）监事会对公司财务状况的独立意见 监事会通过日常监督和检查，认为公司财务制度健全，财务管理得到进一步规范，公</w:t>
      </w:r>
    </w:p>
    <w:p>
      <w:pPr>
        <w:pStyle w:val="BodyText"/>
        <w:spacing w:line="309" w:lineRule="auto" w:before="20"/>
        <w:ind w:left="137" w:right="212"/>
        <w:jc w:val="both"/>
      </w:pPr>
      <w:r>
        <w:rPr>
          <w:spacing w:val="-3"/>
        </w:rPr>
        <w:t>司财务部门能认真贯彻国家有关会计制度及相关准则，建立健全公司内部控制管理制度，使</w:t>
      </w:r>
      <w:r>
        <w:rPr>
          <w:spacing w:val="-75"/>
        </w:rPr>
        <w:t> </w:t>
      </w:r>
      <w:r>
        <w:rPr>
          <w:spacing w:val="-75"/>
        </w:rPr>
      </w:r>
      <w:r>
        <w:rPr>
          <w:spacing w:val="-3"/>
        </w:rPr>
        <w:t>公司经营管理与财务管理有机结合，保障了广大投资者的利益。监事会认为公司</w:t>
      </w:r>
      <w:r>
        <w:rPr>
          <w:rFonts w:ascii="Times New Roman" w:hAnsi="Times New Roman" w:cs="Times New Roman" w:eastAsia="Times New Roman" w:hint="default"/>
          <w:spacing w:val="-3"/>
        </w:rPr>
        <w:t>2010</w:t>
      </w:r>
      <w:r>
        <w:rPr>
          <w:spacing w:val="-3"/>
        </w:rPr>
        <w:t>年度审</w:t>
      </w:r>
      <w:r>
        <w:rPr>
          <w:spacing w:val="-71"/>
        </w:rPr>
        <w:t> </w:t>
      </w:r>
      <w:r>
        <w:rPr>
          <w:spacing w:val="-3"/>
        </w:rPr>
        <w:t>计报告能够真实地反映公司的财务状况和经营成果，中审国际会计师事务所有限公司出具的</w:t>
      </w:r>
      <w:r>
        <w:rPr>
          <w:spacing w:val="-73"/>
        </w:rPr>
        <w:t> </w:t>
      </w:r>
      <w:r>
        <w:rPr>
          <w:spacing w:val="-73"/>
        </w:rPr>
      </w:r>
      <w:r>
        <w:rPr/>
        <w:t>审计意见是客观公正的。</w:t>
      </w:r>
    </w:p>
    <w:p>
      <w:pPr>
        <w:pStyle w:val="BodyText"/>
        <w:spacing w:line="314" w:lineRule="auto" w:before="24"/>
        <w:ind w:left="662" w:right="212"/>
        <w:jc w:val="left"/>
      </w:pPr>
      <w:r>
        <w:rPr/>
        <w:t>（三）监事会对公司收购、出售资产及关联交易行为的独立意见 报告期内，公司无出售资产行为，未发现内幕交易，公司发生关联交易业务时，能遵</w:t>
      </w:r>
    </w:p>
    <w:p>
      <w:pPr>
        <w:pStyle w:val="BodyText"/>
        <w:spacing w:line="240" w:lineRule="auto" w:before="20"/>
        <w:ind w:left="137" w:right="102"/>
        <w:jc w:val="left"/>
      </w:pPr>
      <w:r>
        <w:rPr/>
        <w:t>守各项规定，没有发现违规违法以及损害上市公司利益的行为。</w:t>
      </w:r>
    </w:p>
    <w:p>
      <w:pPr>
        <w:pStyle w:val="BodyText"/>
        <w:spacing w:line="314" w:lineRule="auto" w:before="85"/>
        <w:ind w:left="662" w:right="212"/>
        <w:jc w:val="left"/>
      </w:pPr>
      <w:r>
        <w:rPr/>
        <w:t>（四）监事会对内部控制自我评价的独立意见 监事会认为，</w:t>
      </w:r>
      <w:r>
        <w:rPr>
          <w:rFonts w:ascii="Times New Roman" w:hAnsi="Times New Roman" w:cs="Times New Roman" w:eastAsia="Times New Roman" w:hint="default"/>
        </w:rPr>
        <w:t>2010</w:t>
      </w:r>
      <w:r>
        <w:rPr/>
        <w:t>年，公司能够严格按照相关的规章制度对公司进行有效的管理和控</w:t>
      </w:r>
    </w:p>
    <w:p>
      <w:pPr>
        <w:pStyle w:val="BodyText"/>
        <w:spacing w:line="314" w:lineRule="auto"/>
        <w:ind w:left="137" w:right="102"/>
        <w:jc w:val="left"/>
      </w:pPr>
      <w:r>
        <w:rPr>
          <w:spacing w:val="-3"/>
        </w:rPr>
        <w:t>制，建立了较为完善的法人治理结构，内部控制体系健全而有效，内部控制机制和内部控制</w:t>
      </w:r>
      <w:r>
        <w:rPr>
          <w:spacing w:val="-72"/>
        </w:rPr>
        <w:t> </w:t>
      </w:r>
      <w:r>
        <w:rPr>
          <w:spacing w:val="-72"/>
        </w:rPr>
      </w:r>
      <w:r>
        <w:rPr/>
        <w:t>制度不存在重大缺陷，实际执行中亦不存在重大偏差或异常情况。</w:t>
      </w:r>
    </w:p>
    <w:p>
      <w:pPr>
        <w:spacing w:after="0" w:line="314" w:lineRule="auto"/>
        <w:jc w:val="left"/>
        <w:sectPr>
          <w:pgSz w:w="11910" w:h="16840"/>
          <w:pgMar w:header="877" w:footer="975" w:top="1100" w:bottom="1160" w:left="1660" w:right="1580"/>
        </w:sectPr>
      </w:pPr>
    </w:p>
    <w:p>
      <w:pPr>
        <w:spacing w:line="240" w:lineRule="auto" w:before="4"/>
        <w:rPr>
          <w:rFonts w:ascii="宋体" w:hAnsi="宋体" w:cs="宋体" w:eastAsia="宋体" w:hint="default"/>
          <w:sz w:val="23"/>
          <w:szCs w:val="23"/>
        </w:rPr>
      </w:pPr>
    </w:p>
    <w:p>
      <w:pPr>
        <w:pStyle w:val="Heading1"/>
        <w:tabs>
          <w:tab w:pos="1264" w:val="left" w:leader="none"/>
        </w:tabs>
        <w:spacing w:line="240" w:lineRule="auto"/>
        <w:ind w:right="74"/>
        <w:jc w:val="center"/>
        <w:rPr>
          <w:b w:val="0"/>
          <w:bCs w:val="0"/>
        </w:rPr>
      </w:pPr>
      <w:bookmarkStart w:name="_TOC_250001" w:id="9"/>
      <w:r>
        <w:rPr>
          <w:w w:val="95"/>
        </w:rPr>
        <w:t>第九节</w:t>
        <w:tab/>
      </w:r>
      <w:r>
        <w:rPr/>
        <w:t>重要事项</w:t>
      </w:r>
      <w:bookmarkEnd w:id="9"/>
      <w:r>
        <w:rPr>
          <w:b w:val="0"/>
          <w:bCs w:val="0"/>
        </w:rPr>
      </w:r>
    </w:p>
    <w:p>
      <w:pPr>
        <w:spacing w:line="240" w:lineRule="auto" w:before="11"/>
        <w:rPr>
          <w:rFonts w:ascii="宋体" w:hAnsi="宋体" w:cs="宋体" w:eastAsia="宋体" w:hint="default"/>
          <w:b/>
          <w:bCs/>
          <w:sz w:val="33"/>
          <w:szCs w:val="33"/>
        </w:rPr>
      </w:pPr>
    </w:p>
    <w:p>
      <w:pPr>
        <w:pStyle w:val="Heading3"/>
        <w:spacing w:line="240" w:lineRule="auto"/>
        <w:ind w:left="550" w:right="102"/>
        <w:jc w:val="left"/>
        <w:rPr>
          <w:b w:val="0"/>
          <w:bCs w:val="0"/>
        </w:rPr>
      </w:pPr>
      <w:r>
        <w:rPr/>
        <w:t>一、报告期内，公司完成</w:t>
      </w:r>
      <w:r>
        <w:rPr>
          <w:rFonts w:ascii="Times New Roman" w:hAnsi="Times New Roman" w:cs="Times New Roman" w:eastAsia="Times New Roman" w:hint="default"/>
        </w:rPr>
        <w:t>“1+4”</w:t>
      </w:r>
      <w:r>
        <w:rPr/>
        <w:t>模式破产重整工作的主要进程</w:t>
      </w:r>
      <w:r>
        <w:rPr>
          <w:b w:val="0"/>
          <w:bCs w:val="0"/>
        </w:rPr>
      </w:r>
    </w:p>
    <w:p>
      <w:pPr>
        <w:pStyle w:val="BodyText"/>
        <w:spacing w:line="240" w:lineRule="auto" w:before="69"/>
        <w:ind w:left="557" w:right="102"/>
        <w:jc w:val="left"/>
      </w:pPr>
      <w:r>
        <w:rPr/>
        <w:t>（一）本公司和下属四家子公司进入破产重整程序的有关情况</w:t>
      </w:r>
    </w:p>
    <w:p>
      <w:pPr>
        <w:pStyle w:val="BodyText"/>
        <w:spacing w:line="240" w:lineRule="auto" w:before="85"/>
        <w:ind w:left="557" w:right="4727"/>
        <w:jc w:val="left"/>
      </w:pPr>
      <w:r>
        <w:rPr>
          <w:rFonts w:ascii="Times New Roman" w:hAnsi="Times New Roman" w:cs="Times New Roman" w:eastAsia="Times New Roman" w:hint="default"/>
        </w:rPr>
        <w:t>1</w:t>
      </w:r>
      <w:r>
        <w:rPr/>
        <w:t>、本公司进入重整程序的有关情况</w:t>
      </w:r>
    </w:p>
    <w:p>
      <w:pPr>
        <w:pStyle w:val="BodyText"/>
        <w:spacing w:line="240" w:lineRule="auto" w:before="69"/>
        <w:ind w:left="557" w:right="102"/>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spacing w:val="-2"/>
        </w:rPr>
        <w:t>年</w:t>
      </w:r>
      <w:r>
        <w:rPr>
          <w:rFonts w:ascii="Times New Roman" w:hAnsi="Times New Roman" w:cs="Times New Roman" w:eastAsia="Times New Roman" w:hint="default"/>
        </w:rPr>
        <w:t>11</w:t>
      </w:r>
      <w:r>
        <w:rPr>
          <w:spacing w:val="-2"/>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t>日</w:t>
      </w:r>
      <w:r>
        <w:rPr>
          <w:spacing w:val="-100"/>
        </w:rPr>
        <w:t>，</w:t>
      </w:r>
      <w:r>
        <w:rPr/>
        <w:t>深圳中院作出裁定</w:t>
      </w:r>
      <w:r>
        <w:rPr>
          <w:spacing w:val="-100"/>
        </w:rPr>
        <w:t>，</w:t>
      </w:r>
      <w:r>
        <w:rPr/>
        <w:t>受理申请人提出的对本公司进行重整的申请</w:t>
      </w:r>
      <w:r>
        <w:rPr>
          <w:spacing w:val="-100"/>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p>
    <w:p>
      <w:pPr>
        <w:pStyle w:val="BodyText"/>
        <w:spacing w:line="240" w:lineRule="auto" w:before="69"/>
        <w:ind w:left="137" w:right="0"/>
        <w:jc w:val="both"/>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日，深圳中院裁定自</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43"/>
        </w:rPr>
        <w:t> </w:t>
      </w:r>
      <w:r>
        <w:rPr/>
        <w:t>日起对本公司进行重整。</w:t>
      </w:r>
    </w:p>
    <w:p>
      <w:pPr>
        <w:pStyle w:val="BodyText"/>
        <w:spacing w:line="240" w:lineRule="auto" w:before="69"/>
        <w:ind w:left="557" w:right="102"/>
        <w:jc w:val="left"/>
      </w:pPr>
      <w:r>
        <w:rPr>
          <w:rFonts w:ascii="Times New Roman" w:hAnsi="Times New Roman" w:cs="Times New Roman" w:eastAsia="Times New Roman" w:hint="default"/>
        </w:rPr>
        <w:t>2</w:t>
      </w:r>
      <w:r>
        <w:rPr/>
        <w:t>、本公司下属四家子公司进入重整程序的有关情况</w:t>
      </w:r>
    </w:p>
    <w:p>
      <w:pPr>
        <w:pStyle w:val="BodyText"/>
        <w:spacing w:line="297" w:lineRule="auto" w:before="69"/>
        <w:ind w:left="137" w:right="102" w:firstLine="420"/>
        <w:jc w:val="left"/>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15</w:t>
      </w:r>
      <w:r>
        <w:rPr>
          <w:spacing w:val="-3"/>
        </w:rPr>
        <w:t>日，深圳中院裁定本公司下属的四家子公司华宝饲料公司、华宝实业公司、</w:t>
      </w:r>
      <w:r>
        <w:rPr/>
        <w:t> 泰丰科技公司、西部房地产公司进入重整程序。</w:t>
      </w:r>
    </w:p>
    <w:p>
      <w:pPr>
        <w:pStyle w:val="BodyText"/>
        <w:spacing w:line="240" w:lineRule="auto" w:before="34"/>
        <w:ind w:left="557" w:right="4727"/>
        <w:jc w:val="left"/>
      </w:pPr>
      <w:r>
        <w:rPr/>
        <w:t>（二）债权人会议情况</w:t>
      </w:r>
    </w:p>
    <w:p>
      <w:pPr>
        <w:pStyle w:val="BodyText"/>
        <w:spacing w:line="297" w:lineRule="auto" w:before="85"/>
        <w:ind w:left="137" w:right="102" w:firstLine="420"/>
        <w:jc w:val="left"/>
      </w:pP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月下旬，本公司和下属四家子公司的债权人会议和出资人会议分别表决通过 了各自的《重整计划》。</w:t>
      </w:r>
    </w:p>
    <w:p>
      <w:pPr>
        <w:pStyle w:val="BodyText"/>
        <w:spacing w:line="240" w:lineRule="auto" w:before="34"/>
        <w:ind w:left="557" w:right="102"/>
        <w:jc w:val="left"/>
      </w:pPr>
      <w:r>
        <w:rPr/>
        <w:t>（三）法院批准《重整计划》的有关情况</w:t>
      </w:r>
    </w:p>
    <w:p>
      <w:pPr>
        <w:pStyle w:val="BodyText"/>
        <w:spacing w:line="240" w:lineRule="auto" w:before="85"/>
        <w:ind w:left="557" w:right="102"/>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日，深圳中院裁定批准本公司和下属四家子公司的《重整计划》。</w:t>
      </w:r>
    </w:p>
    <w:p>
      <w:pPr>
        <w:pStyle w:val="BodyText"/>
        <w:spacing w:line="240" w:lineRule="auto" w:before="69"/>
        <w:ind w:left="557" w:right="102"/>
        <w:jc w:val="left"/>
      </w:pPr>
      <w:r>
        <w:rPr/>
        <w:t>（四）依照《重整计划》调整股东权益、清偿债务的情况</w:t>
      </w:r>
    </w:p>
    <w:p>
      <w:pPr>
        <w:pStyle w:val="BodyText"/>
        <w:spacing w:line="297" w:lineRule="auto" w:before="85"/>
        <w:ind w:left="137" w:right="206" w:firstLine="420"/>
        <w:jc w:val="left"/>
      </w:pPr>
      <w:r>
        <w:rPr>
          <w:rFonts w:ascii="Times New Roman" w:hAnsi="Times New Roman" w:cs="Times New Roman" w:eastAsia="Times New Roman" w:hint="default"/>
        </w:rPr>
        <w:t>1</w:t>
      </w:r>
      <w:r>
        <w:rPr/>
        <w:t>、按照《重整计划》，截至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日收市时登记在册的本公司限售流通股股东 无偿让渡</w:t>
      </w:r>
      <w:r>
        <w:rPr>
          <w:rFonts w:ascii="Times New Roman" w:hAnsi="Times New Roman" w:cs="Times New Roman" w:eastAsia="Times New Roman" w:hint="default"/>
        </w:rPr>
        <w:t>15%</w:t>
      </w:r>
      <w:r>
        <w:rPr/>
        <w:t>的限售流通股股票，全体流通股股东各自无偿让渡所持有的</w:t>
      </w:r>
      <w:r>
        <w:rPr>
          <w:rFonts w:ascii="Times New Roman" w:hAnsi="Times New Roman" w:cs="Times New Roman" w:eastAsia="Times New Roman" w:hint="default"/>
        </w:rPr>
        <w:t>10%</w:t>
      </w:r>
      <w:r>
        <w:rPr/>
        <w:t>的流通股股 票。以上合计让渡本公司股票 </w:t>
      </w:r>
      <w:r>
        <w:rPr>
          <w:rFonts w:ascii="Times New Roman" w:hAnsi="Times New Roman" w:cs="Times New Roman" w:eastAsia="Times New Roman" w:hint="default"/>
        </w:rPr>
        <w:t>44,264,819</w:t>
      </w:r>
      <w:r>
        <w:rPr>
          <w:rFonts w:ascii="Times New Roman" w:hAnsi="Times New Roman" w:cs="Times New Roman" w:eastAsia="Times New Roman" w:hint="default"/>
          <w:spacing w:val="41"/>
        </w:rPr>
        <w:t> </w:t>
      </w:r>
      <w:r>
        <w:rPr/>
        <w:t>股，占总股本的</w:t>
      </w:r>
      <w:r>
        <w:rPr>
          <w:rFonts w:ascii="Times New Roman" w:hAnsi="Times New Roman" w:cs="Times New Roman" w:eastAsia="Times New Roman" w:hint="default"/>
        </w:rPr>
        <w:t>12.37%</w:t>
      </w:r>
      <w:r>
        <w:rPr/>
        <w:t>。该等股票将用于支付本 公司重整费用和共益债务、清偿普通债权、保全主要子公司经营性资产。</w:t>
      </w:r>
    </w:p>
    <w:p>
      <w:pPr>
        <w:pStyle w:val="BodyText"/>
        <w:spacing w:line="297" w:lineRule="auto" w:before="34"/>
        <w:ind w:left="137" w:right="107"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日，中国证券登记结算有限责任公司深圳分公司出具了相关确认文件， 本公司管理人名下的</w:t>
      </w:r>
      <w:r>
        <w:rPr>
          <w:rFonts w:ascii="Times New Roman" w:hAnsi="Times New Roman" w:cs="Times New Roman" w:eastAsia="Times New Roman" w:hint="default"/>
        </w:rPr>
        <w:t>34,146,662</w:t>
      </w:r>
      <w:r>
        <w:rPr/>
        <w:t>股票过户至各债权人指定的证券账户，以清偿普通债权。剩 余股份</w:t>
      </w:r>
      <w:r>
        <w:rPr>
          <w:rFonts w:ascii="Times New Roman" w:hAnsi="Times New Roman" w:cs="Times New Roman" w:eastAsia="Times New Roman" w:hint="default"/>
        </w:rPr>
        <w:t>10,115,623</w:t>
      </w:r>
      <w:r>
        <w:rPr>
          <w:rFonts w:ascii="Times New Roman" w:hAnsi="Times New Roman" w:cs="Times New Roman" w:eastAsia="Times New Roman" w:hint="default"/>
          <w:spacing w:val="1"/>
        </w:rPr>
        <w:t> </w:t>
      </w:r>
      <w:r>
        <w:rPr>
          <w:spacing w:val="-3"/>
        </w:rPr>
        <w:t>股仍保留在管理人名下。该部分股票用于提存预计债权、债权人不受领分</w:t>
      </w:r>
      <w:r>
        <w:rPr/>
        <w:t> 配股票的现金支付、支付管理人报酬以及支付重整费用。</w:t>
      </w:r>
    </w:p>
    <w:p>
      <w:pPr>
        <w:pStyle w:val="BodyText"/>
        <w:spacing w:line="297" w:lineRule="auto" w:before="34"/>
        <w:ind w:left="137" w:right="212" w:firstLine="420"/>
        <w:jc w:val="left"/>
      </w:pPr>
      <w:r>
        <w:rPr>
          <w:rFonts w:ascii="Times New Roman" w:hAnsi="Times New Roman" w:cs="Times New Roman" w:eastAsia="Times New Roman" w:hint="default"/>
        </w:rPr>
        <w:t>3</w:t>
      </w:r>
      <w:r>
        <w:rPr/>
        <w:t>、公司股票恢复交易后，管理人减持了其所持有的全部流通股股份。报告期末，管理 人名下的股份余额为</w:t>
      </w:r>
      <w:r>
        <w:rPr>
          <w:rFonts w:ascii="Times New Roman" w:hAnsi="Times New Roman" w:cs="Times New Roman" w:eastAsia="Times New Roman" w:hint="default"/>
        </w:rPr>
        <w:t>2,547,870</w:t>
      </w:r>
      <w:r>
        <w:rPr/>
        <w:t>股。</w:t>
      </w:r>
    </w:p>
    <w:p>
      <w:pPr>
        <w:pStyle w:val="BodyText"/>
        <w:spacing w:line="297" w:lineRule="auto" w:before="13"/>
        <w:ind w:left="137" w:right="212" w:firstLine="420"/>
        <w:jc w:val="left"/>
      </w:pPr>
      <w:r>
        <w:rPr>
          <w:rFonts w:ascii="Times New Roman" w:hAnsi="Times New Roman" w:cs="Times New Roman" w:eastAsia="Times New Roman" w:hint="default"/>
        </w:rPr>
        <w:t>4</w:t>
      </w:r>
      <w:r>
        <w:rPr/>
        <w:t>、按照《重整计划》，下属四家子公司的其他股东无偿让渡其所持有的全部股权给本 公司，让渡完成后，本公司成为下属四家子公司直接控股</w:t>
      </w:r>
      <w:r>
        <w:rPr>
          <w:rFonts w:ascii="Times New Roman" w:hAnsi="Times New Roman" w:cs="Times New Roman" w:eastAsia="Times New Roman" w:hint="default"/>
        </w:rPr>
        <w:t>100%</w:t>
      </w:r>
      <w:r>
        <w:rPr/>
        <w:t>的股东。</w:t>
      </w:r>
    </w:p>
    <w:p>
      <w:pPr>
        <w:pStyle w:val="BodyText"/>
        <w:spacing w:line="240" w:lineRule="auto" w:before="13"/>
        <w:ind w:left="557" w:right="102"/>
        <w:jc w:val="left"/>
      </w:pPr>
      <w:r>
        <w:rPr/>
        <w:t>（五）《重整计划》执行完毕的有关情况</w:t>
      </w:r>
    </w:p>
    <w:p>
      <w:pPr>
        <w:pStyle w:val="BodyText"/>
        <w:spacing w:line="240" w:lineRule="auto" w:before="85"/>
        <w:ind w:left="557" w:right="102"/>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日，深圳中院裁定本公司和下属四家子公司《重整计划》执行完毕。</w:t>
      </w:r>
    </w:p>
    <w:p>
      <w:pPr>
        <w:pStyle w:val="BodyText"/>
        <w:spacing w:line="314" w:lineRule="auto" w:before="69"/>
        <w:ind w:left="137" w:right="102" w:firstLine="420"/>
        <w:jc w:val="left"/>
      </w:pPr>
      <w:r>
        <w:rPr>
          <w:spacing w:val="-3"/>
        </w:rPr>
        <w:t>（六）因公司和下属四家子公司实施破产重整而减免的债务及产生的非经常性收益情况</w:t>
      </w:r>
      <w:r>
        <w:rPr/>
        <w:t> 请见董事会报告和财务报告的相关内容。</w:t>
      </w:r>
    </w:p>
    <w:p>
      <w:pPr>
        <w:spacing w:line="240" w:lineRule="auto" w:before="0"/>
        <w:rPr>
          <w:rFonts w:ascii="宋体" w:hAnsi="宋体" w:cs="宋体" w:eastAsia="宋体" w:hint="default"/>
          <w:sz w:val="29"/>
          <w:szCs w:val="29"/>
        </w:rPr>
      </w:pPr>
    </w:p>
    <w:p>
      <w:pPr>
        <w:spacing w:line="314" w:lineRule="auto" w:before="0"/>
        <w:ind w:left="557" w:right="102" w:firstLine="2"/>
        <w:jc w:val="left"/>
        <w:rPr>
          <w:rFonts w:ascii="宋体" w:hAnsi="宋体" w:cs="宋体" w:eastAsia="宋体" w:hint="default"/>
          <w:sz w:val="21"/>
          <w:szCs w:val="21"/>
        </w:rPr>
      </w:pPr>
      <w:r>
        <w:rPr>
          <w:rFonts w:ascii="宋体" w:hAnsi="宋体" w:cs="宋体" w:eastAsia="宋体" w:hint="default"/>
          <w:b/>
          <w:bCs/>
          <w:sz w:val="21"/>
          <w:szCs w:val="21"/>
        </w:rPr>
        <w:t>二、关于公司《重整计划》中提出的资产重组事项面临无法实施可能的说明</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公司的《重整计划》提出，为使公司恢复持续经营能力和持续盈利能力，公司拟实施资</w:t>
      </w:r>
    </w:p>
    <w:p>
      <w:pPr>
        <w:pStyle w:val="BodyText"/>
        <w:spacing w:line="304" w:lineRule="auto" w:before="20"/>
        <w:ind w:left="137" w:right="107"/>
        <w:jc w:val="both"/>
      </w:pPr>
      <w:r>
        <w:rPr>
          <w:spacing w:val="-5"/>
        </w:rPr>
        <w:t>产重组。但因公司大股东希格玛公司拟注入的资产为房地产项目，受国家宏观调控政策影响，</w:t>
      </w:r>
      <w:r>
        <w:rPr>
          <w:spacing w:val="-92"/>
        </w:rPr>
        <w:t> </w:t>
      </w:r>
      <w:r>
        <w:rPr>
          <w:spacing w:val="-92"/>
        </w:rPr>
      </w:r>
      <w:r>
        <w:rPr/>
        <w:t>资产注入计划被搁置。对此，公司在</w:t>
      </w:r>
      <w:r>
        <w:rPr>
          <w:rFonts w:ascii="Times New Roman" w:hAnsi="Times New Roman" w:cs="Times New Roman" w:eastAsia="Times New Roman" w:hint="default"/>
        </w:rPr>
        <w:t>2010</w:t>
      </w:r>
      <w:r>
        <w:rPr/>
        <w:t>年半年度报告及</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日的临时公告（公告编号： </w:t>
      </w:r>
      <w:r>
        <w:rPr>
          <w:rFonts w:ascii="Times New Roman" w:hAnsi="Times New Roman" w:cs="Times New Roman" w:eastAsia="Times New Roman" w:hint="default"/>
        </w:rPr>
        <w:t>2010-68</w:t>
      </w:r>
      <w:r>
        <w:rPr/>
        <w:t>）中均作了说明。目前，国家依然实施较为严厉的房地产宏观调控政策，受该政策</w:t>
      </w:r>
    </w:p>
    <w:p>
      <w:pPr>
        <w:spacing w:after="0" w:line="304" w:lineRule="auto"/>
        <w:jc w:val="both"/>
        <w:sectPr>
          <w:pgSz w:w="11910" w:h="16840"/>
          <w:pgMar w:header="877" w:footer="975" w:top="1100" w:bottom="1160" w:left="1660" w:right="1580"/>
        </w:sectPr>
      </w:pPr>
    </w:p>
    <w:p>
      <w:pPr>
        <w:spacing w:line="240" w:lineRule="auto" w:before="6"/>
        <w:rPr>
          <w:rFonts w:ascii="宋体" w:hAnsi="宋体" w:cs="宋体" w:eastAsia="宋体" w:hint="default"/>
          <w:sz w:val="25"/>
          <w:szCs w:val="25"/>
        </w:rPr>
      </w:pPr>
    </w:p>
    <w:p>
      <w:pPr>
        <w:pStyle w:val="BodyText"/>
        <w:spacing w:line="314" w:lineRule="auto" w:before="35"/>
        <w:ind w:left="137" w:right="102"/>
        <w:jc w:val="left"/>
      </w:pPr>
      <w:r>
        <w:rPr>
          <w:spacing w:val="-3"/>
        </w:rPr>
        <w:t>影响，《重整计划》中的资产重组事项是否能够实施仍具有重大不确定性，也不排除无法实</w:t>
      </w:r>
      <w:r>
        <w:rPr>
          <w:spacing w:val="-75"/>
        </w:rPr>
        <w:t> </w:t>
      </w:r>
      <w:r>
        <w:rPr>
          <w:spacing w:val="-75"/>
        </w:rPr>
      </w:r>
      <w:r>
        <w:rPr/>
        <w:t>施的可能性。</w:t>
      </w:r>
    </w:p>
    <w:p>
      <w:pPr>
        <w:spacing w:line="240" w:lineRule="auto" w:before="0"/>
        <w:rPr>
          <w:rFonts w:ascii="宋体" w:hAnsi="宋体" w:cs="宋体" w:eastAsia="宋体" w:hint="default"/>
          <w:sz w:val="29"/>
          <w:szCs w:val="29"/>
        </w:rPr>
      </w:pPr>
    </w:p>
    <w:p>
      <w:pPr>
        <w:pStyle w:val="Heading3"/>
        <w:spacing w:line="240" w:lineRule="auto"/>
        <w:ind w:right="102"/>
        <w:jc w:val="left"/>
        <w:rPr>
          <w:b w:val="0"/>
          <w:bCs w:val="0"/>
        </w:rPr>
      </w:pPr>
      <w:r>
        <w:rPr/>
        <w:t>三、以前期间发生但持续到报告期的重大诉讼</w:t>
      </w:r>
      <w:r>
        <w:rPr>
          <w:b w:val="0"/>
          <w:bCs w:val="0"/>
        </w:rPr>
      </w:r>
    </w:p>
    <w:p>
      <w:pPr>
        <w:pStyle w:val="BodyText"/>
        <w:spacing w:line="285" w:lineRule="auto" w:before="85"/>
        <w:ind w:left="557" w:right="202"/>
        <w:jc w:val="left"/>
      </w:pPr>
      <w:r>
        <w:rPr/>
        <w:t>（一）通过重整全部了结或即将全部了结所有以公司作为债务人的诉讼案件 公司以前期间发生但持续到报告期的重大诉讼与公司在</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5"/>
        </w:rPr>
        <w:t>年度报告、</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
        </w:rPr>
        <w:t> </w:t>
      </w:r>
      <w:r>
        <w:rPr/>
        <w:t>年半年度</w:t>
      </w:r>
    </w:p>
    <w:p>
      <w:pPr>
        <w:pStyle w:val="BodyText"/>
        <w:spacing w:line="276" w:lineRule="exact"/>
        <w:ind w:left="137" w:right="102"/>
        <w:jc w:val="left"/>
      </w:pPr>
      <w:r>
        <w:rPr/>
        <w:t>报告及临时公告中披露的诉讼案件基本一致。</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月及</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年初，公司和下属四家</w:t>
      </w:r>
    </w:p>
    <w:p>
      <w:pPr>
        <w:pStyle w:val="BodyText"/>
        <w:spacing w:line="271" w:lineRule="auto" w:before="28"/>
        <w:ind w:left="137" w:right="102"/>
        <w:jc w:val="left"/>
      </w:pPr>
      <w:r>
        <w:rPr>
          <w:spacing w:val="-5"/>
        </w:rPr>
        <w:t>子公司分别进入重整程序。在重整程序中，诉讼中的权利人已经作为债权人进行了债权申报。</w:t>
      </w:r>
      <w:r>
        <w:rPr>
          <w:spacing w:val="-92"/>
        </w:rPr>
        <w:t> </w:t>
      </w:r>
      <w:r>
        <w:rPr>
          <w:spacing w:val="-92"/>
        </w:rPr>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7"/>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月</w:t>
      </w:r>
      <w:r>
        <w:rPr>
          <w:spacing w:val="-37"/>
        </w:rPr>
        <w:t> </w:t>
      </w:r>
      <w:r>
        <w:rPr>
          <w:rFonts w:ascii="Times New Roman" w:hAnsi="Times New Roman" w:cs="Times New Roman" w:eastAsia="Times New Roman" w:hint="default"/>
        </w:rPr>
        <w:t>30</w:t>
      </w:r>
      <w:r>
        <w:rPr>
          <w:rFonts w:ascii="Times New Roman" w:hAnsi="Times New Roman" w:cs="Times New Roman" w:eastAsia="Times New Roman" w:hint="default"/>
          <w:spacing w:val="17"/>
        </w:rPr>
        <w:t> </w:t>
      </w:r>
      <w:r>
        <w:rPr>
          <w:spacing w:val="-4"/>
        </w:rPr>
        <w:t>日，深圳中院批准了本公司和下属四家子公司的《重整计划》，债权人依照</w:t>
      </w:r>
      <w:r>
        <w:rPr>
          <w:spacing w:val="-98"/>
        </w:rPr>
        <w:t> </w:t>
      </w:r>
      <w:r>
        <w:rPr>
          <w:spacing w:val="-98"/>
        </w:rPr>
      </w:r>
      <w:r>
        <w:rPr>
          <w:spacing w:val="-3"/>
        </w:rPr>
        <w:t>“</w:t>
      </w:r>
      <w:r>
        <w:rPr>
          <w:rFonts w:ascii="Times New Roman" w:hAnsi="Times New Roman" w:cs="Times New Roman" w:eastAsia="Times New Roman" w:hint="default"/>
          <w:spacing w:val="-3"/>
        </w:rPr>
        <w:t>1+4</w:t>
      </w:r>
      <w:r>
        <w:rPr>
          <w:spacing w:val="-3"/>
        </w:rPr>
        <w:t>”《重整计划》获得了部分清偿。根据《重整计划》减免的债务，依照《企业破产法》</w:t>
      </w:r>
      <w:r>
        <w:rPr>
          <w:spacing w:val="-87"/>
        </w:rPr>
        <w:t> </w:t>
      </w:r>
      <w:r>
        <w:rPr>
          <w:spacing w:val="-87"/>
        </w:rPr>
      </w:r>
      <w:r>
        <w:rPr>
          <w:spacing w:val="-3"/>
        </w:rPr>
        <w:t>第九十四条的规定，本公司及下属四家子公司不再承担清偿责任。对于尚未审结或在公司重</w:t>
      </w:r>
      <w:r>
        <w:rPr>
          <w:spacing w:val="-75"/>
        </w:rPr>
        <w:t> </w:t>
      </w:r>
      <w:r>
        <w:rPr>
          <w:spacing w:val="-75"/>
        </w:rPr>
      </w:r>
      <w:r>
        <w:rPr>
          <w:spacing w:val="-3"/>
        </w:rPr>
        <w:t>整程序终结后审结的诉讼案件涉及的债务，在公司和下属四家子公司的《重整计划》中采取</w:t>
      </w:r>
      <w:r>
        <w:rPr>
          <w:spacing w:val="-72"/>
        </w:rPr>
        <w:t> </w:t>
      </w:r>
      <w:r>
        <w:rPr>
          <w:spacing w:val="-72"/>
        </w:rPr>
      </w:r>
      <w:r>
        <w:rPr/>
        <w:t>了预留股票的措施。这些债务用上述方式解决后，</w:t>
      </w:r>
      <w:r>
        <w:rPr>
          <w:rFonts w:ascii="Times New Roman" w:hAnsi="Times New Roman" w:cs="Times New Roman" w:eastAsia="Times New Roman" w:hint="default"/>
        </w:rPr>
        <w:t>2009 </w:t>
      </w:r>
      <w:r>
        <w:rPr/>
        <w:t>年度报告、</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年半年度报告及临 时公告中披露的公司和下属各公司作为债务人的诉讼案件将全部终结。</w:t>
      </w:r>
    </w:p>
    <w:p>
      <w:pPr>
        <w:pStyle w:val="BodyText"/>
        <w:spacing w:line="280" w:lineRule="auto" w:before="18"/>
        <w:ind w:left="548" w:right="2111"/>
        <w:jc w:val="left"/>
      </w:pPr>
      <w:r>
        <w:rPr/>
        <w:t>（二）深圳泰丰电子有限公司占用本公司款项案 报告期内，本公司取得执行款</w:t>
      </w:r>
      <w:r>
        <w:rPr>
          <w:rFonts w:ascii="Times New Roman" w:hAnsi="Times New Roman" w:cs="Times New Roman" w:eastAsia="Times New Roman" w:hint="default"/>
        </w:rPr>
        <w:t>639</w:t>
      </w:r>
      <w:r>
        <w:rPr/>
        <w:t>万余元。其余款项尚在执行中。</w:t>
      </w:r>
    </w:p>
    <w:p>
      <w:pPr>
        <w:pStyle w:val="BodyText"/>
        <w:spacing w:line="280" w:lineRule="auto"/>
        <w:ind w:left="548" w:right="3266"/>
        <w:jc w:val="left"/>
      </w:pPr>
      <w:r>
        <w:rPr/>
        <w:t>（三）深圳市泰弘科技有限公司占用本公司款项案件 本案件因证据原因，已撤诉。</w:t>
      </w:r>
    </w:p>
    <w:p>
      <w:pPr>
        <w:spacing w:line="240" w:lineRule="auto" w:before="2"/>
        <w:rPr>
          <w:rFonts w:ascii="宋体" w:hAnsi="宋体" w:cs="宋体" w:eastAsia="宋体" w:hint="default"/>
          <w:sz w:val="25"/>
          <w:szCs w:val="25"/>
        </w:rPr>
      </w:pPr>
    </w:p>
    <w:p>
      <w:pPr>
        <w:pStyle w:val="Heading3"/>
        <w:spacing w:line="280" w:lineRule="auto"/>
        <w:ind w:left="137" w:right="102" w:firstLine="422"/>
        <w:jc w:val="left"/>
        <w:rPr>
          <w:b w:val="0"/>
          <w:bCs w:val="0"/>
        </w:rPr>
      </w:pPr>
      <w:r>
        <w:rPr>
          <w:spacing w:val="2"/>
        </w:rPr>
        <w:t>四、公司持有其他上市公司股权、参股商业银行、证券公司、保险公司、信托公司和</w:t>
      </w:r>
      <w:r>
        <w:rPr>
          <w:spacing w:val="3"/>
          <w:w w:val="99"/>
        </w:rPr>
        <w:t> </w:t>
      </w:r>
      <w:r>
        <w:rPr/>
        <w:t>期货公司等金融企业股权事项</w:t>
      </w:r>
      <w:r>
        <w:rPr>
          <w:b w:val="0"/>
          <w:bCs w:val="0"/>
        </w:rPr>
      </w:r>
    </w:p>
    <w:p>
      <w:pPr>
        <w:pStyle w:val="BodyText"/>
        <w:spacing w:line="278" w:lineRule="auto" w:before="10"/>
        <w:ind w:left="137" w:right="107" w:firstLine="420"/>
        <w:jc w:val="left"/>
      </w:pPr>
      <w:r>
        <w:rPr/>
        <w:t>报告期末，公司未持有其他上市公司股权，未有参股商业银行、证券公司、保险公司、 信托公司和期货公司等事项。</w:t>
      </w:r>
    </w:p>
    <w:p>
      <w:pPr>
        <w:spacing w:line="240" w:lineRule="auto" w:before="5"/>
        <w:rPr>
          <w:rFonts w:ascii="宋体" w:hAnsi="宋体" w:cs="宋体" w:eastAsia="宋体" w:hint="default"/>
          <w:sz w:val="25"/>
          <w:szCs w:val="25"/>
        </w:rPr>
      </w:pPr>
    </w:p>
    <w:p>
      <w:pPr>
        <w:pStyle w:val="Heading3"/>
        <w:spacing w:line="559" w:lineRule="auto"/>
        <w:ind w:right="3025"/>
        <w:jc w:val="left"/>
        <w:rPr>
          <w:b w:val="0"/>
          <w:bCs w:val="0"/>
        </w:rPr>
      </w:pPr>
      <w:r>
        <w:rPr/>
        <w:t>五、报告期内公司无收购及出售资产、企业合并事项。</w:t>
      </w:r>
      <w:r>
        <w:rPr>
          <w:spacing w:val="1"/>
          <w:w w:val="99"/>
        </w:rPr>
        <w:t> </w:t>
      </w:r>
      <w:r>
        <w:rPr/>
        <w:t>六、截至报告期内，公司未实施股权激励计划。</w:t>
      </w:r>
      <w:r>
        <w:rPr>
          <w:b w:val="0"/>
          <w:bCs w:val="0"/>
        </w:rPr>
      </w:r>
    </w:p>
    <w:p>
      <w:pPr>
        <w:spacing w:after="0" w:line="559" w:lineRule="auto"/>
        <w:jc w:val="left"/>
        <w:sectPr>
          <w:pgSz w:w="11910" w:h="16840"/>
          <w:pgMar w:header="877" w:footer="975" w:top="1100" w:bottom="1160" w:left="1660" w:right="1580"/>
        </w:sectPr>
      </w:pPr>
    </w:p>
    <w:p>
      <w:pPr>
        <w:pStyle w:val="Heading3"/>
        <w:spacing w:line="240" w:lineRule="auto" w:before="85"/>
        <w:ind w:right="-20"/>
        <w:jc w:val="left"/>
        <w:rPr>
          <w:b w:val="0"/>
          <w:bCs w:val="0"/>
        </w:rPr>
      </w:pPr>
      <w:r>
        <w:rPr/>
        <w:t>七、公司发生的重大关联交易事项</w:t>
      </w:r>
      <w:r>
        <w:rPr>
          <w:b w:val="0"/>
          <w:bCs w:val="0"/>
        </w:rPr>
      </w:r>
    </w:p>
    <w:p>
      <w:pPr>
        <w:pStyle w:val="BodyText"/>
        <w:spacing w:line="240" w:lineRule="auto" w:before="45"/>
        <w:ind w:left="556" w:right="-20"/>
        <w:jc w:val="left"/>
      </w:pPr>
      <w:r>
        <w:rPr/>
        <w:t>（一）报告期内发生的重大关联交易事项，见财务报告部分。</w:t>
      </w:r>
    </w:p>
    <w:p>
      <w:pPr>
        <w:pStyle w:val="BodyText"/>
        <w:spacing w:line="240" w:lineRule="auto" w:before="45"/>
        <w:ind w:left="556" w:right="-20"/>
        <w:jc w:val="left"/>
      </w:pPr>
      <w:r>
        <w:rPr>
          <w:rFonts w:ascii="Times New Roman" w:hAnsi="Times New Roman" w:cs="Times New Roman" w:eastAsia="Times New Roman" w:hint="default"/>
        </w:rPr>
        <w:t>1</w:t>
      </w:r>
      <w:r>
        <w:rPr/>
        <w:t>、关联方交易金额：报告期内，公司没有发生关联交易事项。</w:t>
      </w:r>
    </w:p>
    <w:p>
      <w:pPr>
        <w:pStyle w:val="BodyText"/>
        <w:spacing w:line="240" w:lineRule="auto" w:before="28"/>
        <w:ind w:left="556" w:right="-20"/>
        <w:jc w:val="left"/>
      </w:pPr>
      <w:r>
        <w:rPr>
          <w:rFonts w:ascii="Times New Roman" w:hAnsi="Times New Roman" w:cs="Times New Roman" w:eastAsia="Times New Roman" w:hint="default"/>
        </w:rPr>
        <w:t>2</w:t>
      </w:r>
      <w:r>
        <w:rPr/>
        <w:t>、报告期内发生的关联方债权债务情况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ind w:left="398" w:right="0"/>
        <w:jc w:val="left"/>
      </w:pPr>
      <w:r>
        <w:rPr/>
        <w:t>单位：人民币万元</w:t>
      </w:r>
    </w:p>
    <w:p>
      <w:pPr>
        <w:spacing w:after="0" w:line="240" w:lineRule="auto"/>
        <w:jc w:val="left"/>
        <w:sectPr>
          <w:type w:val="continuous"/>
          <w:pgSz w:w="11910" w:h="16840"/>
          <w:pgMar w:top="1100" w:bottom="1200" w:left="1660" w:right="1580"/>
          <w:cols w:num="2" w:equalWidth="0">
            <w:col w:w="6332" w:space="40"/>
            <w:col w:w="2298"/>
          </w:cols>
        </w:sectPr>
      </w:pPr>
    </w:p>
    <w:p>
      <w:pPr>
        <w:spacing w:line="240" w:lineRule="auto" w:before="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520"/>
        <w:gridCol w:w="1440"/>
        <w:gridCol w:w="900"/>
        <w:gridCol w:w="900"/>
        <w:gridCol w:w="1260"/>
        <w:gridCol w:w="1260"/>
      </w:tblGrid>
      <w:tr>
        <w:trPr>
          <w:trHeight w:val="370"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占用性质</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r>
      <w:tr>
        <w:trPr>
          <w:trHeight w:val="371" w:hRule="exact"/>
        </w:trPr>
        <w:tc>
          <w:tcPr>
            <w:tcW w:w="25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宋体" w:hAnsi="宋体" w:cs="宋体" w:eastAsia="宋体" w:hint="default"/>
                <w:sz w:val="18"/>
                <w:szCs w:val="18"/>
              </w:rPr>
            </w:pPr>
            <w:r>
              <w:rPr>
                <w:rFonts w:ascii="宋体" w:hAnsi="宋体" w:cs="宋体" w:eastAsia="宋体" w:hint="default"/>
                <w:sz w:val="18"/>
                <w:szCs w:val="18"/>
              </w:rPr>
              <w:t>深圳达泰宁科技有限公司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经营性占用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78.53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非经营性占用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184.19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23"/>
              <w:jc w:val="left"/>
              <w:rPr>
                <w:rFonts w:ascii="宋体" w:hAnsi="宋体" w:cs="宋体" w:eastAsia="宋体" w:hint="default"/>
                <w:sz w:val="18"/>
                <w:szCs w:val="18"/>
              </w:rPr>
            </w:pPr>
            <w:r>
              <w:rPr>
                <w:rFonts w:ascii="宋体" w:hAnsi="宋体" w:cs="宋体" w:eastAsia="宋体" w:hint="default"/>
                <w:spacing w:val="-5"/>
                <w:sz w:val="18"/>
                <w:szCs w:val="18"/>
              </w:rPr>
              <w:t>中委农业投资（委内瑞拉）有限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非经营性占用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经营性占用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3,036.41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2.61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0.00</w:t>
            </w:r>
          </w:p>
        </w:tc>
      </w:tr>
      <w:tr>
        <w:trPr>
          <w:trHeight w:val="37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3,114.94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Times New Roman" w:hAnsi="Times New Roman" w:cs="Times New Roman" w:eastAsia="Times New Roman" w:hint="default"/>
                <w:sz w:val="18"/>
                <w:szCs w:val="18"/>
              </w:rPr>
            </w:pPr>
            <w:r>
              <w:rPr>
                <w:rFonts w:ascii="Times New Roman"/>
                <w:sz w:val="18"/>
              </w:rPr>
              <w:t>184.19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Times New Roman" w:hAnsi="Times New Roman" w:cs="Times New Roman" w:eastAsia="Times New Roman" w:hint="default"/>
                <w:sz w:val="18"/>
                <w:szCs w:val="18"/>
              </w:rPr>
            </w:pPr>
            <w:r>
              <w:rPr>
                <w:rFonts w:ascii="Times New Roman"/>
                <w:sz w:val="18"/>
              </w:rPr>
              <w:t>8.61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660" w:right="1580"/>
        </w:sectPr>
      </w:pPr>
    </w:p>
    <w:p>
      <w:pPr>
        <w:spacing w:line="240" w:lineRule="auto" w:before="6"/>
        <w:rPr>
          <w:rFonts w:ascii="宋体" w:hAnsi="宋体" w:cs="宋体" w:eastAsia="宋体" w:hint="default"/>
          <w:sz w:val="25"/>
          <w:szCs w:val="25"/>
        </w:rPr>
      </w:pPr>
    </w:p>
    <w:p>
      <w:pPr>
        <w:pStyle w:val="BodyText"/>
        <w:spacing w:line="314" w:lineRule="auto" w:before="35"/>
        <w:ind w:left="137" w:right="107" w:firstLine="420"/>
        <w:jc w:val="left"/>
      </w:pPr>
      <w:r>
        <w:rPr>
          <w:spacing w:val="-3"/>
        </w:rPr>
        <w:t>报告期内，在破产重整程序中，深圳达泰宁科技有限公司和深圳市泰丰通讯电子有限公</w:t>
      </w:r>
      <w:r>
        <w:rPr/>
        <w:t> </w:t>
      </w:r>
      <w:r>
        <w:rPr>
          <w:spacing w:val="-3"/>
        </w:rPr>
        <w:t>司分别向泰丰科技公司和西部房地产公司申报债权，并分别依照泰丰科技公司和西部房地产</w:t>
      </w:r>
      <w:r>
        <w:rPr>
          <w:spacing w:val="-73"/>
        </w:rPr>
        <w:t> </w:t>
      </w:r>
      <w:r>
        <w:rPr>
          <w:spacing w:val="-73"/>
        </w:rPr>
      </w:r>
      <w:r>
        <w:rPr/>
        <w:t>公司的《重整计划》获得了部分清偿。根据《重整计划》减免的债务，依照《企业破产法》 第九十四条的规定，泰丰科技公司和西部房地产公司不再承担清偿责任。</w:t>
      </w:r>
    </w:p>
    <w:p>
      <w:pPr>
        <w:pStyle w:val="BodyText"/>
        <w:spacing w:line="314" w:lineRule="auto" w:before="20"/>
        <w:ind w:left="137" w:right="102" w:firstLine="420"/>
        <w:jc w:val="left"/>
      </w:pPr>
      <w:r>
        <w:rPr>
          <w:spacing w:val="-3"/>
        </w:rPr>
        <w:t>上述向关联方提供资金的发生额即是在重整程序中发生的，期末公司向关联方提供资金</w:t>
      </w:r>
      <w:r>
        <w:rPr/>
        <w:t> 的余额为</w:t>
      </w:r>
      <w:r>
        <w:rPr>
          <w:rFonts w:ascii="Times New Roman" w:hAnsi="Times New Roman" w:cs="Times New Roman" w:eastAsia="Times New Roman" w:hint="default"/>
        </w:rPr>
        <w:t>184.19</w:t>
      </w:r>
      <w:r>
        <w:rPr/>
        <w:t>万元。</w:t>
      </w:r>
    </w:p>
    <w:p>
      <w:pPr>
        <w:pStyle w:val="BodyText"/>
        <w:spacing w:line="288" w:lineRule="exact"/>
        <w:ind w:left="557" w:right="102"/>
        <w:jc w:val="left"/>
      </w:pPr>
      <w:r>
        <w:rPr>
          <w:rFonts w:ascii="Times New Roman" w:hAnsi="Times New Roman" w:cs="Times New Roman" w:eastAsia="Times New Roman" w:hint="default"/>
        </w:rPr>
        <w:t>3</w:t>
      </w:r>
      <w:r>
        <w:rPr/>
        <w:t>、关联方关系详见附注六、关联方及关联交易</w:t>
      </w:r>
    </w:p>
    <w:p>
      <w:pPr>
        <w:pStyle w:val="BodyText"/>
        <w:spacing w:line="240" w:lineRule="auto" w:before="69"/>
        <w:ind w:left="557" w:right="102"/>
        <w:jc w:val="left"/>
      </w:pPr>
      <w:r>
        <w:rPr>
          <w:rFonts w:ascii="Times New Roman" w:hAnsi="Times New Roman" w:cs="Times New Roman" w:eastAsia="Times New Roman" w:hint="default"/>
        </w:rPr>
        <w:t>4</w:t>
      </w:r>
      <w:r>
        <w:rPr/>
        <w:t>、公司不存在控股股东及其关联方非经营性占用公司资金的情况。</w:t>
      </w:r>
    </w:p>
    <w:p>
      <w:pPr>
        <w:pStyle w:val="BodyText"/>
        <w:spacing w:line="314" w:lineRule="auto" w:before="69"/>
        <w:ind w:left="557" w:right="1839"/>
        <w:jc w:val="left"/>
      </w:pPr>
      <w:r>
        <w:rPr/>
        <w:t>（二）其他时期发生延续到报告期内的关联债权债务往来 其他时期发生延续到报告期内的关联债权往来总金额为</w:t>
      </w:r>
      <w:r>
        <w:rPr>
          <w:rFonts w:ascii="Times New Roman" w:hAnsi="Times New Roman" w:cs="Times New Roman" w:eastAsia="Times New Roman" w:hint="default"/>
        </w:rPr>
        <w:t>184.19</w:t>
      </w:r>
      <w:r>
        <w:rPr/>
        <w:t>万元。</w:t>
      </w:r>
    </w:p>
    <w:p>
      <w:pPr>
        <w:spacing w:line="240" w:lineRule="auto" w:before="4"/>
        <w:rPr>
          <w:rFonts w:ascii="宋体" w:hAnsi="宋体" w:cs="宋体" w:eastAsia="宋体" w:hint="default"/>
          <w:sz w:val="27"/>
          <w:szCs w:val="27"/>
        </w:rPr>
      </w:pPr>
    </w:p>
    <w:p>
      <w:pPr>
        <w:pStyle w:val="Heading3"/>
        <w:spacing w:line="240" w:lineRule="auto"/>
        <w:ind w:right="102"/>
        <w:jc w:val="left"/>
        <w:rPr>
          <w:b w:val="0"/>
          <w:bCs w:val="0"/>
        </w:rPr>
      </w:pPr>
      <w:r>
        <w:rPr/>
        <w:t>八、公司应披露重大合同及其履行情况</w:t>
      </w:r>
      <w:r>
        <w:rPr>
          <w:b w:val="0"/>
          <w:bCs w:val="0"/>
        </w:rPr>
      </w:r>
    </w:p>
    <w:p>
      <w:pPr>
        <w:pStyle w:val="BodyText"/>
        <w:spacing w:line="240" w:lineRule="auto" w:before="85"/>
        <w:ind w:left="557" w:right="102"/>
        <w:jc w:val="left"/>
      </w:pPr>
      <w:r>
        <w:rPr>
          <w:rFonts w:ascii="Times New Roman" w:hAnsi="Times New Roman" w:cs="Times New Roman" w:eastAsia="Times New Roman" w:hint="default"/>
        </w:rPr>
        <w:t>1</w:t>
      </w:r>
      <w:r>
        <w:rPr/>
        <w:t>、报告期内公司无托管、承包事项。</w:t>
      </w:r>
    </w:p>
    <w:p>
      <w:pPr>
        <w:pStyle w:val="BodyText"/>
        <w:spacing w:line="240" w:lineRule="auto" w:before="69"/>
        <w:ind w:left="557" w:right="102"/>
        <w:jc w:val="left"/>
      </w:pPr>
      <w:r>
        <w:rPr>
          <w:rFonts w:ascii="Times New Roman" w:hAnsi="Times New Roman" w:cs="Times New Roman" w:eastAsia="Times New Roman" w:hint="default"/>
        </w:rPr>
        <w:t>2</w:t>
      </w:r>
      <w:r>
        <w:rPr/>
        <w:t>、报告期内公司未发生新的对外担保事项。</w:t>
      </w:r>
    </w:p>
    <w:p>
      <w:pPr>
        <w:pStyle w:val="BodyText"/>
        <w:spacing w:line="297" w:lineRule="auto" w:before="69"/>
        <w:ind w:left="137" w:right="212" w:firstLine="420"/>
        <w:jc w:val="left"/>
      </w:pPr>
      <w:r>
        <w:rPr>
          <w:rFonts w:ascii="Times New Roman" w:hAnsi="Times New Roman" w:cs="Times New Roman" w:eastAsia="Times New Roman" w:hint="default"/>
        </w:rPr>
        <w:t>3</w:t>
      </w:r>
      <w:r>
        <w:rPr/>
        <w:t>、在报告期内，公司未发生、也无以前期间发生而延续到报告期的重大委托他人进行 现金资产管理的事项。</w:t>
      </w:r>
    </w:p>
    <w:p>
      <w:pPr>
        <w:pStyle w:val="BodyText"/>
        <w:spacing w:line="297" w:lineRule="auto" w:before="34"/>
        <w:ind w:left="663" w:right="211" w:hanging="106"/>
        <w:jc w:val="left"/>
      </w:pPr>
      <w:r>
        <w:rPr>
          <w:rFonts w:ascii="Times New Roman" w:hAnsi="Times New Roman" w:cs="Times New Roman" w:eastAsia="Times New Roman" w:hint="default"/>
        </w:rPr>
        <w:t>4</w:t>
      </w:r>
      <w:r>
        <w:rPr/>
        <w:t>、报告期内或以前年度签署的延续到现在的重大合同签署及履行情况 下属华宝饲料公司在</w:t>
      </w:r>
      <w:r>
        <w:rPr>
          <w:rFonts w:ascii="Times New Roman" w:hAnsi="Times New Roman" w:cs="Times New Roman" w:eastAsia="Times New Roman" w:hint="default"/>
        </w:rPr>
        <w:t>2009</w:t>
      </w:r>
      <w:r>
        <w:rPr/>
        <w:t>年与深联公司签署饲料厂开发合作协议。协议签署后，虽然</w:t>
      </w:r>
    </w:p>
    <w:p>
      <w:pPr>
        <w:pStyle w:val="BodyText"/>
        <w:spacing w:line="314" w:lineRule="auto" w:before="13"/>
        <w:ind w:left="137" w:right="107"/>
        <w:jc w:val="left"/>
      </w:pPr>
      <w:r>
        <w:rPr/>
        <w:t>饲料厂地块已被市政府列入城市更新改造项目，但报告期内尚无实质性进展，因涉及古墓、 拍卖房产等事项，其结局如何尚存在较大不确定性。</w:t>
      </w:r>
    </w:p>
    <w:p>
      <w:pPr>
        <w:spacing w:line="240" w:lineRule="auto" w:before="0"/>
        <w:rPr>
          <w:rFonts w:ascii="宋体" w:hAnsi="宋体" w:cs="宋体" w:eastAsia="宋体" w:hint="default"/>
          <w:sz w:val="29"/>
          <w:szCs w:val="29"/>
        </w:rPr>
      </w:pPr>
    </w:p>
    <w:p>
      <w:pPr>
        <w:spacing w:line="297" w:lineRule="auto" w:before="0"/>
        <w:ind w:left="557" w:right="102" w:firstLine="106"/>
        <w:jc w:val="left"/>
        <w:rPr>
          <w:rFonts w:ascii="宋体" w:hAnsi="宋体" w:cs="宋体" w:eastAsia="宋体" w:hint="default"/>
          <w:sz w:val="21"/>
          <w:szCs w:val="21"/>
        </w:rPr>
      </w:pPr>
      <w:r>
        <w:rPr>
          <w:rFonts w:ascii="宋体" w:hAnsi="宋体" w:cs="宋体" w:eastAsia="宋体" w:hint="default"/>
          <w:b/>
          <w:bCs/>
          <w:sz w:val="21"/>
          <w:szCs w:val="21"/>
        </w:rPr>
        <w:t>九、报告期及持续到报告期内，公司及持有公司</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）的股东承诺事项</w:t>
      </w:r>
      <w:r>
        <w:rPr>
          <w:rFonts w:ascii="宋体" w:hAnsi="宋体" w:cs="宋体" w:eastAsia="宋体" w:hint="default"/>
          <w:b/>
          <w:bCs/>
          <w:w w:val="99"/>
          <w:sz w:val="21"/>
          <w:szCs w:val="21"/>
        </w:rPr>
        <w:t> </w:t>
      </w:r>
      <w:r>
        <w:rPr>
          <w:rFonts w:ascii="宋体" w:hAnsi="宋体" w:cs="宋体" w:eastAsia="宋体" w:hint="default"/>
          <w:spacing w:val="-3"/>
          <w:sz w:val="21"/>
          <w:szCs w:val="21"/>
        </w:rPr>
        <w:t>在公司股改时，公司法人股股东和潜在股东承诺遵照严格遵守国家法律、法规和规章的</w:t>
      </w:r>
    </w:p>
    <w:p>
      <w:pPr>
        <w:pStyle w:val="BodyText"/>
        <w:spacing w:line="314" w:lineRule="auto" w:before="34"/>
        <w:ind w:left="137" w:right="102"/>
        <w:jc w:val="left"/>
      </w:pPr>
      <w:r>
        <w:rPr>
          <w:spacing w:val="-5"/>
        </w:rPr>
        <w:t>规定，严格履行股东承诺义务。自改革方案实施之日起，在十二个月内不上市交易或者转让；</w:t>
      </w:r>
      <w:r>
        <w:rPr>
          <w:spacing w:val="-94"/>
        </w:rPr>
        <w:t> </w:t>
      </w:r>
      <w:r>
        <w:rPr>
          <w:spacing w:val="-94"/>
        </w:rPr>
      </w:r>
      <w:r>
        <w:rPr>
          <w:spacing w:val="-3"/>
        </w:rPr>
        <w:t>在十二个月期满后，通过证券交易所挂牌交易出售股份，出售数量占公司股份总数的比例在</w:t>
      </w:r>
      <w:r>
        <w:rPr>
          <w:spacing w:val="-75"/>
        </w:rPr>
        <w:t> </w:t>
      </w:r>
      <w:r>
        <w:rPr>
          <w:spacing w:val="-75"/>
        </w:rPr>
      </w:r>
      <w:r>
        <w:rPr>
          <w:spacing w:val="-3"/>
        </w:rPr>
        <w:t>十二个月内不超过百分之五，在二十四个月内不超过百分之十。在三十六个月期满后，全部</w:t>
      </w:r>
      <w:r>
        <w:rPr>
          <w:spacing w:val="-72"/>
        </w:rPr>
        <w:t> </w:t>
      </w:r>
      <w:r>
        <w:rPr>
          <w:spacing w:val="-72"/>
        </w:rPr>
      </w:r>
      <w:r>
        <w:rPr/>
        <w:t>股份可上市流通。报告期内新入主的公司也承诺遵照原股东承诺。</w:t>
      </w:r>
    </w:p>
    <w:p>
      <w:pPr>
        <w:pStyle w:val="BodyText"/>
        <w:spacing w:line="314" w:lineRule="auto" w:before="20"/>
        <w:ind w:left="137" w:right="102" w:firstLine="420"/>
        <w:jc w:val="left"/>
      </w:pPr>
      <w:r>
        <w:rPr>
          <w:spacing w:val="-3"/>
        </w:rPr>
        <w:t>报告期内公司进行了第二次限售股的解除限售工作，本次限售股份实际可上市流通数量</w:t>
      </w:r>
      <w:r>
        <w:rPr/>
        <w:t> 为</w:t>
      </w:r>
      <w:r>
        <w:rPr>
          <w:spacing w:val="-56"/>
        </w:rPr>
        <w:t> </w:t>
      </w:r>
      <w:r>
        <w:rPr>
          <w:rFonts w:ascii="Times New Roman" w:hAnsi="Times New Roman" w:cs="Times New Roman" w:eastAsia="Times New Roman" w:hint="default"/>
        </w:rPr>
        <w:t>14,708,699</w:t>
      </w:r>
      <w:r>
        <w:rPr>
          <w:rFonts w:ascii="Times New Roman" w:hAnsi="Times New Roman" w:cs="Times New Roman" w:eastAsia="Times New Roman" w:hint="default"/>
          <w:spacing w:val="46"/>
        </w:rPr>
        <w:t> </w:t>
      </w:r>
      <w:r>
        <w:rPr>
          <w:spacing w:val="-4"/>
        </w:rPr>
        <w:t>股，占总股本比例</w:t>
      </w:r>
      <w:r>
        <w:rPr>
          <w:spacing w:val="-56"/>
        </w:rPr>
        <w:t> </w:t>
      </w:r>
      <w:r>
        <w:rPr>
          <w:rFonts w:ascii="Times New Roman" w:hAnsi="Times New Roman" w:cs="Times New Roman" w:eastAsia="Times New Roman" w:hint="default"/>
        </w:rPr>
        <w:t>4.11%</w:t>
      </w:r>
      <w:r>
        <w:rPr/>
        <w:t>。本次限售股份可上市流通日为</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8"/>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7"/>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45"/>
        </w:rPr>
        <w:t> </w:t>
      </w:r>
      <w:r>
        <w:rPr/>
        <w:t>日。</w:t>
      </w:r>
    </w:p>
    <w:p>
      <w:pPr>
        <w:pStyle w:val="BodyText"/>
        <w:spacing w:line="314" w:lineRule="auto"/>
        <w:ind w:left="137" w:right="102" w:firstLine="420"/>
        <w:jc w:val="left"/>
      </w:pPr>
      <w:r>
        <w:rPr>
          <w:spacing w:val="-3"/>
        </w:rPr>
        <w:t>解除限售股份时，公司各相关解除限售股份的股东承诺严格遵守相关法律法规和业务规</w:t>
      </w:r>
      <w:r>
        <w:rPr/>
        <w:t> 则的相关规定，严格遵照有关规定处置所持股份。</w:t>
      </w:r>
    </w:p>
    <w:p>
      <w:pPr>
        <w:pStyle w:val="BodyText"/>
        <w:spacing w:line="297" w:lineRule="auto" w:before="20"/>
        <w:ind w:left="137" w:right="147" w:firstLine="420"/>
        <w:jc w:val="left"/>
      </w:pPr>
      <w:r>
        <w:rPr/>
        <w:t>除此之外，公司或持有公司股份</w:t>
      </w:r>
      <w:r>
        <w:rPr>
          <w:spacing w:val="-55"/>
        </w:rPr>
        <w:t> </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spacing w:val="-55"/>
        </w:rPr>
        <w:t> </w:t>
      </w:r>
      <w:r>
        <w:rPr>
          <w:rFonts w:ascii="Times New Roman" w:hAnsi="Times New Roman" w:cs="Times New Roman" w:eastAsia="Times New Roman" w:hint="default"/>
        </w:rPr>
        <w:t>5%)</w:t>
      </w:r>
      <w:r>
        <w:rPr/>
        <w:t>的股东在报告期内未有其他承诺事项， 也未有以前期间发生而持续到报告期的承诺事项。</w:t>
      </w:r>
    </w:p>
    <w:p>
      <w:pPr>
        <w:spacing w:line="240" w:lineRule="auto" w:before="0"/>
        <w:rPr>
          <w:rFonts w:ascii="宋体" w:hAnsi="宋体" w:cs="宋体" w:eastAsia="宋体" w:hint="default"/>
          <w:sz w:val="20"/>
          <w:szCs w:val="20"/>
        </w:rPr>
      </w:pPr>
    </w:p>
    <w:p>
      <w:pPr>
        <w:spacing w:line="314" w:lineRule="auto" w:before="133"/>
        <w:ind w:left="557" w:right="102" w:firstLine="2"/>
        <w:jc w:val="left"/>
        <w:rPr>
          <w:rFonts w:ascii="宋体" w:hAnsi="宋体" w:cs="宋体" w:eastAsia="宋体" w:hint="default"/>
          <w:sz w:val="21"/>
          <w:szCs w:val="21"/>
        </w:rPr>
      </w:pPr>
      <w:r>
        <w:rPr>
          <w:rFonts w:ascii="宋体" w:hAnsi="宋体" w:cs="宋体" w:eastAsia="宋体" w:hint="default"/>
          <w:b/>
          <w:bCs/>
          <w:sz w:val="21"/>
          <w:szCs w:val="21"/>
        </w:rPr>
        <w:t>十、关于第三次解除限售的提示</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公司在</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月完成股改，</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14</w:t>
      </w:r>
      <w:r>
        <w:rPr>
          <w:rFonts w:ascii="宋体" w:hAnsi="宋体" w:cs="宋体" w:eastAsia="宋体" w:hint="default"/>
          <w:spacing w:val="-3"/>
          <w:sz w:val="21"/>
          <w:szCs w:val="21"/>
        </w:rPr>
        <w:t>日为公司达到第一次解除限售的时点，本次公</w:t>
      </w:r>
    </w:p>
    <w:p>
      <w:pPr>
        <w:pStyle w:val="BodyText"/>
        <w:spacing w:line="297" w:lineRule="auto"/>
        <w:ind w:left="137" w:right="102"/>
        <w:jc w:val="left"/>
      </w:pPr>
      <w:r>
        <w:rPr>
          <w:spacing w:val="-3"/>
        </w:rPr>
        <w:t>司共解除限售股</w:t>
      </w:r>
      <w:r>
        <w:rPr>
          <w:rFonts w:ascii="Times New Roman" w:hAnsi="Times New Roman" w:cs="Times New Roman" w:eastAsia="Times New Roman" w:hint="default"/>
          <w:spacing w:val="-3"/>
        </w:rPr>
        <w:t>57,043,754</w:t>
      </w:r>
      <w:r>
        <w:rPr>
          <w:spacing w:val="-3"/>
        </w:rPr>
        <w:t>股；</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日为公司达到第二次解除限售的时点，本次公司</w:t>
      </w:r>
      <w:r>
        <w:rPr>
          <w:spacing w:val="-58"/>
        </w:rPr>
        <w:t> </w:t>
      </w:r>
      <w:r>
        <w:rPr>
          <w:spacing w:val="-58"/>
        </w:rPr>
      </w:r>
      <w:r>
        <w:rPr>
          <w:spacing w:val="-3"/>
        </w:rPr>
        <w:t>共解除限售股</w:t>
      </w:r>
      <w:r>
        <w:rPr>
          <w:rFonts w:ascii="Times New Roman" w:hAnsi="Times New Roman" w:cs="Times New Roman" w:eastAsia="Times New Roman" w:hint="default"/>
          <w:spacing w:val="-3"/>
        </w:rPr>
        <w:t>14,708,699</w:t>
      </w:r>
      <w:r>
        <w:rPr>
          <w:spacing w:val="-3"/>
        </w:rPr>
        <w:t>股；</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日为公司达到第三次解除限售的时点，本次公司限</w:t>
      </w:r>
    </w:p>
    <w:p>
      <w:pPr>
        <w:spacing w:after="0" w:line="297" w:lineRule="auto"/>
        <w:jc w:val="left"/>
        <w:sectPr>
          <w:pgSz w:w="11910" w:h="16840"/>
          <w:pgMar w:header="877" w:footer="975" w:top="1100" w:bottom="1160" w:left="1660" w:right="1580"/>
        </w:sectPr>
      </w:pPr>
    </w:p>
    <w:p>
      <w:pPr>
        <w:spacing w:line="240" w:lineRule="auto" w:before="6"/>
        <w:rPr>
          <w:rFonts w:ascii="宋体" w:hAnsi="宋体" w:cs="宋体" w:eastAsia="宋体" w:hint="default"/>
          <w:sz w:val="25"/>
          <w:szCs w:val="25"/>
        </w:rPr>
      </w:pPr>
    </w:p>
    <w:p>
      <w:pPr>
        <w:pStyle w:val="BodyText"/>
        <w:spacing w:line="240" w:lineRule="auto" w:before="35"/>
        <w:ind w:left="137" w:right="0"/>
        <w:jc w:val="left"/>
      </w:pPr>
      <w:r>
        <w:rPr>
          <w:spacing w:val="-3"/>
        </w:rPr>
        <w:t>售股将符合全额解除限售的规定，可解除限售的股份数量为</w:t>
      </w:r>
      <w:r>
        <w:rPr>
          <w:rFonts w:ascii="Times New Roman" w:hAnsi="Times New Roman" w:cs="Times New Roman" w:eastAsia="Times New Roman" w:hint="default"/>
          <w:spacing w:val="-3"/>
        </w:rPr>
        <w:t>154,734,604</w:t>
      </w:r>
      <w:r>
        <w:rPr>
          <w:spacing w:val="-3"/>
        </w:rPr>
        <w:t>股，占公司总股份的</w:t>
      </w:r>
    </w:p>
    <w:p>
      <w:pPr>
        <w:pStyle w:val="BodyText"/>
        <w:spacing w:line="240" w:lineRule="auto" w:before="69"/>
        <w:ind w:left="137" w:right="0"/>
        <w:jc w:val="left"/>
      </w:pPr>
      <w:r>
        <w:rPr>
          <w:rFonts w:ascii="Times New Roman" w:hAnsi="Times New Roman" w:cs="Times New Roman" w:eastAsia="Times New Roman" w:hint="default"/>
        </w:rPr>
        <w:t>43.23%</w:t>
      </w:r>
      <w:r>
        <w:rPr/>
        <w:t>。</w:t>
      </w:r>
    </w:p>
    <w:p>
      <w:pPr>
        <w:spacing w:line="240" w:lineRule="auto" w:before="10"/>
        <w:rPr>
          <w:rFonts w:ascii="宋体" w:hAnsi="宋体" w:cs="宋体" w:eastAsia="宋体" w:hint="default"/>
          <w:sz w:val="32"/>
          <w:szCs w:val="32"/>
        </w:rPr>
      </w:pPr>
    </w:p>
    <w:p>
      <w:pPr>
        <w:pStyle w:val="Heading3"/>
        <w:spacing w:line="240" w:lineRule="auto"/>
        <w:ind w:left="560" w:right="0"/>
        <w:jc w:val="left"/>
        <w:rPr>
          <w:b w:val="0"/>
          <w:bCs w:val="0"/>
        </w:rPr>
      </w:pPr>
      <w:r>
        <w:rPr/>
        <w:t>十一、报告期内公司聘任会计师事务所情况</w:t>
      </w:r>
      <w:r>
        <w:rPr>
          <w:b w:val="0"/>
          <w:bCs w:val="0"/>
        </w:rPr>
      </w:r>
    </w:p>
    <w:p>
      <w:pPr>
        <w:pStyle w:val="BodyText"/>
        <w:spacing w:line="297" w:lineRule="auto" w:before="85"/>
        <w:ind w:left="137" w:right="171" w:firstLine="42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日，公司</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年度股东大会审议通过了《关于聘请公司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年度审计机构及 支付报酬的议案》，决定续聘深圳南方民和会计师事务所有限责任公司（以下简称</w:t>
      </w:r>
      <w:r>
        <w:rPr>
          <w:rFonts w:ascii="Times New Roman" w:hAnsi="Times New Roman" w:cs="Times New Roman" w:eastAsia="Times New Roman" w:hint="default"/>
        </w:rPr>
        <w:t>“</w:t>
      </w:r>
      <w:r>
        <w:rPr/>
        <w:t>南方民</w:t>
      </w:r>
      <w:r>
        <w:rPr>
          <w:spacing w:val="-94"/>
        </w:rPr>
        <w:t> </w:t>
      </w:r>
      <w:r>
        <w:rPr/>
        <w:t>和事务所</w:t>
      </w:r>
      <w:r>
        <w:rPr>
          <w:rFonts w:ascii="Times New Roman" w:hAnsi="Times New Roman" w:cs="Times New Roman" w:eastAsia="Times New Roman" w:hint="default"/>
        </w:rPr>
        <w:t>”</w:t>
      </w:r>
      <w:r>
        <w:rPr/>
        <w:t>）为</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年度财务报告的审计机构。</w:t>
      </w:r>
    </w:p>
    <w:p>
      <w:pPr>
        <w:pStyle w:val="BodyText"/>
        <w:spacing w:line="307" w:lineRule="auto" w:before="13"/>
        <w:ind w:left="137" w:right="107" w:firstLine="42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日，公司接到南方民和事务所的《关于提请变更会计师事务所名称的函》，告 </w:t>
      </w:r>
      <w:r>
        <w:rPr>
          <w:spacing w:val="-3"/>
        </w:rPr>
        <w:t>知南方民和事务所与中审国际会计师事务所有限公司实施合并，并已完成相关法律程序。合</w:t>
      </w:r>
      <w:r>
        <w:rPr>
          <w:spacing w:val="-75"/>
        </w:rPr>
        <w:t> </w:t>
      </w:r>
      <w:r>
        <w:rPr>
          <w:spacing w:val="-75"/>
        </w:rPr>
      </w:r>
      <w:r>
        <w:rPr/>
        <w:t>并后名称为“中审国际会计师事务所有限公司”（以下简称“中审国际事务所”）， 同时</w:t>
      </w:r>
      <w:r>
        <w:rPr>
          <w:spacing w:val="-93"/>
        </w:rPr>
        <w:t> </w:t>
      </w:r>
      <w:r>
        <w:rPr>
          <w:spacing w:val="-93"/>
        </w:rPr>
      </w:r>
      <w:r>
        <w:rPr/>
        <w:t>成立中审国际会计师事务所有限公司深圳分所（以下简称</w:t>
      </w:r>
      <w:r>
        <w:rPr>
          <w:rFonts w:ascii="Times New Roman" w:hAnsi="Times New Roman" w:cs="Times New Roman" w:eastAsia="Times New Roman" w:hint="default"/>
        </w:rPr>
        <w:t>“</w:t>
      </w:r>
      <w:r>
        <w:rPr/>
        <w:t>中审国际深圳分所</w:t>
      </w:r>
      <w:r>
        <w:rPr>
          <w:rFonts w:ascii="Times New Roman" w:hAnsi="Times New Roman" w:cs="Times New Roman" w:eastAsia="Times New Roman" w:hint="default"/>
        </w:rPr>
        <w:t>”</w:t>
      </w:r>
      <w:r>
        <w:rPr/>
        <w:t>）。合并后， </w:t>
      </w:r>
      <w:r>
        <w:rPr>
          <w:spacing w:val="-3"/>
        </w:rPr>
        <w:t>原南方民和事务所的所有审计、验资等注册会计师法定业务及其他业务均转由中审国际事务</w:t>
      </w:r>
      <w:r>
        <w:rPr>
          <w:spacing w:val="-73"/>
        </w:rPr>
        <w:t> </w:t>
      </w:r>
      <w:r>
        <w:rPr>
          <w:spacing w:val="-73"/>
        </w:rPr>
      </w:r>
      <w:r>
        <w:rPr/>
        <w:t>所和中审国际深圳分所继续履行。</w:t>
      </w:r>
    </w:p>
    <w:p>
      <w:pPr>
        <w:pStyle w:val="BodyText"/>
        <w:spacing w:line="240" w:lineRule="auto" w:before="26"/>
        <w:ind w:left="557" w:right="0"/>
        <w:jc w:val="left"/>
      </w:pPr>
      <w:r>
        <w:rPr/>
        <w:t>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日召开的</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年第一次</w:t>
      </w:r>
      <w:r>
        <w:rPr>
          <w:spacing w:val="-2"/>
        </w:rPr>
        <w:t>临</w:t>
      </w:r>
      <w:r>
        <w:rPr/>
        <w:t>时股东大会批准</w:t>
      </w:r>
      <w:r>
        <w:rPr>
          <w:spacing w:val="-88"/>
        </w:rPr>
        <w:t>，</w:t>
      </w:r>
      <w:r>
        <w:rPr/>
        <w:t>公司变更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2"/>
        </w:rPr>
        <w:t>度</w:t>
      </w:r>
      <w:r>
        <w:rPr/>
        <w:t>审计机构为</w:t>
      </w:r>
    </w:p>
    <w:p>
      <w:pPr>
        <w:pStyle w:val="BodyText"/>
        <w:spacing w:line="240" w:lineRule="auto" w:before="69"/>
        <w:ind w:left="136" w:right="0"/>
        <w:jc w:val="left"/>
      </w:pPr>
      <w:r>
        <w:rPr/>
        <w:t>中审国际会计师事务所有限公司，报酬由</w:t>
      </w:r>
      <w:r>
        <w:rPr>
          <w:spacing w:val="-54"/>
        </w:rPr>
        <w:t> </w:t>
      </w:r>
      <w:r>
        <w:rPr>
          <w:rFonts w:ascii="Times New Roman" w:hAnsi="Times New Roman" w:cs="Times New Roman" w:eastAsia="Times New Roman" w:hint="default"/>
        </w:rPr>
        <w:t>46</w:t>
      </w:r>
      <w:r>
        <w:rPr>
          <w:rFonts w:ascii="Times New Roman" w:hAnsi="Times New Roman" w:cs="Times New Roman" w:eastAsia="Times New Roman" w:hint="default"/>
          <w:spacing w:val="-1"/>
        </w:rPr>
        <w:t> </w:t>
      </w:r>
      <w:r>
        <w:rPr/>
        <w:t>万元变更为</w:t>
      </w:r>
      <w:r>
        <w:rPr>
          <w:spacing w:val="-54"/>
        </w:rPr>
        <w:t> </w:t>
      </w:r>
      <w:r>
        <w:rPr>
          <w:rFonts w:ascii="Times New Roman" w:hAnsi="Times New Roman" w:cs="Times New Roman" w:eastAsia="Times New Roman" w:hint="default"/>
        </w:rPr>
        <w:t>55</w:t>
      </w:r>
      <w:r>
        <w:rPr>
          <w:rFonts w:ascii="Times New Roman" w:hAnsi="Times New Roman" w:cs="Times New Roman" w:eastAsia="Times New Roman" w:hint="default"/>
          <w:spacing w:val="-2"/>
        </w:rPr>
        <w:t> </w:t>
      </w:r>
      <w:r>
        <w:rPr/>
        <w:t>万元。</w:t>
      </w:r>
    </w:p>
    <w:p>
      <w:pPr>
        <w:spacing w:line="240" w:lineRule="auto" w:before="10"/>
        <w:rPr>
          <w:rFonts w:ascii="宋体" w:hAnsi="宋体" w:cs="宋体" w:eastAsia="宋体" w:hint="default"/>
          <w:sz w:val="32"/>
          <w:szCs w:val="32"/>
        </w:rPr>
      </w:pPr>
    </w:p>
    <w:p>
      <w:pPr>
        <w:pStyle w:val="Heading3"/>
        <w:spacing w:line="314" w:lineRule="auto"/>
        <w:ind w:left="136" w:right="266" w:firstLine="422"/>
        <w:jc w:val="both"/>
        <w:rPr>
          <w:b w:val="0"/>
          <w:bCs w:val="0"/>
        </w:rPr>
      </w:pPr>
      <w:r>
        <w:rPr>
          <w:w w:val="95"/>
        </w:rPr>
        <w:t>十二、公司及其董事、监事、高级管理人员、公司股东、实际控制人、收购人在报告</w:t>
      </w:r>
      <w:r>
        <w:rPr>
          <w:spacing w:val="1"/>
          <w:w w:val="99"/>
        </w:rPr>
        <w:t> </w:t>
      </w:r>
      <w:r>
        <w:rPr>
          <w:w w:val="95"/>
        </w:rPr>
        <w:t>期内是否有受有权机关调查、司法纪检部门采取强制措施、被移送司法机关或追究刑事责</w:t>
      </w:r>
      <w:r>
        <w:rPr>
          <w:spacing w:val="88"/>
          <w:w w:val="95"/>
        </w:rPr>
        <w:t> </w:t>
      </w:r>
      <w:r>
        <w:rPr>
          <w:spacing w:val="88"/>
          <w:w w:val="95"/>
        </w:rPr>
      </w:r>
      <w:r>
        <w:rPr>
          <w:w w:val="95"/>
        </w:rPr>
        <w:t>任、中国证监会稽查、中国证监会行政处罚、证券市场禁入、认定为不适当人选被其他行</w:t>
      </w:r>
      <w:r>
        <w:rPr>
          <w:spacing w:val="88"/>
          <w:w w:val="95"/>
        </w:rPr>
        <w:t> </w:t>
      </w:r>
      <w:r>
        <w:rPr>
          <w:spacing w:val="88"/>
          <w:w w:val="95"/>
        </w:rPr>
      </w:r>
      <w:r>
        <w:rPr/>
        <w:t>政管理部门处罚及证券交易所公开谴责的情形</w:t>
      </w:r>
      <w:r>
        <w:rPr>
          <w:b w:val="0"/>
          <w:bCs w:val="0"/>
        </w:rPr>
      </w:r>
    </w:p>
    <w:p>
      <w:pPr>
        <w:pStyle w:val="BodyText"/>
        <w:spacing w:line="314" w:lineRule="auto" w:before="20"/>
        <w:ind w:left="136" w:right="173" w:firstLine="420"/>
        <w:jc w:val="both"/>
      </w:pPr>
      <w:r>
        <w:rPr>
          <w:spacing w:val="-3"/>
        </w:rPr>
        <w:t>在报告期内，公司及董事、监事、高级管理人员、公司股东、实际控制人未发生受中国</w:t>
      </w:r>
      <w:r>
        <w:rPr/>
        <w:t> </w:t>
      </w:r>
      <w:r>
        <w:rPr>
          <w:spacing w:val="-3"/>
        </w:rPr>
        <w:t>证监会稽查、中国证监会行政处罚、通报批评、其他行政管理部门处罚及深圳证券交易所公</w:t>
      </w:r>
      <w:r>
        <w:rPr>
          <w:spacing w:val="-74"/>
        </w:rPr>
        <w:t> </w:t>
      </w:r>
      <w:r>
        <w:rPr>
          <w:spacing w:val="-74"/>
        </w:rPr>
      </w:r>
      <w:r>
        <w:rPr/>
        <w:t>开谴责的情况；公司董事、管理层有关人员未发生被采取司法强制措施的情况。</w:t>
      </w:r>
    </w:p>
    <w:p>
      <w:pPr>
        <w:spacing w:line="240" w:lineRule="auto" w:before="0"/>
        <w:rPr>
          <w:rFonts w:ascii="宋体" w:hAnsi="宋体" w:cs="宋体" w:eastAsia="宋体" w:hint="default"/>
          <w:sz w:val="29"/>
          <w:szCs w:val="29"/>
        </w:rPr>
      </w:pPr>
    </w:p>
    <w:p>
      <w:pPr>
        <w:pStyle w:val="Heading3"/>
        <w:spacing w:line="240" w:lineRule="auto"/>
        <w:ind w:right="0"/>
        <w:jc w:val="left"/>
        <w:rPr>
          <w:b w:val="0"/>
          <w:bCs w:val="0"/>
        </w:rPr>
      </w:pPr>
      <w:r>
        <w:rPr/>
        <w:t>十三、其他重要事项</w:t>
      </w:r>
      <w:r>
        <w:rPr>
          <w:b w:val="0"/>
          <w:bCs w:val="0"/>
        </w:rPr>
      </w:r>
    </w:p>
    <w:p>
      <w:pPr>
        <w:pStyle w:val="BodyText"/>
        <w:spacing w:line="240" w:lineRule="auto" w:before="85"/>
        <w:ind w:left="556" w:right="0"/>
        <w:jc w:val="left"/>
      </w:pPr>
      <w:r>
        <w:rPr>
          <w:rFonts w:ascii="Times New Roman" w:hAnsi="Times New Roman" w:cs="Times New Roman" w:eastAsia="Times New Roman" w:hint="default"/>
        </w:rPr>
        <w:t>1</w:t>
      </w:r>
      <w:r>
        <w:rPr/>
        <w:t>、本年度公司未发生会计政策变更，不存在重大会计差错调整事项。</w:t>
      </w:r>
    </w:p>
    <w:p>
      <w:pPr>
        <w:pStyle w:val="BodyText"/>
        <w:spacing w:line="240" w:lineRule="auto" w:before="69"/>
        <w:ind w:left="556" w:right="0"/>
        <w:jc w:val="left"/>
      </w:pPr>
      <w:r>
        <w:rPr>
          <w:rFonts w:ascii="Times New Roman" w:hAnsi="Times New Roman" w:cs="Times New Roman" w:eastAsia="Times New Roman" w:hint="default"/>
        </w:rPr>
        <w:t>2</w:t>
      </w:r>
      <w:r>
        <w:rPr/>
        <w:t>、报告期内，公司未有其他接待调研和采访的情况。</w:t>
      </w:r>
    </w:p>
    <w:p>
      <w:pPr>
        <w:pStyle w:val="BodyText"/>
        <w:spacing w:line="297" w:lineRule="auto" w:before="69"/>
        <w:ind w:left="136" w:right="174" w:firstLine="420"/>
        <w:jc w:val="both"/>
      </w:pPr>
      <w:r>
        <w:rPr>
          <w:rFonts w:ascii="Times New Roman" w:hAnsi="Times New Roman" w:cs="Times New Roman" w:eastAsia="Times New Roman" w:hint="default"/>
          <w:spacing w:val="-2"/>
        </w:rPr>
        <w:t>3</w:t>
      </w:r>
      <w:r>
        <w:rPr>
          <w:spacing w:val="-2"/>
        </w:rPr>
        <w:t>、公司报告期内未发生董事、监事、高级管理人员、持股</w:t>
      </w:r>
      <w:r>
        <w:rPr>
          <w:rFonts w:ascii="Times New Roman" w:hAnsi="Times New Roman" w:cs="Times New Roman" w:eastAsia="Times New Roman" w:hint="default"/>
          <w:spacing w:val="-2"/>
        </w:rPr>
        <w:t>5%</w:t>
      </w:r>
      <w:r>
        <w:rPr>
          <w:spacing w:val="-2"/>
        </w:rPr>
        <w:t>以上的股东违反相关规定</w:t>
      </w:r>
      <w:r>
        <w:rPr/>
        <w:t> 买卖公司股票，或发生其他涉嫌违规买卖公司股票的情形。</w:t>
      </w:r>
    </w:p>
    <w:p>
      <w:pPr>
        <w:spacing w:after="0" w:line="297" w:lineRule="auto"/>
        <w:jc w:val="both"/>
        <w:sectPr>
          <w:pgSz w:w="11910" w:h="16840"/>
          <w:pgMar w:header="877" w:footer="975" w:top="1100" w:bottom="1160" w:left="1660" w:right="1620"/>
        </w:sectPr>
      </w:pPr>
    </w:p>
    <w:p>
      <w:pPr>
        <w:spacing w:line="240" w:lineRule="auto" w:before="0"/>
        <w:rPr>
          <w:rFonts w:ascii="宋体" w:hAnsi="宋体" w:cs="宋体" w:eastAsia="宋体" w:hint="default"/>
          <w:sz w:val="21"/>
          <w:szCs w:val="21"/>
        </w:rPr>
      </w:pPr>
    </w:p>
    <w:p>
      <w:pPr>
        <w:spacing w:line="273" w:lineRule="auto" w:before="35"/>
        <w:ind w:left="1257" w:right="0" w:firstLine="2"/>
        <w:jc w:val="left"/>
        <w:rPr>
          <w:rFonts w:ascii="宋体" w:hAnsi="宋体" w:cs="宋体" w:eastAsia="宋体" w:hint="default"/>
          <w:sz w:val="21"/>
          <w:szCs w:val="21"/>
        </w:rPr>
      </w:pPr>
      <w:r>
        <w:rPr>
          <w:rFonts w:ascii="宋体" w:hAnsi="宋体" w:cs="宋体" w:eastAsia="宋体" w:hint="default"/>
          <w:b/>
          <w:bCs/>
          <w:sz w:val="21"/>
          <w:szCs w:val="21"/>
        </w:rPr>
        <w:t>十四、重要事项信息公告索引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报告期，公司公告均刊登在《证券时报》和巨潮咨询网</w:t>
      </w:r>
      <w:r>
        <w:rPr>
          <w:rFonts w:ascii="Times New Roman" w:hAnsi="Times New Roman" w:cs="Times New Roman" w:eastAsia="Times New Roman" w:hint="default"/>
          <w:spacing w:val="-2"/>
          <w:sz w:val="21"/>
          <w:szCs w:val="21"/>
        </w:rPr>
        <w:t>(</w:t>
      </w:r>
      <w:hyperlink r:id="rId10">
        <w:r>
          <w:rPr>
            <w:rFonts w:ascii="Times New Roman" w:hAnsi="Times New Roman" w:cs="Times New Roman" w:eastAsia="Times New Roman" w:hint="default"/>
            <w:spacing w:val="-2"/>
            <w:sz w:val="21"/>
            <w:szCs w:val="21"/>
            <w:u w:val="single" w:color="000000"/>
          </w:rPr>
          <w:t>www.cninfo.com.cn</w:t>
        </w:r>
        <w:r>
          <w:rPr>
            <w:rFonts w:ascii="Times New Roman" w:hAnsi="Times New Roman" w:cs="Times New Roman" w:eastAsia="Times New Roman" w:hint="default"/>
            <w:spacing w:val="-2"/>
            <w:sz w:val="21"/>
            <w:szCs w:val="21"/>
          </w:rPr>
        </w:r>
      </w:hyperlink>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，具体内容</w:t>
      </w:r>
    </w:p>
    <w:p>
      <w:pPr>
        <w:pStyle w:val="BodyText"/>
        <w:spacing w:line="264" w:lineRule="exact"/>
        <w:ind w:left="837" w:right="0"/>
        <w:jc w:val="left"/>
      </w:pPr>
      <w:r>
        <w:rPr/>
        <w:t>如下：</w:t>
      </w: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426"/>
        <w:gridCol w:w="1733"/>
        <w:gridCol w:w="5580"/>
        <w:gridCol w:w="1082"/>
        <w:gridCol w:w="870"/>
      </w:tblGrid>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1" w:right="0"/>
              <w:jc w:val="left"/>
              <w:rPr>
                <w:rFonts w:ascii="宋体" w:hAnsi="宋体" w:cs="宋体" w:eastAsia="宋体" w:hint="default"/>
                <w:sz w:val="21"/>
                <w:szCs w:val="21"/>
              </w:rPr>
            </w:pPr>
            <w:r>
              <w:rPr>
                <w:rFonts w:ascii="宋体" w:hAnsi="宋体" w:cs="宋体" w:eastAsia="宋体" w:hint="default"/>
                <w:sz w:val="21"/>
                <w:szCs w:val="21"/>
              </w:rPr>
              <w:t>公告时间</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公告名称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刊登报刊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4"/>
              <w:jc w:val="center"/>
              <w:rPr>
                <w:rFonts w:ascii="宋体" w:hAnsi="宋体" w:cs="宋体" w:eastAsia="宋体" w:hint="default"/>
                <w:sz w:val="21"/>
                <w:szCs w:val="21"/>
              </w:rPr>
            </w:pPr>
            <w:r>
              <w:rPr>
                <w:rFonts w:ascii="宋体" w:hAnsi="宋体" w:cs="宋体" w:eastAsia="宋体" w:hint="default"/>
                <w:sz w:val="21"/>
                <w:szCs w:val="21"/>
              </w:rPr>
              <w:t>披露网站</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破产重整进展公告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破产重整进展公告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重整事项公告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破产重整进展公告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关于法院受理下属公司破产重整事宜的公告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下属公司重整公告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破产重整进展公告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业绩预告公告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管理人关于公司延期披露</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年度报告的提示性公告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年年度报告摘要</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管理人关于公司第六届董事会第五次会议决议公告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管理人关于公司第五届监事会第五次会议决议公告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重整进展暨公司下属公司重要事项的公告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破产重整进展公告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下属子公司重要事项公告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管理人关于债权确认事项的公告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管理人关于召开第二次债权人会议出资人组会议的公告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管理人关于召开第二次债权人会议的公告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管理人关于公司重整案出资人权益调整方案的公告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年第一季度报告正文</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63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8"/>
              <w:jc w:val="left"/>
              <w:rPr>
                <w:rFonts w:ascii="宋体" w:hAnsi="宋体" w:cs="宋体" w:eastAsia="宋体" w:hint="default"/>
                <w:sz w:val="21"/>
                <w:szCs w:val="21"/>
              </w:rPr>
            </w:pPr>
            <w:r>
              <w:rPr>
                <w:rFonts w:ascii="宋体" w:hAnsi="宋体" w:cs="宋体" w:eastAsia="宋体" w:hint="default"/>
                <w:spacing w:val="3"/>
                <w:sz w:val="21"/>
                <w:szCs w:val="21"/>
              </w:rPr>
              <w:t>管理人关于第二次债权人会议及出资人组会议召开情况的公</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center"/>
              <w:rPr>
                <w:rFonts w:ascii="宋体" w:hAnsi="宋体" w:cs="宋体" w:eastAsia="宋体" w:hint="default"/>
                <w:sz w:val="21"/>
                <w:szCs w:val="21"/>
              </w:rPr>
            </w:pPr>
            <w:r>
              <w:rPr>
                <w:rFonts w:ascii="宋体" w:hAnsi="宋体" w:cs="宋体" w:eastAsia="宋体" w:hint="default"/>
                <w:sz w:val="21"/>
                <w:szCs w:val="21"/>
              </w:rPr>
              <w:t>巨潮网</w:t>
            </w:r>
          </w:p>
        </w:tc>
      </w:tr>
    </w:tbl>
    <w:p>
      <w:pPr>
        <w:spacing w:after="0" w:line="260" w:lineRule="exact"/>
        <w:jc w:val="center"/>
        <w:rPr>
          <w:rFonts w:ascii="宋体" w:hAnsi="宋体" w:cs="宋体" w:eastAsia="宋体" w:hint="default"/>
          <w:sz w:val="21"/>
          <w:szCs w:val="21"/>
        </w:rPr>
        <w:sectPr>
          <w:pgSz w:w="11910" w:h="16840"/>
          <w:pgMar w:header="877" w:footer="975" w:top="1100" w:bottom="1160" w:left="960" w:right="1020"/>
        </w:sectPr>
      </w:pPr>
    </w:p>
    <w:p>
      <w:pPr>
        <w:spacing w:line="240" w:lineRule="auto" w:before="3"/>
        <w:rPr>
          <w:rFonts w:ascii="Times New Roman" w:hAnsi="Times New Roman" w:cs="Times New Roman" w:eastAsia="Times New Roman"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426"/>
        <w:gridCol w:w="1733"/>
        <w:gridCol w:w="5580"/>
        <w:gridCol w:w="1082"/>
        <w:gridCol w:w="870"/>
      </w:tblGrid>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管理人关于子公司第二次债权人会议召开情况的公告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管理人重大诉讼及诉讼案件终结执行公告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管理人重整进展公告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管理人关于法院批准子公司重整计划的公告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管理人关于法院批准重整计划的公告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关于补充债权确认事项的公告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第六届董事会第七次会议决议公告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第六届董事会第八次会议决议公告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4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年度股东大会的通知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重整计划执行进展公告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简式权益变动报告书</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7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年度股东大会决议公告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年度中期业绩预告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重整计划执行进展公告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重整计划执行进展公告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限售股份解除限售提示性公告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简式权益变动报告书</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重整计划执行进展公告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4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第六届董事会第九次会议决议公告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年半年度报告摘要</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63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关于申请撤销股票交易退市风险警示并实行其他特别处理</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重整计划执行完毕及股票复牌的公告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股东减持股份公告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关于撤销股票交易退市风险警示并实行其他特别处理的公告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诉讼事项进展公告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4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关于股东股份质押的公告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第五届监事会第八次会议决议公告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第六届董事会第十次会议决议公告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年第三季度报告正文</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70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诉讼事项进展公告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71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第六届董事会第十一次会议决议公告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72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第五届监事会第九次会议决议公告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73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年第一次临时股东大会的通知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2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74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年第一次临时股东大会决议公告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巨潮网</w:t>
            </w:r>
          </w:p>
        </w:tc>
      </w:tr>
    </w:tbl>
    <w:p>
      <w:pPr>
        <w:spacing w:after="0" w:line="260" w:lineRule="exact"/>
        <w:jc w:val="left"/>
        <w:rPr>
          <w:rFonts w:ascii="宋体" w:hAnsi="宋体" w:cs="宋体" w:eastAsia="宋体" w:hint="default"/>
          <w:sz w:val="21"/>
          <w:szCs w:val="21"/>
        </w:rPr>
        <w:sectPr>
          <w:pgSz w:w="11910" w:h="16840"/>
          <w:pgMar w:header="877" w:footer="975" w:top="1100" w:bottom="1160" w:left="960" w:right="1020"/>
        </w:sectPr>
      </w:pPr>
    </w:p>
    <w:p>
      <w:pPr>
        <w:spacing w:line="240" w:lineRule="auto" w:before="6"/>
        <w:rPr>
          <w:rFonts w:ascii="Times New Roman" w:hAnsi="Times New Roman" w:cs="Times New Roman" w:eastAsia="Times New Roman" w:hint="default"/>
          <w:sz w:val="26"/>
          <w:szCs w:val="26"/>
        </w:rPr>
      </w:pPr>
    </w:p>
    <w:p>
      <w:pPr>
        <w:pStyle w:val="Heading1"/>
        <w:tabs>
          <w:tab w:pos="1124" w:val="left" w:leader="none"/>
        </w:tabs>
        <w:spacing w:line="240" w:lineRule="auto"/>
        <w:ind w:right="22"/>
        <w:jc w:val="center"/>
        <w:rPr>
          <w:b w:val="0"/>
          <w:bCs w:val="0"/>
        </w:rPr>
      </w:pPr>
      <w:bookmarkStart w:name="_TOC_250000" w:id="10"/>
      <w:r>
        <w:rPr>
          <w:w w:val="95"/>
        </w:rPr>
        <w:t>第十节</w:t>
        <w:tab/>
      </w:r>
      <w:r>
        <w:rPr/>
        <w:t>财务报告</w:t>
      </w:r>
      <w:bookmarkEnd w:id="10"/>
      <w:r>
        <w:rPr>
          <w:b w:val="0"/>
          <w:bCs w:val="0"/>
        </w:rPr>
      </w:r>
    </w:p>
    <w:p>
      <w:pPr>
        <w:spacing w:line="240" w:lineRule="auto" w:before="3"/>
        <w:rPr>
          <w:rFonts w:ascii="宋体" w:hAnsi="宋体" w:cs="宋体" w:eastAsia="宋体" w:hint="default"/>
          <w:b/>
          <w:bCs/>
          <w:sz w:val="27"/>
          <w:szCs w:val="27"/>
        </w:rPr>
      </w:pPr>
    </w:p>
    <w:p>
      <w:pPr>
        <w:pStyle w:val="Heading2"/>
        <w:spacing w:line="240" w:lineRule="auto" w:before="0"/>
        <w:ind w:left="0" w:right="22" w:firstLine="0"/>
        <w:jc w:val="center"/>
        <w:rPr>
          <w:rFonts w:ascii="宋体" w:hAnsi="宋体" w:cs="宋体" w:eastAsia="宋体" w:hint="default"/>
        </w:rPr>
      </w:pPr>
      <w:r>
        <w:rPr>
          <w:rFonts w:ascii="宋体" w:hAnsi="宋体" w:cs="宋体" w:eastAsia="宋体" w:hint="default"/>
        </w:rPr>
        <w:t>深圳市深信泰丰（集团）股份有限公司</w:t>
      </w:r>
    </w:p>
    <w:p>
      <w:pPr>
        <w:pStyle w:val="Heading2"/>
        <w:spacing w:line="240" w:lineRule="auto" w:before="178"/>
        <w:ind w:left="0" w:right="19" w:firstLine="0"/>
        <w:jc w:val="center"/>
        <w:rPr>
          <w:rFonts w:ascii="宋体" w:hAnsi="宋体" w:cs="宋体" w:eastAsia="宋体"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年度</w:t>
      </w:r>
    </w:p>
    <w:p>
      <w:pPr>
        <w:spacing w:line="240" w:lineRule="auto" w:before="5"/>
        <w:rPr>
          <w:rFonts w:ascii="宋体" w:hAnsi="宋体" w:cs="宋体" w:eastAsia="宋体" w:hint="default"/>
          <w:sz w:val="23"/>
          <w:szCs w:val="23"/>
        </w:rPr>
      </w:pPr>
    </w:p>
    <w:p>
      <w:pPr>
        <w:spacing w:before="0"/>
        <w:ind w:left="0" w:right="20"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1"/>
          <w:sz w:val="32"/>
          <w:szCs w:val="32"/>
        </w:rPr>
        <w:t> </w:t>
      </w:r>
      <w:r>
        <w:rPr>
          <w:rFonts w:ascii="黑体" w:hAnsi="黑体" w:cs="黑体" w:eastAsia="黑体" w:hint="default"/>
          <w:sz w:val="32"/>
          <w:szCs w:val="32"/>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4"/>
          <w:szCs w:val="24"/>
        </w:rPr>
      </w:pPr>
    </w:p>
    <w:tbl>
      <w:tblPr>
        <w:tblW w:w="0" w:type="auto"/>
        <w:jc w:val="left"/>
        <w:tblInd w:w="497" w:type="dxa"/>
        <w:tblLayout w:type="fixed"/>
        <w:tblCellMar>
          <w:top w:w="0" w:type="dxa"/>
          <w:left w:w="0" w:type="dxa"/>
          <w:bottom w:w="0" w:type="dxa"/>
          <w:right w:w="0" w:type="dxa"/>
        </w:tblCellMar>
        <w:tblLook w:val="01E0"/>
      </w:tblPr>
      <w:tblGrid>
        <w:gridCol w:w="5213"/>
        <w:gridCol w:w="1440"/>
        <w:gridCol w:w="1260"/>
      </w:tblGrid>
      <w:tr>
        <w:trPr>
          <w:trHeight w:val="276" w:hRule="exact"/>
        </w:trPr>
        <w:tc>
          <w:tcPr>
            <w:tcW w:w="5213" w:type="dxa"/>
            <w:tcBorders>
              <w:top w:val="nil" w:sz="6" w:space="0" w:color="auto"/>
              <w:left w:val="nil" w:sz="6" w:space="0" w:color="auto"/>
              <w:bottom w:val="single" w:sz="4" w:space="0" w:color="000000"/>
              <w:right w:val="nil" w:sz="6" w:space="0" w:color="auto"/>
            </w:tcBorders>
          </w:tcPr>
          <w:p>
            <w:pPr>
              <w:pStyle w:val="TableParagraph"/>
              <w:spacing w:line="210" w:lineRule="exact"/>
              <w:ind w:left="7" w:right="0"/>
              <w:jc w:val="center"/>
              <w:rPr>
                <w:rFonts w:ascii="黑体" w:hAnsi="黑体" w:cs="黑体" w:eastAsia="黑体" w:hint="default"/>
                <w:sz w:val="21"/>
                <w:szCs w:val="21"/>
              </w:rPr>
            </w:pPr>
            <w:r>
              <w:rPr>
                <w:rFonts w:ascii="黑体" w:hAnsi="黑体" w:cs="黑体" w:eastAsia="黑体" w:hint="default"/>
                <w:sz w:val="21"/>
                <w:szCs w:val="21"/>
              </w:rPr>
              <w:t>目录</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10" w:lineRule="exact"/>
              <w:ind w:right="426"/>
              <w:jc w:val="right"/>
              <w:rPr>
                <w:rFonts w:ascii="黑体" w:hAnsi="黑体" w:cs="黑体" w:eastAsia="黑体" w:hint="default"/>
                <w:sz w:val="21"/>
                <w:szCs w:val="21"/>
              </w:rPr>
            </w:pPr>
            <w:r>
              <w:rPr>
                <w:rFonts w:ascii="黑体" w:hAnsi="黑体" w:cs="黑体" w:eastAsia="黑体" w:hint="default"/>
                <w:sz w:val="21"/>
                <w:szCs w:val="21"/>
              </w:rPr>
              <w:t>页码</w:t>
            </w:r>
          </w:p>
        </w:tc>
      </w:tr>
      <w:tr>
        <w:trPr>
          <w:trHeight w:val="534" w:hRule="exact"/>
        </w:trPr>
        <w:tc>
          <w:tcPr>
            <w:tcW w:w="5213"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108" w:right="0"/>
              <w:jc w:val="left"/>
              <w:rPr>
                <w:rFonts w:ascii="黑体" w:hAnsi="黑体" w:cs="黑体" w:eastAsia="黑体" w:hint="default"/>
                <w:sz w:val="21"/>
                <w:szCs w:val="21"/>
              </w:rPr>
            </w:pPr>
            <w:r>
              <w:rPr>
                <w:rFonts w:ascii="黑体" w:hAnsi="黑体" w:cs="黑体" w:eastAsia="黑体" w:hint="default"/>
                <w:sz w:val="21"/>
                <w:szCs w:val="21"/>
              </w:rPr>
              <w:t>一、审计报告</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72"/>
              <w:ind w:right="376"/>
              <w:jc w:val="right"/>
              <w:rPr>
                <w:rFonts w:ascii="Times New Roman" w:hAnsi="Times New Roman" w:cs="Times New Roman" w:eastAsia="Times New Roman" w:hint="default"/>
                <w:sz w:val="21"/>
                <w:szCs w:val="21"/>
              </w:rPr>
            </w:pPr>
            <w:r>
              <w:rPr>
                <w:rFonts w:ascii="Times New Roman"/>
                <w:spacing w:val="-1"/>
                <w:sz w:val="21"/>
              </w:rPr>
              <w:t>41-42</w:t>
            </w:r>
          </w:p>
        </w:tc>
      </w:tr>
      <w:tr>
        <w:trPr>
          <w:trHeight w:val="454"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黑体" w:hAnsi="黑体" w:cs="黑体" w:eastAsia="黑体" w:hint="default"/>
                <w:sz w:val="21"/>
                <w:szCs w:val="21"/>
              </w:rPr>
            </w:pPr>
            <w:r>
              <w:rPr>
                <w:rFonts w:ascii="黑体" w:hAnsi="黑体" w:cs="黑体" w:eastAsia="黑体" w:hint="default"/>
                <w:sz w:val="21"/>
                <w:szCs w:val="21"/>
              </w:rPr>
              <w:t>二、已审财务报表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466"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、合并资产负债表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76"/>
              <w:jc w:val="right"/>
              <w:rPr>
                <w:rFonts w:ascii="Times New Roman" w:hAnsi="Times New Roman" w:cs="Times New Roman" w:eastAsia="Times New Roman" w:hint="default"/>
                <w:sz w:val="21"/>
                <w:szCs w:val="21"/>
              </w:rPr>
            </w:pPr>
            <w:r>
              <w:rPr>
                <w:rFonts w:ascii="Times New Roman"/>
                <w:spacing w:val="-1"/>
                <w:sz w:val="21"/>
              </w:rPr>
              <w:t>43-44</w:t>
            </w:r>
          </w:p>
        </w:tc>
      </w:tr>
      <w:tr>
        <w:trPr>
          <w:trHeight w:val="460"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、合并利润表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21"/>
                <w:szCs w:val="21"/>
              </w:rPr>
            </w:pPr>
            <w:r>
              <w:rPr>
                <w:rFonts w:ascii="Times New Roman"/>
                <w:sz w:val="21"/>
              </w:rPr>
              <w:t>45</w:t>
            </w:r>
          </w:p>
        </w:tc>
      </w:tr>
      <w:tr>
        <w:trPr>
          <w:trHeight w:val="460"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、合并现金流量表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 w:right="0"/>
              <w:jc w:val="center"/>
              <w:rPr>
                <w:rFonts w:ascii="Times New Roman" w:hAnsi="Times New Roman" w:cs="Times New Roman" w:eastAsia="Times New Roman" w:hint="default"/>
                <w:sz w:val="21"/>
                <w:szCs w:val="21"/>
              </w:rPr>
            </w:pPr>
            <w:r>
              <w:rPr>
                <w:rFonts w:ascii="Times New Roman"/>
                <w:sz w:val="21"/>
              </w:rPr>
              <w:t>46</w:t>
            </w:r>
          </w:p>
        </w:tc>
      </w:tr>
      <w:tr>
        <w:trPr>
          <w:trHeight w:val="460"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、合并所有者权益变动表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76"/>
              <w:jc w:val="right"/>
              <w:rPr>
                <w:rFonts w:ascii="Times New Roman" w:hAnsi="Times New Roman" w:cs="Times New Roman" w:eastAsia="Times New Roman" w:hint="default"/>
                <w:sz w:val="21"/>
                <w:szCs w:val="21"/>
              </w:rPr>
            </w:pPr>
            <w:r>
              <w:rPr>
                <w:rFonts w:ascii="Times New Roman"/>
                <w:spacing w:val="-1"/>
                <w:sz w:val="21"/>
              </w:rPr>
              <w:t>47-48</w:t>
            </w:r>
          </w:p>
        </w:tc>
      </w:tr>
      <w:tr>
        <w:trPr>
          <w:trHeight w:val="460"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、资产负债表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76"/>
              <w:jc w:val="right"/>
              <w:rPr>
                <w:rFonts w:ascii="Times New Roman" w:hAnsi="Times New Roman" w:cs="Times New Roman" w:eastAsia="Times New Roman" w:hint="default"/>
                <w:sz w:val="21"/>
                <w:szCs w:val="21"/>
              </w:rPr>
            </w:pPr>
            <w:r>
              <w:rPr>
                <w:rFonts w:ascii="Times New Roman"/>
                <w:spacing w:val="-1"/>
                <w:sz w:val="21"/>
              </w:rPr>
              <w:t>49-50</w:t>
            </w:r>
          </w:p>
        </w:tc>
      </w:tr>
      <w:tr>
        <w:trPr>
          <w:trHeight w:val="460"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、利润表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 w:right="0"/>
              <w:jc w:val="center"/>
              <w:rPr>
                <w:rFonts w:ascii="Times New Roman" w:hAnsi="Times New Roman" w:cs="Times New Roman" w:eastAsia="Times New Roman" w:hint="default"/>
                <w:sz w:val="21"/>
                <w:szCs w:val="21"/>
              </w:rPr>
            </w:pPr>
            <w:r>
              <w:rPr>
                <w:rFonts w:ascii="Times New Roman"/>
                <w:sz w:val="21"/>
              </w:rPr>
              <w:t>51</w:t>
            </w:r>
          </w:p>
        </w:tc>
      </w:tr>
      <w:tr>
        <w:trPr>
          <w:trHeight w:val="460"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 w:right="0"/>
              <w:jc w:val="center"/>
              <w:rPr>
                <w:rFonts w:ascii="Times New Roman" w:hAnsi="Times New Roman" w:cs="Times New Roman" w:eastAsia="Times New Roman" w:hint="default"/>
                <w:sz w:val="21"/>
                <w:szCs w:val="21"/>
              </w:rPr>
            </w:pPr>
            <w:r>
              <w:rPr>
                <w:rFonts w:ascii="Times New Roman"/>
                <w:sz w:val="21"/>
              </w:rPr>
              <w:t>52</w:t>
            </w:r>
          </w:p>
        </w:tc>
      </w:tr>
      <w:tr>
        <w:trPr>
          <w:trHeight w:val="460"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、所有者权益变动表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76"/>
              <w:jc w:val="right"/>
              <w:rPr>
                <w:rFonts w:ascii="Times New Roman" w:hAnsi="Times New Roman" w:cs="Times New Roman" w:eastAsia="Times New Roman" w:hint="default"/>
                <w:sz w:val="21"/>
                <w:szCs w:val="21"/>
              </w:rPr>
            </w:pPr>
            <w:r>
              <w:rPr>
                <w:rFonts w:ascii="Times New Roman"/>
                <w:spacing w:val="-1"/>
                <w:sz w:val="21"/>
              </w:rPr>
              <w:t>53-54</w:t>
            </w:r>
          </w:p>
        </w:tc>
      </w:tr>
      <w:tr>
        <w:trPr>
          <w:trHeight w:val="460"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黑体" w:hAnsi="黑体" w:cs="黑体" w:eastAsia="黑体" w:hint="default"/>
                <w:sz w:val="21"/>
                <w:szCs w:val="21"/>
              </w:rPr>
              <w:t>、</w:t>
            </w:r>
            <w:r>
              <w:rPr>
                <w:rFonts w:ascii="宋体" w:hAnsi="宋体" w:cs="宋体" w:eastAsia="宋体" w:hint="default"/>
                <w:sz w:val="21"/>
                <w:szCs w:val="21"/>
              </w:rPr>
              <w:t>财务报表附注</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22"/>
              <w:jc w:val="right"/>
              <w:rPr>
                <w:rFonts w:ascii="Times New Roman" w:hAnsi="Times New Roman" w:cs="Times New Roman" w:eastAsia="Times New Roman" w:hint="default"/>
                <w:sz w:val="21"/>
                <w:szCs w:val="21"/>
              </w:rPr>
            </w:pPr>
            <w:r>
              <w:rPr>
                <w:rFonts w:ascii="Times New Roman"/>
                <w:spacing w:val="-1"/>
                <w:sz w:val="21"/>
              </w:rPr>
              <w:t>55-121</w:t>
            </w:r>
          </w:p>
        </w:tc>
      </w:tr>
      <w:tr>
        <w:trPr>
          <w:trHeight w:val="454"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黑体" w:hAnsi="黑体" w:cs="黑体" w:eastAsia="黑体" w:hint="default"/>
                <w:sz w:val="21"/>
                <w:szCs w:val="21"/>
              </w:rPr>
            </w:pPr>
            <w:r>
              <w:rPr>
                <w:rFonts w:ascii="黑体" w:hAnsi="黑体" w:cs="黑体" w:eastAsia="黑体" w:hint="default"/>
                <w:sz w:val="21"/>
                <w:szCs w:val="21"/>
              </w:rPr>
              <w:t>三、附件</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466"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、审计机构营业执照及执业许可证复印件</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41"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、审计机构证券、期货相关业务许可证复印件</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5" w:top="1100" w:bottom="1160" w:left="1660" w:right="1640"/>
        </w:sectPr>
      </w:pPr>
    </w:p>
    <w:p>
      <w:pPr>
        <w:spacing w:line="240" w:lineRule="auto" w:before="7"/>
        <w:rPr>
          <w:rFonts w:ascii="黑体" w:hAnsi="黑体" w:cs="黑体" w:eastAsia="黑体" w:hint="default"/>
          <w:sz w:val="25"/>
          <w:szCs w:val="25"/>
        </w:rPr>
      </w:pPr>
    </w:p>
    <w:p>
      <w:pPr>
        <w:spacing w:before="1"/>
        <w:ind w:left="3390" w:right="3446"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1"/>
          <w:sz w:val="32"/>
          <w:szCs w:val="32"/>
        </w:rPr>
        <w:t> </w:t>
      </w:r>
      <w:r>
        <w:rPr>
          <w:rFonts w:ascii="黑体" w:hAnsi="黑体" w:cs="黑体" w:eastAsia="黑体" w:hint="default"/>
          <w:sz w:val="32"/>
          <w:szCs w:val="32"/>
        </w:rPr>
        <w:t>告</w:t>
      </w:r>
    </w:p>
    <w:p>
      <w:pPr>
        <w:spacing w:line="240" w:lineRule="auto" w:before="8"/>
        <w:rPr>
          <w:rFonts w:ascii="黑体" w:hAnsi="黑体" w:cs="黑体" w:eastAsia="黑体" w:hint="default"/>
          <w:sz w:val="29"/>
          <w:szCs w:val="29"/>
        </w:rPr>
      </w:pPr>
    </w:p>
    <w:p>
      <w:pPr>
        <w:pStyle w:val="BodyText"/>
        <w:spacing w:line="240" w:lineRule="auto" w:before="35"/>
        <w:ind w:left="0" w:right="191"/>
        <w:jc w:val="right"/>
        <w:rPr>
          <w:rFonts w:ascii="Times New Roman" w:hAnsi="Times New Roman" w:cs="Times New Roman" w:eastAsia="Times New Roman" w:hint="default"/>
        </w:rPr>
      </w:pPr>
      <w:r>
        <w:rPr>
          <w:rFonts w:ascii="黑体" w:hAnsi="黑体" w:cs="黑体" w:eastAsia="黑体" w:hint="default"/>
          <w:spacing w:val="-1"/>
        </w:rPr>
        <w:t>中审国际审字</w:t>
      </w:r>
      <w:r>
        <w:rPr>
          <w:rFonts w:ascii="Times New Roman" w:hAnsi="Times New Roman" w:cs="Times New Roman" w:eastAsia="Times New Roman" w:hint="default"/>
          <w:spacing w:val="-1"/>
        </w:rPr>
        <w:t>[2011]01020018</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pStyle w:val="BodyText"/>
        <w:spacing w:line="240" w:lineRule="auto"/>
        <w:ind w:left="137" w:right="367"/>
        <w:jc w:val="left"/>
        <w:rPr>
          <w:rFonts w:ascii="黑体" w:hAnsi="黑体" w:cs="黑体" w:eastAsia="黑体" w:hint="default"/>
        </w:rPr>
      </w:pPr>
      <w:r>
        <w:rPr>
          <w:rFonts w:ascii="黑体" w:hAnsi="黑体" w:cs="黑体" w:eastAsia="黑体" w:hint="default"/>
        </w:rPr>
        <w:t>深圳市深信泰丰（集团）股份有限公司全体股东：</w:t>
      </w:r>
    </w:p>
    <w:p>
      <w:pPr>
        <w:spacing w:line="240" w:lineRule="auto" w:before="9"/>
        <w:rPr>
          <w:rFonts w:ascii="黑体" w:hAnsi="黑体" w:cs="黑体" w:eastAsia="黑体" w:hint="default"/>
          <w:sz w:val="27"/>
          <w:szCs w:val="27"/>
        </w:rPr>
      </w:pPr>
    </w:p>
    <w:p>
      <w:pPr>
        <w:pStyle w:val="BodyText"/>
        <w:spacing w:line="408" w:lineRule="auto"/>
        <w:ind w:left="137" w:right="192" w:firstLine="420"/>
        <w:jc w:val="both"/>
      </w:pPr>
      <w:r>
        <w:rPr>
          <w:spacing w:val="-3"/>
        </w:rPr>
        <w:t>我们审计了后附的深圳市深信泰丰（集团）股份有限公司（以下简称深信泰丰公司）财</w:t>
      </w:r>
      <w:r>
        <w:rPr/>
        <w:t> 务报表，包括</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日公司及合并的资产负债表，</w:t>
      </w:r>
      <w:r>
        <w:rPr>
          <w:spacing w:val="-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年度公司及合并的利润 表、现金流量表和所有者权益变动表以及财务报表附注。</w:t>
      </w:r>
    </w:p>
    <w:p>
      <w:pPr>
        <w:spacing w:line="240" w:lineRule="auto" w:before="5"/>
        <w:rPr>
          <w:rFonts w:ascii="宋体" w:hAnsi="宋体" w:cs="宋体" w:eastAsia="宋体" w:hint="default"/>
          <w:sz w:val="28"/>
          <w:szCs w:val="28"/>
        </w:rPr>
      </w:pPr>
    </w:p>
    <w:p>
      <w:pPr>
        <w:pStyle w:val="BodyText"/>
        <w:spacing w:line="240" w:lineRule="auto"/>
        <w:ind w:left="557" w:right="367"/>
        <w:jc w:val="left"/>
        <w:rPr>
          <w:rFonts w:ascii="黑体" w:hAnsi="黑体" w:cs="黑体" w:eastAsia="黑体" w:hint="default"/>
        </w:rPr>
      </w:pPr>
      <w:r>
        <w:rPr>
          <w:rFonts w:ascii="黑体" w:hAnsi="黑体" w:cs="黑体" w:eastAsia="黑体" w:hint="default"/>
        </w:rPr>
        <w:t>一、管理层对财务报表的责任</w:t>
      </w:r>
    </w:p>
    <w:p>
      <w:pPr>
        <w:spacing w:line="240" w:lineRule="auto" w:before="5"/>
        <w:rPr>
          <w:rFonts w:ascii="黑体" w:hAnsi="黑体" w:cs="黑体" w:eastAsia="黑体" w:hint="default"/>
          <w:sz w:val="21"/>
          <w:szCs w:val="21"/>
        </w:rPr>
      </w:pPr>
    </w:p>
    <w:p>
      <w:pPr>
        <w:pStyle w:val="BodyText"/>
        <w:spacing w:line="240" w:lineRule="auto"/>
        <w:ind w:left="557" w:right="0"/>
        <w:jc w:val="left"/>
      </w:pPr>
      <w:r>
        <w:rPr/>
        <w:t>按照企业会计准则的规定编制财务报表是深信泰丰公司管理层的责任。这种责任包括：</w:t>
      </w:r>
    </w:p>
    <w:p>
      <w:pPr>
        <w:spacing w:line="240" w:lineRule="auto" w:before="10"/>
        <w:rPr>
          <w:rFonts w:ascii="宋体" w:hAnsi="宋体" w:cs="宋体" w:eastAsia="宋体" w:hint="default"/>
          <w:sz w:val="15"/>
          <w:szCs w:val="15"/>
        </w:rPr>
      </w:pPr>
    </w:p>
    <w:p>
      <w:pPr>
        <w:pStyle w:val="BodyText"/>
        <w:spacing w:line="396" w:lineRule="auto"/>
        <w:ind w:left="137" w:right="0"/>
        <w:jc w:val="left"/>
      </w:pPr>
      <w:r>
        <w:rPr/>
        <w:t>（</w:t>
      </w:r>
      <w:r>
        <w:rPr>
          <w:rFonts w:ascii="Times New Roman" w:hAnsi="Times New Roman" w:cs="Times New Roman" w:eastAsia="Times New Roman" w:hint="default"/>
        </w:rPr>
        <w:t>1</w:t>
      </w:r>
      <w:r>
        <w:rPr/>
        <w:t>）设计、实施和维护与财务报表编制相关的内部控制，以使财务报表不存在由于舞弊或</w:t>
      </w:r>
      <w:r>
        <w:rPr>
          <w:spacing w:val="-92"/>
        </w:rPr>
        <w:t> </w:t>
      </w:r>
      <w:r>
        <w:rPr>
          <w:spacing w:val="-92"/>
        </w:rPr>
      </w:r>
      <w:r>
        <w:rPr>
          <w:spacing w:val="-6"/>
        </w:rPr>
        <w:t>错误而导致的重大错报；（</w:t>
      </w:r>
      <w:r>
        <w:rPr>
          <w:rFonts w:ascii="Times New Roman" w:hAnsi="Times New Roman" w:cs="Times New Roman" w:eastAsia="Times New Roman" w:hint="default"/>
          <w:spacing w:val="-6"/>
        </w:rPr>
        <w:t>2</w:t>
      </w:r>
      <w:r>
        <w:rPr>
          <w:spacing w:val="-6"/>
        </w:rPr>
        <w:t>）选择和运用恰当的会计政策；（</w:t>
      </w:r>
      <w:r>
        <w:rPr>
          <w:rFonts w:ascii="Times New Roman" w:hAnsi="Times New Roman" w:cs="Times New Roman" w:eastAsia="Times New Roman" w:hint="default"/>
          <w:spacing w:val="-6"/>
        </w:rPr>
        <w:t>3</w:t>
      </w:r>
      <w:r>
        <w:rPr>
          <w:spacing w:val="-6"/>
        </w:rPr>
        <w:t>）作出合理的会计估计。</w:t>
      </w:r>
    </w:p>
    <w:p>
      <w:pPr>
        <w:spacing w:line="240" w:lineRule="auto" w:before="10"/>
        <w:rPr>
          <w:rFonts w:ascii="宋体" w:hAnsi="宋体" w:cs="宋体" w:eastAsia="宋体" w:hint="default"/>
          <w:sz w:val="26"/>
          <w:szCs w:val="26"/>
        </w:rPr>
      </w:pPr>
    </w:p>
    <w:p>
      <w:pPr>
        <w:pStyle w:val="BodyText"/>
        <w:spacing w:line="240" w:lineRule="auto"/>
        <w:ind w:left="557" w:right="367"/>
        <w:jc w:val="left"/>
        <w:rPr>
          <w:rFonts w:ascii="黑体" w:hAnsi="黑体" w:cs="黑体" w:eastAsia="黑体" w:hint="default"/>
        </w:rPr>
      </w:pPr>
      <w:r>
        <w:rPr>
          <w:rFonts w:ascii="黑体" w:hAnsi="黑体" w:cs="黑体" w:eastAsia="黑体" w:hint="default"/>
        </w:rPr>
        <w:t>二、注册会计师的责任</w:t>
      </w:r>
    </w:p>
    <w:p>
      <w:pPr>
        <w:spacing w:line="240" w:lineRule="auto" w:before="5"/>
        <w:rPr>
          <w:rFonts w:ascii="黑体" w:hAnsi="黑体" w:cs="黑体" w:eastAsia="黑体" w:hint="default"/>
          <w:sz w:val="21"/>
          <w:szCs w:val="21"/>
        </w:rPr>
      </w:pPr>
    </w:p>
    <w:p>
      <w:pPr>
        <w:pStyle w:val="BodyText"/>
        <w:spacing w:line="420" w:lineRule="auto"/>
        <w:ind w:left="137" w:right="192" w:firstLine="420"/>
        <w:jc w:val="both"/>
      </w:pPr>
      <w:r>
        <w:rPr>
          <w:spacing w:val="-3"/>
        </w:rPr>
        <w:t>我们的责任是在实施审计工作的基础上对财务报表发表审计意见。我们按照中国注册会</w:t>
      </w:r>
      <w:r>
        <w:rPr/>
        <w:t> </w:t>
      </w:r>
      <w:r>
        <w:rPr>
          <w:spacing w:val="2"/>
        </w:rPr>
        <w:t>计师审计准则的规定执行了审计工作。中国注册会计师审计准则要求我们遵守职业道德规</w:t>
      </w:r>
      <w:r>
        <w:rPr>
          <w:spacing w:val="-82"/>
        </w:rPr>
        <w:t> </w:t>
      </w:r>
      <w:r>
        <w:rPr>
          <w:spacing w:val="-82"/>
        </w:rPr>
      </w:r>
      <w:r>
        <w:rPr/>
        <w:t>范，计划和实施审计工作以对财务报表是否不存在重大错报获取合理保证。</w:t>
      </w:r>
    </w:p>
    <w:p>
      <w:pPr>
        <w:pStyle w:val="BodyText"/>
        <w:spacing w:line="420" w:lineRule="auto" w:before="123"/>
        <w:ind w:left="137" w:right="191" w:firstLine="420"/>
        <w:jc w:val="both"/>
      </w:pPr>
      <w:r>
        <w:rPr>
          <w:spacing w:val="-3"/>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w:t>
      </w:r>
      <w:r>
        <w:rPr>
          <w:spacing w:val="-82"/>
        </w:rPr>
        <w:t> </w:t>
      </w:r>
      <w:r>
        <w:rPr>
          <w:spacing w:val="-82"/>
        </w:rPr>
      </w:r>
      <w:r>
        <w:rPr/>
        <w:t>估。在进行风险评估时，</w:t>
      </w:r>
      <w:r>
        <w:rPr>
          <w:spacing w:val="12"/>
        </w:rPr>
        <w:t> </w:t>
      </w:r>
      <w:r>
        <w:rPr/>
        <w:t>我们考虑与财务报表编制相关的内部控制，以设计恰当的审计程</w:t>
      </w:r>
      <w:r>
        <w:rPr/>
        <w:t> </w:t>
      </w:r>
      <w:r>
        <w:rPr>
          <w:spacing w:val="-3"/>
        </w:rPr>
        <w:t>序，但目的并非对内部控制的有效性发表意见。审计工作还包括评价管理层选用会计政策的</w:t>
      </w:r>
      <w:r>
        <w:rPr>
          <w:spacing w:val="-75"/>
        </w:rPr>
        <w:t> </w:t>
      </w:r>
      <w:r>
        <w:rPr>
          <w:spacing w:val="-75"/>
        </w:rPr>
      </w:r>
      <w:r>
        <w:rPr/>
        <w:t>恰当性和作出会计估计的合理性，以及评价财务报表的总体列报。</w:t>
      </w:r>
    </w:p>
    <w:p>
      <w:pPr>
        <w:pStyle w:val="BodyText"/>
        <w:spacing w:line="240" w:lineRule="auto" w:before="122"/>
        <w:ind w:left="557" w:right="367"/>
        <w:jc w:val="left"/>
      </w:pPr>
      <w:r>
        <w:rPr/>
        <w:t>我们相信，我们获取的审计证据是充分、适当的，为发表审计意见提供了基础。</w:t>
      </w:r>
    </w:p>
    <w:p>
      <w:pPr>
        <w:spacing w:after="0" w:line="240" w:lineRule="auto"/>
        <w:jc w:val="left"/>
        <w:sectPr>
          <w:pgSz w:w="11910" w:h="16840"/>
          <w:pgMar w:header="877" w:footer="975" w:top="1100" w:bottom="1160" w:left="1660" w:right="1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557" w:right="104"/>
        <w:jc w:val="left"/>
        <w:rPr>
          <w:rFonts w:ascii="黑体" w:hAnsi="黑体" w:cs="黑体" w:eastAsia="黑体" w:hint="default"/>
        </w:rPr>
      </w:pPr>
      <w:r>
        <w:rPr>
          <w:rFonts w:ascii="黑体" w:hAnsi="黑体" w:cs="黑体" w:eastAsia="黑体" w:hint="default"/>
        </w:rPr>
        <w:t>三、审计意见</w:t>
      </w:r>
    </w:p>
    <w:p>
      <w:pPr>
        <w:spacing w:line="240" w:lineRule="auto" w:before="0"/>
        <w:rPr>
          <w:rFonts w:ascii="黑体" w:hAnsi="黑体" w:cs="黑体" w:eastAsia="黑体" w:hint="default"/>
          <w:sz w:val="20"/>
          <w:szCs w:val="20"/>
        </w:rPr>
      </w:pPr>
    </w:p>
    <w:p>
      <w:pPr>
        <w:pStyle w:val="BodyText"/>
        <w:spacing w:line="391" w:lineRule="auto" w:before="157"/>
        <w:ind w:left="137" w:right="153" w:firstLine="420"/>
        <w:jc w:val="both"/>
      </w:pPr>
      <w:r>
        <w:rPr>
          <w:spacing w:val="-3"/>
        </w:rPr>
        <w:t>我们认为，深信泰丰公司财务报表已经按照企业会计准则的规定编制，在所有重大方面</w:t>
      </w:r>
      <w:r>
        <w:rPr/>
        <w:t> 公允反映了深信泰丰公司</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日公司及合并的财务状况以及</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年度公司及合 并的经营成果和现金流量。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tbl>
      <w:tblPr>
        <w:tblW w:w="0" w:type="auto"/>
        <w:jc w:val="left"/>
        <w:tblInd w:w="309" w:type="dxa"/>
        <w:tblLayout w:type="fixed"/>
        <w:tblCellMar>
          <w:top w:w="0" w:type="dxa"/>
          <w:left w:w="0" w:type="dxa"/>
          <w:bottom w:w="0" w:type="dxa"/>
          <w:right w:w="0" w:type="dxa"/>
        </w:tblCellMar>
        <w:tblLook w:val="01E0"/>
      </w:tblPr>
      <w:tblGrid>
        <w:gridCol w:w="3188"/>
        <w:gridCol w:w="4733"/>
      </w:tblGrid>
      <w:tr>
        <w:trPr>
          <w:trHeight w:val="31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10" w:lineRule="exact"/>
              <w:ind w:right="686"/>
              <w:jc w:val="center"/>
              <w:rPr>
                <w:rFonts w:ascii="黑体" w:hAnsi="黑体" w:cs="黑体" w:eastAsia="黑体" w:hint="default"/>
                <w:sz w:val="21"/>
                <w:szCs w:val="21"/>
              </w:rPr>
            </w:pPr>
            <w:r>
              <w:rPr>
                <w:rFonts w:ascii="黑体" w:hAnsi="黑体" w:cs="黑体" w:eastAsia="黑体" w:hint="default"/>
                <w:sz w:val="21"/>
                <w:szCs w:val="21"/>
              </w:rPr>
              <w:t>中审国际会计师事务所</w:t>
            </w:r>
          </w:p>
        </w:tc>
        <w:tc>
          <w:tcPr>
            <w:tcW w:w="4733" w:type="dxa"/>
            <w:tcBorders>
              <w:top w:val="nil" w:sz="6" w:space="0" w:color="auto"/>
              <w:left w:val="nil" w:sz="6" w:space="0" w:color="auto"/>
              <w:bottom w:val="single" w:sz="4" w:space="0" w:color="000000"/>
              <w:right w:val="nil" w:sz="6" w:space="0" w:color="auto"/>
            </w:tcBorders>
          </w:tcPr>
          <w:p>
            <w:pPr>
              <w:pStyle w:val="TableParagraph"/>
              <w:spacing w:line="210" w:lineRule="exact"/>
              <w:ind w:left="888" w:right="0"/>
              <w:jc w:val="left"/>
              <w:rPr>
                <w:rFonts w:ascii="黑体" w:hAnsi="黑体" w:cs="黑体" w:eastAsia="黑体" w:hint="default"/>
                <w:sz w:val="21"/>
                <w:szCs w:val="21"/>
              </w:rPr>
            </w:pPr>
            <w:r>
              <w:rPr>
                <w:rFonts w:ascii="黑体" w:hAnsi="黑体" w:cs="黑体" w:eastAsia="黑体" w:hint="default"/>
                <w:sz w:val="21"/>
                <w:szCs w:val="21"/>
              </w:rPr>
              <w:t>中国注册会计师</w:t>
            </w:r>
          </w:p>
        </w:tc>
      </w:tr>
      <w:tr>
        <w:trPr>
          <w:trHeight w:val="735"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85"/>
              <w:jc w:val="center"/>
              <w:rPr>
                <w:rFonts w:ascii="黑体" w:hAnsi="黑体" w:cs="黑体" w:eastAsia="黑体" w:hint="default"/>
                <w:sz w:val="21"/>
                <w:szCs w:val="21"/>
              </w:rPr>
            </w:pPr>
            <w:r>
              <w:rPr>
                <w:rFonts w:ascii="黑体" w:hAnsi="黑体" w:cs="黑体" w:eastAsia="黑体" w:hint="default"/>
                <w:sz w:val="21"/>
                <w:szCs w:val="21"/>
              </w:rPr>
              <w:t>有限公司</w:t>
            </w:r>
          </w:p>
        </w:tc>
        <w:tc>
          <w:tcPr>
            <w:tcW w:w="4733"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547"/>
              <w:jc w:val="right"/>
              <w:rPr>
                <w:rFonts w:ascii="黑体" w:hAnsi="黑体" w:cs="黑体" w:eastAsia="黑体" w:hint="default"/>
                <w:sz w:val="21"/>
                <w:szCs w:val="21"/>
              </w:rPr>
            </w:pPr>
            <w:r>
              <w:rPr>
                <w:rFonts w:ascii="黑体" w:hAnsi="黑体" w:cs="黑体" w:eastAsia="黑体" w:hint="default"/>
                <w:sz w:val="21"/>
                <w:szCs w:val="21"/>
              </w:rPr>
              <w:t>蔡晓东</w:t>
            </w:r>
          </w:p>
        </w:tc>
      </w:tr>
      <w:tr>
        <w:trPr>
          <w:trHeight w:val="514" w:hRule="exact"/>
        </w:trPr>
        <w:tc>
          <w:tcPr>
            <w:tcW w:w="3188" w:type="dxa"/>
            <w:tcBorders>
              <w:top w:val="nil" w:sz="6" w:space="0" w:color="auto"/>
              <w:left w:val="nil" w:sz="6" w:space="0" w:color="auto"/>
              <w:bottom w:val="nil" w:sz="6" w:space="0" w:color="auto"/>
              <w:right w:val="nil" w:sz="6" w:space="0" w:color="auto"/>
            </w:tcBorders>
          </w:tcPr>
          <w:p>
            <w:pPr/>
          </w:p>
        </w:tc>
        <w:tc>
          <w:tcPr>
            <w:tcW w:w="4733"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left="888" w:right="0"/>
              <w:jc w:val="left"/>
              <w:rPr>
                <w:rFonts w:ascii="黑体" w:hAnsi="黑体" w:cs="黑体" w:eastAsia="黑体" w:hint="default"/>
                <w:sz w:val="21"/>
                <w:szCs w:val="21"/>
              </w:rPr>
            </w:pPr>
            <w:r>
              <w:rPr>
                <w:rFonts w:ascii="黑体" w:hAnsi="黑体" w:cs="黑体" w:eastAsia="黑体" w:hint="default"/>
                <w:sz w:val="21"/>
                <w:szCs w:val="21"/>
              </w:rPr>
              <w:t>中国注册会计师</w:t>
            </w:r>
          </w:p>
        </w:tc>
      </w:tr>
      <w:tr>
        <w:trPr>
          <w:trHeight w:val="666" w:hRule="exact"/>
        </w:trPr>
        <w:tc>
          <w:tcPr>
            <w:tcW w:w="3188" w:type="dxa"/>
            <w:tcBorders>
              <w:top w:val="nil" w:sz="6" w:space="0" w:color="auto"/>
              <w:left w:val="nil" w:sz="6" w:space="0" w:color="auto"/>
              <w:bottom w:val="nil" w:sz="6" w:space="0" w:color="auto"/>
              <w:right w:val="nil" w:sz="6" w:space="0" w:color="auto"/>
            </w:tcBorders>
          </w:tcPr>
          <w:p>
            <w:pPr/>
          </w:p>
        </w:tc>
        <w:tc>
          <w:tcPr>
            <w:tcW w:w="4733"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547"/>
              <w:jc w:val="right"/>
              <w:rPr>
                <w:rFonts w:ascii="黑体" w:hAnsi="黑体" w:cs="黑体" w:eastAsia="黑体" w:hint="default"/>
                <w:sz w:val="21"/>
                <w:szCs w:val="21"/>
              </w:rPr>
            </w:pPr>
            <w:r>
              <w:rPr>
                <w:rFonts w:ascii="黑体" w:hAnsi="黑体" w:cs="黑体" w:eastAsia="黑体" w:hint="default"/>
                <w:sz w:val="21"/>
                <w:szCs w:val="21"/>
              </w:rPr>
              <w:t>王焕森</w:t>
            </w:r>
          </w:p>
        </w:tc>
      </w:tr>
      <w:tr>
        <w:trPr>
          <w:trHeight w:val="48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tabs>
                <w:tab w:pos="631" w:val="left" w:leader="none"/>
              </w:tabs>
              <w:spacing w:line="240" w:lineRule="auto"/>
              <w:ind w:right="685"/>
              <w:jc w:val="center"/>
              <w:rPr>
                <w:rFonts w:ascii="黑体" w:hAnsi="黑体" w:cs="黑体" w:eastAsia="黑体" w:hint="default"/>
                <w:sz w:val="21"/>
                <w:szCs w:val="21"/>
              </w:rPr>
            </w:pPr>
            <w:r>
              <w:rPr>
                <w:rFonts w:ascii="黑体" w:hAnsi="黑体" w:cs="黑体" w:eastAsia="黑体" w:hint="default"/>
                <w:sz w:val="21"/>
                <w:szCs w:val="21"/>
              </w:rPr>
              <w:t>中国</w:t>
              <w:tab/>
              <w:t>北京</w:t>
            </w:r>
          </w:p>
        </w:tc>
        <w:tc>
          <w:tcPr>
            <w:tcW w:w="47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04" w:right="0"/>
              <w:jc w:val="left"/>
              <w:rPr>
                <w:rFonts w:ascii="黑体" w:hAnsi="黑体" w:cs="黑体" w:eastAsia="黑体" w:hint="default"/>
                <w:sz w:val="21"/>
                <w:szCs w:val="21"/>
              </w:rPr>
            </w:pPr>
            <w:r>
              <w:rPr>
                <w:rFonts w:ascii="黑体" w:hAnsi="黑体" w:cs="黑体" w:eastAsia="黑体" w:hint="default"/>
                <w:sz w:val="21"/>
                <w:szCs w:val="21"/>
              </w:rPr>
              <w:t>二〇一一年二月二十四日</w:t>
            </w:r>
          </w:p>
        </w:tc>
      </w:tr>
    </w:tbl>
    <w:p>
      <w:pPr>
        <w:spacing w:after="0" w:line="240" w:lineRule="auto"/>
        <w:jc w:val="left"/>
        <w:rPr>
          <w:rFonts w:ascii="黑体" w:hAnsi="黑体" w:cs="黑体" w:eastAsia="黑体" w:hint="default"/>
          <w:sz w:val="21"/>
          <w:szCs w:val="21"/>
        </w:rPr>
        <w:sectPr>
          <w:pgSz w:w="11910" w:h="16840"/>
          <w:pgMar w:header="877" w:footer="975" w:top="1100" w:bottom="1160" w:left="1660" w:right="1640"/>
        </w:sectPr>
      </w:pPr>
    </w:p>
    <w:p>
      <w:pPr>
        <w:spacing w:line="240" w:lineRule="auto" w:before="0"/>
        <w:rPr>
          <w:rFonts w:ascii="Times New Roman" w:hAnsi="Times New Roman" w:cs="Times New Roman" w:eastAsia="Times New Roman" w:hint="default"/>
          <w:sz w:val="20"/>
          <w:szCs w:val="20"/>
        </w:rPr>
      </w:pPr>
      <w:r>
        <w:rPr/>
        <w:pict>
          <v:shape style="position:absolute;margin-left:315.959991pt;margin-top:358.679993pt;width:191.217859pt;height:2.385pt;mso-position-horizontal-relative:page;mso-position-vertical-relative:page;z-index:-728920" type="#_x0000_t75" stroked="false">
            <v:imagedata r:id="rId12" o:title=""/>
          </v:shape>
        </w:pict>
      </w:r>
      <w:r>
        <w:rPr/>
        <w:pict>
          <v:shape style="position:absolute;margin-left:315.959991pt;margin-top:664.679993pt;width:191.217859pt;height:2.385pt;mso-position-horizontal-relative:page;mso-position-vertical-relative:page;z-index:-728896" type="#_x0000_t75" stroked="false">
            <v:imagedata r:id="rId12" o:title=""/>
          </v:shape>
        </w:pict>
      </w:r>
      <w:r>
        <w:rPr/>
        <w:pict>
          <v:group style="position:absolute;margin-left:316.559998pt;margin-top:699.659973pt;width:93.55pt;height:2.2pt;mso-position-horizontal-relative:page;mso-position-vertical-relative:page;z-index:-728872" coordorigin="6331,13993" coordsize="1871,44">
            <v:group style="position:absolute;left:6338;top:14000;width:1857;height:2" coordorigin="6338,14000" coordsize="1857,2">
              <v:shape style="position:absolute;left:6338;top:14000;width:1857;height:2" coordorigin="6338,14000" coordsize="1857,0" path="m6338,14000l8195,14000e" filled="false" stroked="true" strokeweight=".72pt" strokecolor="#000000">
                <v:path arrowok="t"/>
              </v:shape>
            </v:group>
            <v:group style="position:absolute;left:6338;top:14029;width:1857;height:2" coordorigin="6338,14029" coordsize="1857,2">
              <v:shape style="position:absolute;left:6338;top:14029;width:1857;height:2" coordorigin="6338,14029" coordsize="1857,0" path="m6338,14029l8195,14029e" filled="false" stroked="true" strokeweight=".72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2798"/>
        <w:gridCol w:w="576"/>
        <w:gridCol w:w="758"/>
        <w:gridCol w:w="516"/>
        <w:gridCol w:w="1856"/>
        <w:gridCol w:w="235"/>
        <w:gridCol w:w="1712"/>
      </w:tblGrid>
      <w:tr>
        <w:trPr>
          <w:trHeight w:val="305" w:hRule="exact"/>
        </w:trPr>
        <w:tc>
          <w:tcPr>
            <w:tcW w:w="8453"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left="7" w:right="0"/>
              <w:jc w:val="center"/>
              <w:rPr>
                <w:rFonts w:ascii="黑体" w:hAnsi="黑体" w:cs="黑体" w:eastAsia="黑体" w:hint="default"/>
                <w:sz w:val="24"/>
                <w:szCs w:val="24"/>
              </w:rPr>
            </w:pPr>
            <w:r>
              <w:rPr>
                <w:rFonts w:ascii="黑体" w:hAnsi="黑体" w:cs="黑体" w:eastAsia="黑体" w:hint="default"/>
                <w:sz w:val="24"/>
                <w:szCs w:val="24"/>
              </w:rPr>
              <w:t>合并资产负债表</w:t>
            </w:r>
          </w:p>
        </w:tc>
      </w:tr>
      <w:tr>
        <w:trPr>
          <w:trHeight w:val="330" w:hRule="exact"/>
        </w:trPr>
        <w:tc>
          <w:tcPr>
            <w:tcW w:w="845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1" w:hRule="exact"/>
        </w:trPr>
        <w:tc>
          <w:tcPr>
            <w:tcW w:w="413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432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9"/>
              <w:ind w:left="2412"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340" w:hRule="exact"/>
        </w:trPr>
        <w:tc>
          <w:tcPr>
            <w:tcW w:w="279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5"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576" w:type="dxa"/>
            <w:tcBorders>
              <w:top w:val="single" w:sz="4" w:space="0" w:color="000000"/>
              <w:left w:val="nil" w:sz="6" w:space="0" w:color="auto"/>
              <w:bottom w:val="nil" w:sz="6" w:space="0" w:color="auto"/>
              <w:right w:val="nil" w:sz="6" w:space="0" w:color="auto"/>
            </w:tcBorders>
          </w:tcPr>
          <w:p>
            <w:pPr/>
          </w:p>
        </w:tc>
        <w:tc>
          <w:tcPr>
            <w:tcW w:w="75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16" w:right="0"/>
              <w:jc w:val="center"/>
              <w:rPr>
                <w:rFonts w:ascii="宋体" w:hAnsi="宋体" w:cs="宋体" w:eastAsia="宋体" w:hint="default"/>
                <w:sz w:val="18"/>
                <w:szCs w:val="18"/>
              </w:rPr>
            </w:pPr>
            <w:r>
              <w:rPr>
                <w:rFonts w:ascii="宋体" w:hAnsi="宋体" w:cs="宋体" w:eastAsia="宋体" w:hint="default"/>
                <w:b/>
                <w:bCs/>
                <w:sz w:val="18"/>
                <w:szCs w:val="18"/>
              </w:rPr>
              <w:t>附注五</w:t>
            </w:r>
            <w:r>
              <w:rPr>
                <w:rFonts w:ascii="宋体" w:hAnsi="宋体" w:cs="宋体" w:eastAsia="宋体" w:hint="default"/>
                <w:sz w:val="18"/>
                <w:szCs w:val="18"/>
              </w:rPr>
            </w:r>
          </w:p>
        </w:tc>
        <w:tc>
          <w:tcPr>
            <w:tcW w:w="516" w:type="dxa"/>
            <w:tcBorders>
              <w:top w:val="single" w:sz="4" w:space="0" w:color="000000"/>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99"/>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35" w:type="dxa"/>
            <w:tcBorders>
              <w:top w:val="single" w:sz="4" w:space="0" w:color="000000"/>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10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37" w:hRule="exact"/>
        </w:trPr>
        <w:tc>
          <w:tcPr>
            <w:tcW w:w="2798"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single" w:sz="4" w:space="0" w:color="000000"/>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nil" w:sz="6" w:space="0" w:color="auto"/>
              <w:right w:val="nil" w:sz="6" w:space="0" w:color="auto"/>
            </w:tcBorders>
          </w:tcPr>
          <w:p>
            <w:pPr/>
          </w:p>
        </w:tc>
      </w:tr>
      <w:tr>
        <w:trPr>
          <w:trHeight w:val="342"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Times New Roman" w:hAnsi="Times New Roman" w:cs="Times New Roman" w:eastAsia="Times New Roman" w:hint="default"/>
                <w:sz w:val="18"/>
                <w:szCs w:val="18"/>
              </w:rPr>
            </w:pPr>
            <w:r>
              <w:rPr>
                <w:rFonts w:ascii="Times New Roman"/>
                <w:sz w:val="18"/>
              </w:rPr>
              <w:t>1</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65,819,824.29</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26,520,025.62</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 w:right="0"/>
              <w:jc w:val="center"/>
              <w:rPr>
                <w:rFonts w:ascii="Times New Roman" w:hAnsi="Times New Roman" w:cs="Times New Roman" w:eastAsia="Times New Roman" w:hint="default"/>
                <w:sz w:val="18"/>
                <w:szCs w:val="18"/>
              </w:rPr>
            </w:pPr>
            <w:r>
              <w:rPr>
                <w:rFonts w:ascii="Times New Roman"/>
                <w:sz w:val="18"/>
              </w:rPr>
              <w:t>2</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2,528,140.76</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2,225,819.94</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 w:right="0"/>
              <w:jc w:val="center"/>
              <w:rPr>
                <w:rFonts w:ascii="Times New Roman" w:hAnsi="Times New Roman" w:cs="Times New Roman" w:eastAsia="Times New Roman" w:hint="default"/>
                <w:sz w:val="18"/>
                <w:szCs w:val="18"/>
              </w:rPr>
            </w:pPr>
            <w:r>
              <w:rPr>
                <w:rFonts w:ascii="Times New Roman"/>
                <w:sz w:val="18"/>
              </w:rPr>
              <w:t>3</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25,529,267.10</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17,982,300.52</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4</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4,893,768.02</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8,196,054.22</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5</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3,141,965.64</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13,745,207.41</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 w:right="0"/>
              <w:jc w:val="center"/>
              <w:rPr>
                <w:rFonts w:ascii="Times New Roman" w:hAnsi="Times New Roman" w:cs="Times New Roman" w:eastAsia="Times New Roman" w:hint="default"/>
                <w:sz w:val="18"/>
                <w:szCs w:val="18"/>
              </w:rPr>
            </w:pPr>
            <w:r>
              <w:rPr>
                <w:rFonts w:ascii="Times New Roman"/>
                <w:sz w:val="18"/>
              </w:rPr>
              <w:t>6</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44,562,220.50</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36,021,031.75</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7</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703,738.57</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703,738.57</w:t>
            </w:r>
          </w:p>
        </w:tc>
      </w:tr>
      <w:tr>
        <w:trPr>
          <w:trHeight w:val="338"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68"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323232"/>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18"/>
                <w:szCs w:val="18"/>
              </w:rPr>
            </w:pPr>
            <w:r>
              <w:rPr>
                <w:rFonts w:ascii="Times New Roman"/>
                <w:b/>
                <w:spacing w:val="-1"/>
                <w:sz w:val="18"/>
              </w:rPr>
              <w:t>147,178,924.88</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single" w:sz="4" w:space="0" w:color="323232"/>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105,394,178.03</w:t>
            </w:r>
            <w:r>
              <w:rPr>
                <w:rFonts w:ascii="Times New Roman"/>
                <w:spacing w:val="-1"/>
                <w:sz w:val="18"/>
              </w:rPr>
            </w:r>
          </w:p>
        </w:tc>
      </w:tr>
      <w:tr>
        <w:trPr>
          <w:trHeight w:val="337"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323232"/>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single" w:sz="4" w:space="0" w:color="323232"/>
              <w:left w:val="nil" w:sz="6" w:space="0" w:color="auto"/>
              <w:bottom w:val="nil" w:sz="6" w:space="0" w:color="auto"/>
              <w:right w:val="nil" w:sz="6" w:space="0" w:color="auto"/>
            </w:tcBorders>
          </w:tcPr>
          <w:p>
            <w:pPr/>
          </w:p>
        </w:tc>
      </w:tr>
      <w:tr>
        <w:trPr>
          <w:trHeight w:val="342"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Times New Roman" w:hAnsi="Times New Roman" w:cs="Times New Roman" w:eastAsia="Times New Roman" w:hint="default"/>
                <w:sz w:val="18"/>
                <w:szCs w:val="18"/>
              </w:rPr>
            </w:pPr>
            <w:r>
              <w:rPr>
                <w:rFonts w:ascii="Times New Roman"/>
                <w:sz w:val="18"/>
              </w:rPr>
              <w:t>8</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50,000.00</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50,000.00</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 w:right="0"/>
              <w:jc w:val="center"/>
              <w:rPr>
                <w:rFonts w:ascii="Times New Roman" w:hAnsi="Times New Roman" w:cs="Times New Roman" w:eastAsia="Times New Roman" w:hint="default"/>
                <w:sz w:val="18"/>
                <w:szCs w:val="18"/>
              </w:rPr>
            </w:pPr>
            <w:r>
              <w:rPr>
                <w:rFonts w:ascii="Times New Roman"/>
                <w:sz w:val="18"/>
              </w:rPr>
              <w:t>9</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36,311,608.55</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38,545,298.14</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240,019.14</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4" w:right="0"/>
              <w:jc w:val="center"/>
              <w:rPr>
                <w:rFonts w:ascii="Times New Roman" w:hAnsi="Times New Roman" w:cs="Times New Roman" w:eastAsia="Times New Roman" w:hint="default"/>
                <w:sz w:val="18"/>
                <w:szCs w:val="18"/>
              </w:rPr>
            </w:pPr>
            <w:r>
              <w:rPr>
                <w:rFonts w:ascii="Times New Roman"/>
                <w:sz w:val="18"/>
              </w:rPr>
              <w:t>10</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223,127.60</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631,146.80</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 w:right="0"/>
              <w:jc w:val="center"/>
              <w:rPr>
                <w:rFonts w:ascii="Times New Roman" w:hAnsi="Times New Roman" w:cs="Times New Roman" w:eastAsia="Times New Roman" w:hint="default"/>
                <w:sz w:val="18"/>
                <w:szCs w:val="18"/>
              </w:rPr>
            </w:pPr>
            <w:r>
              <w:rPr>
                <w:rFonts w:ascii="Times New Roman"/>
                <w:sz w:val="18"/>
              </w:rPr>
              <w:t>11</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3,875,199.58</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4,000,205.86</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 w:right="0"/>
              <w:jc w:val="center"/>
              <w:rPr>
                <w:rFonts w:ascii="Times New Roman" w:hAnsi="Times New Roman" w:cs="Times New Roman" w:eastAsia="Times New Roman" w:hint="default"/>
                <w:sz w:val="18"/>
                <w:szCs w:val="18"/>
              </w:rPr>
            </w:pPr>
            <w:r>
              <w:rPr>
                <w:rFonts w:ascii="Times New Roman"/>
                <w:sz w:val="18"/>
              </w:rPr>
              <w:t>12</w:t>
            </w: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1,248,719.04</w:t>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1,931,591.18</w:t>
            </w:r>
          </w:p>
        </w:tc>
      </w:tr>
      <w:tr>
        <w:trPr>
          <w:trHeight w:val="34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7"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41,708,654.77</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45,398,261.12</w:t>
            </w:r>
            <w:r>
              <w:rPr>
                <w:rFonts w:ascii="Times New Roman"/>
                <w:spacing w:val="-1"/>
                <w:sz w:val="18"/>
              </w:rPr>
            </w:r>
          </w:p>
        </w:tc>
      </w:tr>
      <w:tr>
        <w:trPr>
          <w:trHeight w:val="358"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b/>
                <w:spacing w:val="-1"/>
                <w:sz w:val="18"/>
              </w:rPr>
              <w:t>188,887,579.65</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b/>
                <w:spacing w:val="-1"/>
                <w:sz w:val="18"/>
              </w:rPr>
              <w:t>150,792,439.15</w:t>
            </w:r>
            <w:r>
              <w:rPr>
                <w:rFonts w:ascii="Times New Roman"/>
                <w:spacing w:val="-1"/>
                <w:sz w:val="18"/>
              </w:rPr>
            </w:r>
          </w:p>
        </w:tc>
      </w:tr>
      <w:tr>
        <w:trPr>
          <w:trHeight w:val="323" w:hRule="exact"/>
        </w:trPr>
        <w:tc>
          <w:tcPr>
            <w:tcW w:w="2798" w:type="dxa"/>
            <w:tcBorders>
              <w:top w:val="nil" w:sz="6" w:space="0" w:color="auto"/>
              <w:left w:val="nil" w:sz="6" w:space="0" w:color="auto"/>
              <w:bottom w:val="single" w:sz="4" w:space="0" w:color="000000"/>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
        </w:tc>
        <w:tc>
          <w:tcPr>
            <w:tcW w:w="758" w:type="dxa"/>
            <w:tcBorders>
              <w:top w:val="nil" w:sz="6" w:space="0" w:color="auto"/>
              <w:left w:val="nil" w:sz="6" w:space="0" w:color="auto"/>
              <w:bottom w:val="single" w:sz="4" w:space="0" w:color="000000"/>
              <w:right w:val="nil" w:sz="6" w:space="0" w:color="auto"/>
            </w:tcBorders>
          </w:tcPr>
          <w:p>
            <w:pPr/>
          </w:p>
        </w:tc>
        <w:tc>
          <w:tcPr>
            <w:tcW w:w="516" w:type="dxa"/>
            <w:tcBorders>
              <w:top w:val="nil" w:sz="6" w:space="0" w:color="auto"/>
              <w:left w:val="nil" w:sz="6" w:space="0" w:color="auto"/>
              <w:bottom w:val="single" w:sz="4" w:space="0" w:color="000000"/>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712" w:type="dxa"/>
            <w:tcBorders>
              <w:top w:val="single" w:sz="17" w:space="0" w:color="000000"/>
              <w:left w:val="nil" w:sz="6" w:space="0" w:color="auto"/>
              <w:bottom w:val="single" w:sz="4" w:space="0" w:color="000000"/>
              <w:right w:val="nil" w:sz="6" w:space="0" w:color="auto"/>
            </w:tcBorders>
          </w:tcPr>
          <w:p>
            <w:pPr/>
          </w:p>
        </w:tc>
      </w:tr>
      <w:tr>
        <w:trPr>
          <w:trHeight w:val="639" w:hRule="exact"/>
        </w:trPr>
        <w:tc>
          <w:tcPr>
            <w:tcW w:w="6505"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700"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c>
          <w:tcPr>
            <w:tcW w:w="235" w:type="dxa"/>
            <w:tcBorders>
              <w:top w:val="single" w:sz="4" w:space="0" w:color="000000"/>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877" w:footer="975" w:top="1100" w:bottom="1160" w:left="1580" w:right="1620"/>
        </w:sectPr>
      </w:pPr>
    </w:p>
    <w:p>
      <w:pPr>
        <w:spacing w:line="240" w:lineRule="auto" w:before="0"/>
        <w:rPr>
          <w:rFonts w:ascii="Times New Roman" w:hAnsi="Times New Roman" w:cs="Times New Roman" w:eastAsia="Times New Roman" w:hint="default"/>
          <w:sz w:val="20"/>
          <w:szCs w:val="20"/>
        </w:rPr>
      </w:pPr>
      <w:r>
        <w:rPr/>
        <w:pict>
          <v:shape style="position:absolute;margin-left:333.359985pt;margin-top:349.440002pt;width:179.292829pt;height:2.385pt;mso-position-horizontal-relative:page;mso-position-vertical-relative:page;z-index:-728848" type="#_x0000_t75" stroked="false">
            <v:imagedata r:id="rId13" o:title=""/>
          </v:shape>
        </w:pict>
      </w:r>
      <w:r>
        <w:rPr/>
        <w:pict>
          <v:shape style="position:absolute;margin-left:333.359985pt;margin-top:491.459991pt;width:179.292829pt;height:2.385pt;mso-position-horizontal-relative:page;mso-position-vertical-relative:page;z-index:-728824" type="#_x0000_t75" stroked="false">
            <v:imagedata r:id="rId13" o:title=""/>
          </v:shape>
        </w:pict>
      </w:r>
      <w:r>
        <w:rPr/>
        <w:pict>
          <v:shape style="position:absolute;margin-left:333.359985pt;margin-top:633.419983pt;width:179.292829pt;height:2.385pt;mso-position-horizontal-relative:page;mso-position-vertical-relative:page;z-index:-728800" type="#_x0000_t75" stroked="false">
            <v:imagedata r:id="rId13" o:title=""/>
          </v:shape>
        </w:pict>
      </w:r>
      <w:r>
        <w:rPr/>
        <w:pict>
          <v:shape style="position:absolute;margin-left:333.359985pt;margin-top:661.859985pt;width:178.338835pt;height:2.385pt;mso-position-horizontal-relative:page;mso-position-vertical-relative:page;z-index:-728776" type="#_x0000_t75" stroked="false">
            <v:imagedata r:id="rId14" o:title=""/>
          </v:shape>
        </w:pict>
      </w:r>
      <w:r>
        <w:rPr/>
        <w:pict>
          <v:group style="position:absolute;margin-left:333.959991pt;margin-top:691.200012pt;width:83.9pt;height:2.2pt;mso-position-horizontal-relative:page;mso-position-vertical-relative:page;z-index:-728752" coordorigin="6679,13824" coordsize="1678,44">
            <v:group style="position:absolute;left:6686;top:13831;width:1664;height:2" coordorigin="6686,13831" coordsize="1664,2">
              <v:shape style="position:absolute;left:6686;top:13831;width:1664;height:2" coordorigin="6686,13831" coordsize="1664,0" path="m6686,13831l8350,13831e" filled="false" stroked="true" strokeweight=".72pt" strokecolor="#000000">
                <v:path arrowok="t"/>
              </v:shape>
            </v:group>
            <v:group style="position:absolute;left:6686;top:13860;width:1664;height:2" coordorigin="6686,13860" coordsize="1664,2">
              <v:shape style="position:absolute;left:6686;top:13860;width:1664;height:2" coordorigin="6686,13860" coordsize="1664,0" path="m6686,13860l8350,13860e" filled="false" stroked="true" strokeweight=".72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2873"/>
        <w:gridCol w:w="578"/>
        <w:gridCol w:w="862"/>
        <w:gridCol w:w="576"/>
        <w:gridCol w:w="1663"/>
        <w:gridCol w:w="236"/>
        <w:gridCol w:w="1664"/>
      </w:tblGrid>
      <w:tr>
        <w:trPr>
          <w:trHeight w:val="292" w:hRule="exact"/>
        </w:trPr>
        <w:tc>
          <w:tcPr>
            <w:tcW w:w="8453"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left="7" w:right="0"/>
              <w:jc w:val="center"/>
              <w:rPr>
                <w:rFonts w:ascii="黑体" w:hAnsi="黑体" w:cs="黑体" w:eastAsia="黑体" w:hint="default"/>
                <w:sz w:val="24"/>
                <w:szCs w:val="24"/>
              </w:rPr>
            </w:pPr>
            <w:r>
              <w:rPr>
                <w:rFonts w:ascii="黑体" w:hAnsi="黑体" w:cs="黑体" w:eastAsia="黑体" w:hint="default"/>
                <w:sz w:val="24"/>
                <w:szCs w:val="24"/>
              </w:rPr>
              <w:t>合并资产负债表（续）</w:t>
            </w:r>
          </w:p>
        </w:tc>
      </w:tr>
      <w:tr>
        <w:trPr>
          <w:trHeight w:val="289" w:hRule="exact"/>
        </w:trPr>
        <w:tc>
          <w:tcPr>
            <w:tcW w:w="8453" w:type="dxa"/>
            <w:gridSpan w:val="7"/>
            <w:tcBorders>
              <w:top w:val="nil" w:sz="6" w:space="0" w:color="auto"/>
              <w:left w:val="nil" w:sz="6" w:space="0" w:color="auto"/>
              <w:bottom w:val="nil" w:sz="6" w:space="0" w:color="auto"/>
              <w:right w:val="nil" w:sz="6" w:space="0" w:color="auto"/>
            </w:tcBorders>
          </w:tcPr>
          <w:p>
            <w:pPr>
              <w:pStyle w:val="TableParagraph"/>
              <w:spacing w:line="245"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70" w:hRule="exact"/>
        </w:trPr>
        <w:tc>
          <w:tcPr>
            <w:tcW w:w="4313" w:type="dxa"/>
            <w:gridSpan w:val="3"/>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4140" w:type="dxa"/>
            <w:gridSpan w:val="4"/>
            <w:tcBorders>
              <w:top w:val="nil" w:sz="6" w:space="0" w:color="auto"/>
              <w:left w:val="nil" w:sz="6" w:space="0" w:color="auto"/>
              <w:bottom w:val="single" w:sz="4" w:space="0" w:color="000000"/>
              <w:right w:val="nil" w:sz="6" w:space="0" w:color="auto"/>
            </w:tcBorders>
          </w:tcPr>
          <w:p>
            <w:pPr>
              <w:pStyle w:val="TableParagraph"/>
              <w:spacing w:line="227" w:lineRule="exact"/>
              <w:ind w:left="2232"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283" w:hRule="exact"/>
        </w:trPr>
        <w:tc>
          <w:tcPr>
            <w:tcW w:w="28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716" w:right="0"/>
              <w:jc w:val="left"/>
              <w:rPr>
                <w:rFonts w:ascii="宋体" w:hAnsi="宋体" w:cs="宋体" w:eastAsia="宋体" w:hint="default"/>
                <w:sz w:val="18"/>
                <w:szCs w:val="18"/>
              </w:rPr>
            </w:pPr>
            <w:r>
              <w:rPr>
                <w:rFonts w:ascii="宋体" w:hAnsi="宋体" w:cs="宋体" w:eastAsia="宋体" w:hint="default"/>
                <w:b/>
                <w:bCs/>
                <w:sz w:val="18"/>
                <w:szCs w:val="18"/>
              </w:rPr>
              <w:t>负债和所有者权益</w:t>
            </w:r>
            <w:r>
              <w:rPr>
                <w:rFonts w:ascii="宋体" w:hAnsi="宋体" w:cs="宋体" w:eastAsia="宋体" w:hint="default"/>
                <w:sz w:val="18"/>
                <w:szCs w:val="18"/>
              </w:rPr>
            </w:r>
          </w:p>
        </w:tc>
        <w:tc>
          <w:tcPr>
            <w:tcW w:w="578" w:type="dxa"/>
            <w:tcBorders>
              <w:top w:val="single" w:sz="4" w:space="0" w:color="000000"/>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b/>
                <w:bCs/>
                <w:sz w:val="18"/>
                <w:szCs w:val="18"/>
              </w:rPr>
              <w:t>附注五</w:t>
            </w:r>
            <w:r>
              <w:rPr>
                <w:rFonts w:ascii="宋体" w:hAnsi="宋体" w:cs="宋体" w:eastAsia="宋体" w:hint="default"/>
                <w:sz w:val="18"/>
                <w:szCs w:val="18"/>
              </w:rPr>
            </w:r>
          </w:p>
        </w:tc>
        <w:tc>
          <w:tcPr>
            <w:tcW w:w="576"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年</w:t>
            </w:r>
            <w:r>
              <w:rPr>
                <w:rFonts w:ascii="宋体" w:hAnsi="宋体" w:cs="宋体" w:eastAsia="宋体" w:hint="default"/>
                <w:b/>
                <w:bCs/>
                <w:spacing w:val="-54"/>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月</w:t>
            </w:r>
            <w:r>
              <w:rPr>
                <w:rFonts w:ascii="宋体" w:hAnsi="宋体" w:cs="宋体" w:eastAsia="宋体" w:hint="default"/>
                <w:b/>
                <w:bCs/>
                <w:spacing w:val="-54"/>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年</w:t>
            </w:r>
            <w:r>
              <w:rPr>
                <w:rFonts w:ascii="宋体" w:hAnsi="宋体" w:cs="宋体" w:eastAsia="宋体" w:hint="default"/>
                <w:b/>
                <w:bCs/>
                <w:spacing w:val="-54"/>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b/>
                <w:bCs/>
                <w:spacing w:val="-54"/>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98" w:hRule="exact"/>
        </w:trPr>
        <w:tc>
          <w:tcPr>
            <w:tcW w:w="287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
        </w:tc>
      </w:tr>
      <w:tr>
        <w:trPr>
          <w:trHeight w:val="283"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 w:right="0"/>
              <w:jc w:val="center"/>
              <w:rPr>
                <w:rFonts w:ascii="Times New Roman" w:hAnsi="Times New Roman" w:cs="Times New Roman" w:eastAsia="Times New Roman" w:hint="default"/>
                <w:sz w:val="18"/>
                <w:szCs w:val="18"/>
              </w:rPr>
            </w:pPr>
            <w:r>
              <w:rPr>
                <w:rFonts w:ascii="Times New Roman"/>
                <w:sz w:val="18"/>
              </w:rPr>
              <w:t>14</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pacing w:val="-1"/>
                <w:sz w:val="18"/>
              </w:rPr>
              <w:t>122,403,575.75</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15</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13,778,749.85</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47,380,697.25</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85,793,960.30</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17</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4,420,842.39</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4,820,091.76</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 w:right="0"/>
              <w:jc w:val="center"/>
              <w:rPr>
                <w:rFonts w:ascii="Times New Roman" w:hAnsi="Times New Roman" w:cs="Times New Roman" w:eastAsia="Times New Roman" w:hint="default"/>
                <w:sz w:val="18"/>
                <w:szCs w:val="18"/>
              </w:rPr>
            </w:pPr>
            <w:r>
              <w:rPr>
                <w:rFonts w:ascii="Times New Roman"/>
                <w:sz w:val="18"/>
              </w:rPr>
              <w:t>18</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7,570,477.27</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7,879,698.21</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 w:right="0"/>
              <w:jc w:val="center"/>
              <w:rPr>
                <w:rFonts w:ascii="Times New Roman" w:hAnsi="Times New Roman" w:cs="Times New Roman" w:eastAsia="Times New Roman" w:hint="default"/>
                <w:sz w:val="18"/>
                <w:szCs w:val="18"/>
              </w:rPr>
            </w:pPr>
            <w:r>
              <w:rPr>
                <w:rFonts w:ascii="Times New Roman"/>
                <w:sz w:val="18"/>
              </w:rPr>
              <w:t>19</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2,886,072.96</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10,464,388.28</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 w:right="0"/>
              <w:jc w:val="center"/>
              <w:rPr>
                <w:rFonts w:ascii="Times New Roman" w:hAnsi="Times New Roman" w:cs="Times New Roman" w:eastAsia="Times New Roman" w:hint="default"/>
                <w:sz w:val="18"/>
                <w:szCs w:val="18"/>
              </w:rPr>
            </w:pPr>
            <w:r>
              <w:rPr>
                <w:rFonts w:ascii="Times New Roman"/>
                <w:sz w:val="18"/>
              </w:rPr>
              <w:t>20</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123,710,783.57</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 w:right="0"/>
              <w:jc w:val="center"/>
              <w:rPr>
                <w:rFonts w:ascii="Times New Roman" w:hAnsi="Times New Roman" w:cs="Times New Roman" w:eastAsia="Times New Roman" w:hint="default"/>
                <w:sz w:val="18"/>
                <w:szCs w:val="18"/>
              </w:rPr>
            </w:pPr>
            <w:r>
              <w:rPr>
                <w:rFonts w:ascii="Times New Roman"/>
                <w:sz w:val="18"/>
              </w:rPr>
              <w:t>21</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32,817,854.58</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258,379,454.92</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 w:right="0"/>
              <w:jc w:val="center"/>
              <w:rPr>
                <w:rFonts w:ascii="Times New Roman" w:hAnsi="Times New Roman" w:cs="Times New Roman" w:eastAsia="Times New Roman" w:hint="default"/>
                <w:sz w:val="18"/>
                <w:szCs w:val="18"/>
              </w:rPr>
            </w:pPr>
            <w:r>
              <w:rPr>
                <w:rFonts w:ascii="Times New Roman"/>
                <w:sz w:val="18"/>
              </w:rPr>
              <w:t>22</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63,900,000.00</w:t>
            </w:r>
          </w:p>
        </w:tc>
      </w:tr>
      <w:tr>
        <w:trPr>
          <w:trHeight w:val="289"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 w:right="0"/>
              <w:jc w:val="center"/>
              <w:rPr>
                <w:rFonts w:ascii="Times New Roman" w:hAnsi="Times New Roman" w:cs="Times New Roman" w:eastAsia="Times New Roman" w:hint="default"/>
                <w:sz w:val="18"/>
                <w:szCs w:val="18"/>
              </w:rPr>
            </w:pPr>
            <w:r>
              <w:rPr>
                <w:rFonts w:ascii="Times New Roman"/>
                <w:sz w:val="18"/>
              </w:rPr>
              <w:t>23</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10,593,574.55</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1,527,336.63</w:t>
            </w:r>
          </w:p>
        </w:tc>
      </w:tr>
      <w:tr>
        <w:trPr>
          <w:trHeight w:val="266"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33" w:lineRule="exact"/>
              <w:ind w:left="469"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7"/>
              <w:jc w:val="right"/>
              <w:rPr>
                <w:rFonts w:ascii="Times New Roman" w:hAnsi="Times New Roman" w:cs="Times New Roman" w:eastAsia="Times New Roman" w:hint="default"/>
                <w:sz w:val="18"/>
                <w:szCs w:val="18"/>
              </w:rPr>
            </w:pPr>
            <w:r>
              <w:rPr>
                <w:rFonts w:ascii="Times New Roman"/>
                <w:b/>
                <w:spacing w:val="-1"/>
                <w:sz w:val="18"/>
              </w:rPr>
              <w:t>119,448,268.85</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7"/>
              <w:jc w:val="right"/>
              <w:rPr>
                <w:rFonts w:ascii="Times New Roman" w:hAnsi="Times New Roman" w:cs="Times New Roman" w:eastAsia="Times New Roman" w:hint="default"/>
                <w:sz w:val="18"/>
                <w:szCs w:val="18"/>
              </w:rPr>
            </w:pPr>
            <w:r>
              <w:rPr>
                <w:rFonts w:ascii="Times New Roman"/>
                <w:b/>
                <w:spacing w:val="-1"/>
                <w:sz w:val="18"/>
              </w:rPr>
              <w:t>682,879,289.42</w:t>
            </w:r>
            <w:r>
              <w:rPr>
                <w:rFonts w:ascii="Times New Roman"/>
                <w:spacing w:val="-1"/>
                <w:sz w:val="18"/>
              </w:rPr>
            </w:r>
          </w:p>
        </w:tc>
      </w:tr>
      <w:tr>
        <w:trPr>
          <w:trHeight w:val="298"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
        </w:tc>
      </w:tr>
      <w:tr>
        <w:trPr>
          <w:trHeight w:val="283"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24</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732,199.15</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874,187.24</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25</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2,650,000.00</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26</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270,983,060.81</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9"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5"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33" w:lineRule="exact"/>
              <w:ind w:left="469"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b/>
                <w:spacing w:val="-1"/>
                <w:sz w:val="18"/>
              </w:rPr>
              <w:t>3,382,199.15</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7"/>
              <w:jc w:val="right"/>
              <w:rPr>
                <w:rFonts w:ascii="Times New Roman" w:hAnsi="Times New Roman" w:cs="Times New Roman" w:eastAsia="Times New Roman" w:hint="default"/>
                <w:sz w:val="18"/>
                <w:szCs w:val="18"/>
              </w:rPr>
            </w:pPr>
            <w:r>
              <w:rPr>
                <w:rFonts w:ascii="Times New Roman"/>
                <w:b/>
                <w:spacing w:val="-1"/>
                <w:sz w:val="18"/>
              </w:rPr>
              <w:t>274,307,248.05</w:t>
            </w:r>
            <w:r>
              <w:rPr>
                <w:rFonts w:ascii="Times New Roman"/>
                <w:spacing w:val="-1"/>
                <w:sz w:val="18"/>
              </w:rPr>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pacing w:val="-1"/>
                <w:sz w:val="18"/>
              </w:rPr>
              <w:t>122,830,468.00</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pacing w:val="-1"/>
                <w:sz w:val="18"/>
              </w:rPr>
              <w:t>957,186,537.47</w:t>
            </w:r>
            <w:r>
              <w:rPr>
                <w:rFonts w:ascii="Times New Roman"/>
                <w:spacing w:val="-1"/>
                <w:sz w:val="18"/>
              </w:rPr>
            </w:r>
          </w:p>
        </w:tc>
      </w:tr>
      <w:tr>
        <w:trPr>
          <w:trHeight w:val="298"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
        </w:tc>
      </w:tr>
      <w:tr>
        <w:trPr>
          <w:trHeight w:val="283"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 w:right="0"/>
              <w:jc w:val="center"/>
              <w:rPr>
                <w:rFonts w:ascii="Times New Roman" w:hAnsi="Times New Roman" w:cs="Times New Roman" w:eastAsia="Times New Roman" w:hint="default"/>
                <w:sz w:val="18"/>
                <w:szCs w:val="18"/>
              </w:rPr>
            </w:pPr>
            <w:r>
              <w:rPr>
                <w:rFonts w:ascii="Times New Roman"/>
                <w:sz w:val="18"/>
              </w:rPr>
              <w:t>27</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pacing w:val="-1"/>
                <w:sz w:val="18"/>
              </w:rPr>
              <w:t>357,973,531.00</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pacing w:val="-1"/>
                <w:sz w:val="18"/>
              </w:rPr>
              <w:t>357,973,531.00</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28</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640,002,411.17</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262,748,052.05</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29</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65,738,593.50</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28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30</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-997,657,424.02</w:t>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-1,495,799,665.75</w:t>
            </w:r>
          </w:p>
        </w:tc>
      </w:tr>
      <w:tr>
        <w:trPr>
          <w:trHeight w:val="289"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33"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b/>
                <w:spacing w:val="-1"/>
                <w:sz w:val="18"/>
              </w:rPr>
              <w:t>66,057,111.65</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97"/>
              <w:jc w:val="right"/>
              <w:rPr>
                <w:rFonts w:ascii="Times New Roman" w:hAnsi="Times New Roman" w:cs="Times New Roman" w:eastAsia="Times New Roman" w:hint="default"/>
                <w:sz w:val="18"/>
                <w:szCs w:val="18"/>
              </w:rPr>
            </w:pPr>
            <w:r>
              <w:rPr>
                <w:rFonts w:ascii="Times New Roman"/>
                <w:b/>
                <w:spacing w:val="-1"/>
                <w:sz w:val="18"/>
              </w:rPr>
              <w:t>-809,339,489.20</w:t>
            </w:r>
            <w:r>
              <w:rPr>
                <w:rFonts w:ascii="Times New Roman"/>
                <w:spacing w:val="-1"/>
                <w:sz w:val="18"/>
              </w:rPr>
            </w:r>
          </w:p>
        </w:tc>
      </w:tr>
      <w:tr>
        <w:trPr>
          <w:trHeight w:val="307"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2,945,390.88</w:t>
            </w:r>
          </w:p>
        </w:tc>
      </w:tr>
      <w:tr>
        <w:trPr>
          <w:trHeight w:val="261"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b/>
                <w:spacing w:val="-1"/>
                <w:sz w:val="18"/>
              </w:rPr>
              <w:t>66,057,111.65</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b/>
                <w:spacing w:val="-1"/>
                <w:sz w:val="18"/>
              </w:rPr>
              <w:t>-806,394,098.32</w:t>
            </w:r>
            <w:r>
              <w:rPr>
                <w:rFonts w:ascii="Times New Roman"/>
                <w:spacing w:val="-1"/>
                <w:sz w:val="18"/>
              </w:rPr>
            </w:r>
          </w:p>
        </w:tc>
      </w:tr>
      <w:tr>
        <w:trPr>
          <w:trHeight w:val="301"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57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pacing w:val="-1"/>
                <w:sz w:val="18"/>
              </w:rPr>
              <w:t>188,887,579.65</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pacing w:val="-1"/>
                <w:sz w:val="18"/>
              </w:rPr>
              <w:t>150,792,439.15</w:t>
            </w:r>
            <w:r>
              <w:rPr>
                <w:rFonts w:ascii="Times New Roman"/>
                <w:spacing w:val="-1"/>
                <w:sz w:val="18"/>
              </w:rPr>
            </w:r>
          </w:p>
        </w:tc>
      </w:tr>
      <w:tr>
        <w:trPr>
          <w:trHeight w:val="268" w:hRule="exact"/>
        </w:trPr>
        <w:tc>
          <w:tcPr>
            <w:tcW w:w="2873" w:type="dxa"/>
            <w:tcBorders>
              <w:top w:val="nil" w:sz="6" w:space="0" w:color="auto"/>
              <w:left w:val="nil" w:sz="6" w:space="0" w:color="auto"/>
              <w:bottom w:val="single" w:sz="4" w:space="0" w:color="000000"/>
              <w:right w:val="nil" w:sz="6" w:space="0" w:color="auto"/>
            </w:tcBorders>
          </w:tcPr>
          <w:p>
            <w:pPr/>
          </w:p>
        </w:tc>
        <w:tc>
          <w:tcPr>
            <w:tcW w:w="578" w:type="dxa"/>
            <w:tcBorders>
              <w:top w:val="nil" w:sz="6" w:space="0" w:color="auto"/>
              <w:left w:val="nil" w:sz="6" w:space="0" w:color="auto"/>
              <w:bottom w:val="single" w:sz="4" w:space="0" w:color="000000"/>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664" w:type="dxa"/>
            <w:tcBorders>
              <w:top w:val="single" w:sz="17" w:space="0" w:color="000000"/>
              <w:left w:val="nil" w:sz="6" w:space="0" w:color="auto"/>
              <w:bottom w:val="single" w:sz="4" w:space="0" w:color="000000"/>
              <w:right w:val="nil" w:sz="6" w:space="0" w:color="auto"/>
            </w:tcBorders>
          </w:tcPr>
          <w:p>
            <w:pPr/>
          </w:p>
        </w:tc>
      </w:tr>
      <w:tr>
        <w:trPr>
          <w:trHeight w:val="577" w:hRule="exact"/>
        </w:trPr>
        <w:tc>
          <w:tcPr>
            <w:tcW w:w="8453"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700"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232" w:hRule="exact"/>
        </w:trPr>
        <w:tc>
          <w:tcPr>
            <w:tcW w:w="8453" w:type="dxa"/>
            <w:gridSpan w:val="7"/>
            <w:tcBorders>
              <w:top w:val="nil" w:sz="6" w:space="0" w:color="auto"/>
              <w:left w:val="nil" w:sz="6" w:space="0" w:color="auto"/>
              <w:bottom w:val="nil" w:sz="6" w:space="0" w:color="auto"/>
              <w:right w:val="nil" w:sz="6" w:space="0" w:color="auto"/>
            </w:tcBorders>
          </w:tcPr>
          <w:p>
            <w:pPr>
              <w:pStyle w:val="TableParagraph"/>
              <w:tabs>
                <w:tab w:pos="3077" w:val="left" w:leader="none"/>
                <w:tab w:pos="6047" w:val="left" w:leader="none"/>
              </w:tabs>
              <w:spacing w:line="232" w:lineRule="exact"/>
              <w:ind w:left="108" w:right="0"/>
              <w:jc w:val="left"/>
              <w:rPr>
                <w:rFonts w:ascii="黑体" w:hAnsi="黑体" w:cs="黑体" w:eastAsia="黑体" w:hint="default"/>
                <w:sz w:val="18"/>
                <w:szCs w:val="18"/>
              </w:rPr>
            </w:pPr>
            <w:r>
              <w:rPr>
                <w:rFonts w:ascii="黑体" w:hAnsi="黑体" w:cs="黑体" w:eastAsia="黑体" w:hint="default"/>
                <w:sz w:val="18"/>
                <w:szCs w:val="18"/>
              </w:rPr>
              <w:t>公司法定代表人：晏群</w:t>
              <w:tab/>
              <w:t>主管会计工作负责人：梁侠</w:t>
              <w:tab/>
              <w:t>会计机构负责人：林小浓</w:t>
            </w:r>
          </w:p>
        </w:tc>
      </w:tr>
    </w:tbl>
    <w:p>
      <w:pPr>
        <w:spacing w:after="0" w:line="232" w:lineRule="exact"/>
        <w:jc w:val="left"/>
        <w:rPr>
          <w:rFonts w:ascii="黑体" w:hAnsi="黑体" w:cs="黑体" w:eastAsia="黑体" w:hint="default"/>
          <w:sz w:val="18"/>
          <w:szCs w:val="18"/>
        </w:rPr>
        <w:sectPr>
          <w:pgSz w:w="11910" w:h="16840"/>
          <w:pgMar w:header="877" w:footer="975" w:top="1100" w:bottom="1160" w:left="1660" w:right="1520"/>
        </w:sectPr>
      </w:pPr>
    </w:p>
    <w:p>
      <w:pPr>
        <w:spacing w:line="240" w:lineRule="auto" w:before="0"/>
        <w:rPr>
          <w:rFonts w:ascii="Times New Roman" w:hAnsi="Times New Roman" w:cs="Times New Roman" w:eastAsia="Times New Roman" w:hint="default"/>
          <w:sz w:val="20"/>
          <w:szCs w:val="20"/>
        </w:rPr>
      </w:pPr>
      <w:r>
        <w:rPr/>
        <w:pict>
          <v:shape style="position:absolute;margin-left:368.640015pt;margin-top:324.660095pt;width:170.832573pt;height:2.385pt;mso-position-horizontal-relative:page;mso-position-vertical-relative:page;z-index:-728728" type="#_x0000_t75" stroked="false">
            <v:imagedata r:id="rId15" o:title=""/>
          </v:shape>
        </w:pict>
      </w:r>
      <w:r>
        <w:rPr/>
        <w:pict>
          <v:shape style="position:absolute;margin-left:368.640015pt;margin-top:392.640015pt;width:170.349056pt;height:2.385pt;mso-position-horizontal-relative:page;mso-position-vertical-relative:page;z-index:-728704" type="#_x0000_t75" stroked="false">
            <v:imagedata r:id="rId16" o:title=""/>
          </v:shape>
        </w:pict>
      </w:r>
      <w:r>
        <w:rPr/>
        <w:pict>
          <v:shape style="position:absolute;margin-left:368.640015pt;margin-top:426.660004pt;width:170.826053pt;height:2.385pt;mso-position-horizontal-relative:page;mso-position-vertical-relative:page;z-index:-728680" type="#_x0000_t75" stroked="false">
            <v:imagedata r:id="rId15" o:title=""/>
          </v:shape>
        </w:pic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tbl>
      <w:tblPr>
        <w:tblW w:w="0" w:type="auto"/>
        <w:jc w:val="left"/>
        <w:tblInd w:w="137" w:type="dxa"/>
        <w:tblLayout w:type="fixed"/>
        <w:tblCellMar>
          <w:top w:w="0" w:type="dxa"/>
          <w:left w:w="0" w:type="dxa"/>
          <w:bottom w:w="0" w:type="dxa"/>
          <w:right w:w="0" w:type="dxa"/>
        </w:tblCellMar>
        <w:tblLook w:val="01E0"/>
      </w:tblPr>
      <w:tblGrid>
        <w:gridCol w:w="4133"/>
        <w:gridCol w:w="396"/>
        <w:gridCol w:w="830"/>
        <w:gridCol w:w="235"/>
        <w:gridCol w:w="1598"/>
        <w:gridCol w:w="236"/>
        <w:gridCol w:w="1564"/>
      </w:tblGrid>
      <w:tr>
        <w:trPr>
          <w:trHeight w:val="305" w:hRule="exact"/>
        </w:trPr>
        <w:tc>
          <w:tcPr>
            <w:tcW w:w="8993"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left="7" w:right="0"/>
              <w:jc w:val="center"/>
              <w:rPr>
                <w:rFonts w:ascii="黑体" w:hAnsi="黑体" w:cs="黑体" w:eastAsia="黑体" w:hint="default"/>
                <w:sz w:val="24"/>
                <w:szCs w:val="24"/>
              </w:rPr>
            </w:pPr>
            <w:r>
              <w:rPr>
                <w:rFonts w:ascii="黑体" w:hAnsi="黑体" w:cs="黑体" w:eastAsia="黑体" w:hint="default"/>
                <w:sz w:val="24"/>
                <w:szCs w:val="24"/>
              </w:rPr>
              <w:t>合并利润表</w:t>
            </w:r>
          </w:p>
        </w:tc>
      </w:tr>
      <w:tr>
        <w:trPr>
          <w:trHeight w:val="324" w:hRule="exact"/>
        </w:trPr>
        <w:tc>
          <w:tcPr>
            <w:tcW w:w="899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7" w:hRule="exact"/>
        </w:trPr>
        <w:tc>
          <w:tcPr>
            <w:tcW w:w="413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18"/>
                <w:szCs w:val="18"/>
              </w:rPr>
            </w:pPr>
            <w:r>
              <w:rPr>
                <w:rFonts w:ascii="宋体" w:hAnsi="宋体" w:cs="宋体" w:eastAsia="宋体" w:hint="default"/>
                <w:b/>
                <w:bCs/>
                <w:spacing w:val="-3"/>
                <w:sz w:val="18"/>
                <w:szCs w:val="18"/>
              </w:rPr>
              <w:t>编制单位：深圳市深信泰丰（集团）股份有限公司</w:t>
            </w:r>
            <w:r>
              <w:rPr>
                <w:rFonts w:ascii="宋体" w:hAnsi="宋体" w:cs="宋体" w:eastAsia="宋体" w:hint="default"/>
                <w:spacing w:val="-3"/>
                <w:sz w:val="18"/>
                <w:szCs w:val="18"/>
              </w:rPr>
            </w:r>
          </w:p>
        </w:tc>
        <w:tc>
          <w:tcPr>
            <w:tcW w:w="396" w:type="dxa"/>
            <w:tcBorders>
              <w:top w:val="nil" w:sz="6" w:space="0" w:color="auto"/>
              <w:left w:val="nil" w:sz="6" w:space="0" w:color="auto"/>
              <w:bottom w:val="single" w:sz="4" w:space="0" w:color="000000"/>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
        </w:tc>
        <w:tc>
          <w:tcPr>
            <w:tcW w:w="363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3"/>
              <w:ind w:left="1725"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340" w:hRule="exact"/>
        </w:trPr>
        <w:tc>
          <w:tcPr>
            <w:tcW w:w="413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6" w:type="dxa"/>
            <w:tcBorders>
              <w:top w:val="single" w:sz="4" w:space="0" w:color="000000"/>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13" w:right="0"/>
              <w:jc w:val="center"/>
              <w:rPr>
                <w:rFonts w:ascii="宋体" w:hAnsi="宋体" w:cs="宋体" w:eastAsia="宋体" w:hint="default"/>
                <w:sz w:val="18"/>
                <w:szCs w:val="18"/>
              </w:rPr>
            </w:pPr>
            <w:r>
              <w:rPr>
                <w:rFonts w:ascii="宋体" w:hAnsi="宋体" w:cs="宋体" w:eastAsia="宋体" w:hint="default"/>
                <w:b/>
                <w:bCs/>
                <w:sz w:val="18"/>
                <w:szCs w:val="18"/>
              </w:rPr>
              <w:t>附注五</w:t>
            </w:r>
            <w:r>
              <w:rPr>
                <w:rFonts w:ascii="宋体" w:hAnsi="宋体" w:cs="宋体" w:eastAsia="宋体" w:hint="default"/>
                <w:sz w:val="18"/>
                <w:szCs w:val="18"/>
              </w:rPr>
            </w:r>
          </w:p>
        </w:tc>
        <w:tc>
          <w:tcPr>
            <w:tcW w:w="235" w:type="dxa"/>
            <w:tcBorders>
              <w:top w:val="single" w:sz="4" w:space="0" w:color="000000"/>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9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年度</w:t>
            </w:r>
            <w:r>
              <w:rPr>
                <w:rFonts w:ascii="宋体" w:hAnsi="宋体" w:cs="宋体" w:eastAsia="宋体"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9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2009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3" w:hRule="exact"/>
        </w:trPr>
        <w:tc>
          <w:tcPr>
            <w:tcW w:w="413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8"/>
                <w:szCs w:val="18"/>
              </w:rPr>
            </w:pPr>
            <w:r>
              <w:rPr>
                <w:rFonts w:ascii="Times New Roman"/>
                <w:sz w:val="18"/>
              </w:rPr>
              <w:t>31</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b/>
                <w:spacing w:val="-1"/>
                <w:sz w:val="18"/>
              </w:rPr>
              <w:t>402,162,769.87</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b/>
                <w:spacing w:val="-1"/>
                <w:sz w:val="18"/>
              </w:rPr>
              <w:t>339,365,609.55</w:t>
            </w:r>
            <w:r>
              <w:rPr>
                <w:rFonts w:ascii="Times New Roman"/>
                <w:spacing w:val="-1"/>
                <w:sz w:val="18"/>
              </w:rPr>
            </w:r>
          </w:p>
        </w:tc>
      </w:tr>
      <w:tr>
        <w:trPr>
          <w:trHeight w:val="336"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18"/>
                <w:szCs w:val="18"/>
              </w:rPr>
            </w:pPr>
            <w:r>
              <w:rPr>
                <w:rFonts w:ascii="Times New Roman"/>
                <w:sz w:val="18"/>
              </w:rPr>
              <w:t>31</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8"/>
                <w:szCs w:val="18"/>
              </w:rPr>
            </w:pPr>
            <w:r>
              <w:rPr>
                <w:rFonts w:ascii="Times New Roman"/>
                <w:spacing w:val="-1"/>
                <w:sz w:val="18"/>
              </w:rPr>
              <w:t>331,169,242.47</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8"/>
                <w:szCs w:val="18"/>
              </w:rPr>
            </w:pPr>
            <w:r>
              <w:rPr>
                <w:rFonts w:ascii="Times New Roman"/>
                <w:spacing w:val="-1"/>
                <w:sz w:val="18"/>
              </w:rPr>
              <w:t>279,829,185.68</w:t>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 w:right="0"/>
              <w:jc w:val="center"/>
              <w:rPr>
                <w:rFonts w:ascii="Times New Roman" w:hAnsi="Times New Roman" w:cs="Times New Roman" w:eastAsia="Times New Roman" w:hint="default"/>
                <w:sz w:val="18"/>
                <w:szCs w:val="18"/>
              </w:rPr>
            </w:pPr>
            <w:r>
              <w:rPr>
                <w:rFonts w:ascii="Times New Roman"/>
                <w:sz w:val="18"/>
              </w:rPr>
              <w:t>32</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1,154,219.07</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z w:val="18"/>
              </w:rPr>
              <w:t>794,857.32</w:t>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 w:right="0"/>
              <w:jc w:val="center"/>
              <w:rPr>
                <w:rFonts w:ascii="Times New Roman" w:hAnsi="Times New Roman" w:cs="Times New Roman" w:eastAsia="Times New Roman" w:hint="default"/>
                <w:sz w:val="18"/>
                <w:szCs w:val="18"/>
              </w:rPr>
            </w:pPr>
            <w:r>
              <w:rPr>
                <w:rFonts w:ascii="Times New Roman"/>
                <w:sz w:val="18"/>
              </w:rPr>
              <w:t>33</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26,139,640.86</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23,563,627.50</w:t>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4" w:right="0"/>
              <w:jc w:val="center"/>
              <w:rPr>
                <w:rFonts w:ascii="Times New Roman" w:hAnsi="Times New Roman" w:cs="Times New Roman" w:eastAsia="Times New Roman" w:hint="default"/>
                <w:sz w:val="18"/>
                <w:szCs w:val="18"/>
              </w:rPr>
            </w:pPr>
            <w:r>
              <w:rPr>
                <w:rFonts w:ascii="Times New Roman"/>
                <w:sz w:val="18"/>
              </w:rPr>
              <w:t>34</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37,065,211.37</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33,151,988.94</w:t>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 w:right="0"/>
              <w:jc w:val="center"/>
              <w:rPr>
                <w:rFonts w:ascii="Times New Roman" w:hAnsi="Times New Roman" w:cs="Times New Roman" w:eastAsia="Times New Roman" w:hint="default"/>
                <w:sz w:val="18"/>
                <w:szCs w:val="18"/>
              </w:rPr>
            </w:pPr>
            <w:r>
              <w:rPr>
                <w:rFonts w:ascii="Times New Roman"/>
                <w:sz w:val="18"/>
              </w:rPr>
              <w:t>35</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z w:val="18"/>
              </w:rPr>
              <w:t>409,446.16</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27,803,472.90</w:t>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 w:right="0"/>
              <w:jc w:val="center"/>
              <w:rPr>
                <w:rFonts w:ascii="Times New Roman" w:hAnsi="Times New Roman" w:cs="Times New Roman" w:eastAsia="Times New Roman" w:hint="default"/>
                <w:sz w:val="18"/>
                <w:szCs w:val="18"/>
              </w:rPr>
            </w:pPr>
            <w:r>
              <w:rPr>
                <w:rFonts w:ascii="Times New Roman"/>
                <w:sz w:val="18"/>
              </w:rPr>
              <w:t>36</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-4,762,966.14</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5,794,708.03</w:t>
            </w:r>
          </w:p>
        </w:tc>
      </w:tr>
      <w:tr>
        <w:trPr>
          <w:trHeight w:val="341"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6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8"/>
                <w:szCs w:val="18"/>
              </w:rPr>
            </w:pPr>
            <w:r>
              <w:rPr>
                <w:rFonts w:ascii="Times New Roman"/>
                <w:sz w:val="18"/>
              </w:rPr>
              <w:t>37</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70,032.81</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8"/>
                <w:szCs w:val="18"/>
              </w:rPr>
            </w:pPr>
            <w:r>
              <w:rPr>
                <w:rFonts w:ascii="Times New Roman"/>
                <w:spacing w:val="-1"/>
                <w:sz w:val="18"/>
              </w:rPr>
              <w:t>139,421,252.32</w:t>
            </w:r>
          </w:p>
        </w:tc>
      </w:tr>
      <w:tr>
        <w:trPr>
          <w:trHeight w:val="341"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6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9"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b/>
                <w:spacing w:val="-1"/>
                <w:sz w:val="18"/>
              </w:rPr>
              <w:t>11,058,008.89</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b/>
                <w:spacing w:val="-1"/>
                <w:sz w:val="18"/>
              </w:rPr>
              <w:t>107,849,021.50</w:t>
            </w:r>
            <w:r>
              <w:rPr>
                <w:rFonts w:ascii="Times New Roman"/>
                <w:spacing w:val="-1"/>
                <w:sz w:val="18"/>
              </w:rPr>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Times New Roman" w:hAnsi="Times New Roman" w:cs="Times New Roman" w:eastAsia="Times New Roman" w:hint="default"/>
                <w:sz w:val="18"/>
                <w:szCs w:val="18"/>
              </w:rPr>
            </w:pPr>
            <w:r>
              <w:rPr>
                <w:rFonts w:ascii="Times New Roman"/>
                <w:sz w:val="18"/>
              </w:rPr>
              <w:t>38</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8"/>
                <w:szCs w:val="18"/>
              </w:rPr>
            </w:pPr>
            <w:r>
              <w:rPr>
                <w:rFonts w:ascii="Times New Roman"/>
                <w:spacing w:val="-1"/>
                <w:sz w:val="18"/>
              </w:rPr>
              <w:t>491,224,505.05</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20,959,968.37</w:t>
            </w:r>
          </w:p>
        </w:tc>
      </w:tr>
      <w:tr>
        <w:trPr>
          <w:trHeight w:val="338"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 w:right="0"/>
              <w:jc w:val="center"/>
              <w:rPr>
                <w:rFonts w:ascii="Times New Roman" w:hAnsi="Times New Roman" w:cs="Times New Roman" w:eastAsia="Times New Roman" w:hint="default"/>
                <w:sz w:val="18"/>
                <w:szCs w:val="18"/>
              </w:rPr>
            </w:pPr>
            <w:r>
              <w:rPr>
                <w:rFonts w:ascii="Times New Roman"/>
                <w:sz w:val="18"/>
              </w:rPr>
              <w:t>39</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1"/>
                <w:sz w:val="18"/>
              </w:rPr>
              <w:t>2,961,634.39</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4,957,433.64</w:t>
            </w:r>
          </w:p>
        </w:tc>
      </w:tr>
      <w:tr>
        <w:trPr>
          <w:trHeight w:val="343"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2,563,929.00</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88,091.32</w:t>
            </w:r>
          </w:p>
        </w:tc>
      </w:tr>
      <w:tr>
        <w:trPr>
          <w:trHeight w:val="339"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18"/>
                <w:szCs w:val="18"/>
              </w:rPr>
            </w:pPr>
            <w:r>
              <w:rPr>
                <w:rFonts w:ascii="Times New Roman"/>
                <w:b/>
                <w:spacing w:val="-1"/>
                <w:sz w:val="18"/>
              </w:rPr>
              <w:t>499,320,879.55</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18"/>
                <w:szCs w:val="18"/>
              </w:rPr>
            </w:pPr>
            <w:r>
              <w:rPr>
                <w:rFonts w:ascii="Times New Roman"/>
                <w:b/>
                <w:spacing w:val="-1"/>
                <w:sz w:val="18"/>
              </w:rPr>
              <w:t>123,851,556.23</w:t>
            </w:r>
            <w:r>
              <w:rPr>
                <w:rFonts w:ascii="Times New Roman"/>
                <w:spacing w:val="-1"/>
                <w:sz w:val="18"/>
              </w:rPr>
            </w:r>
          </w:p>
        </w:tc>
      </w:tr>
      <w:tr>
        <w:trPr>
          <w:trHeight w:val="343"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Times New Roman" w:hAnsi="Times New Roman" w:cs="Times New Roman" w:eastAsia="Times New Roman" w:hint="default"/>
                <w:sz w:val="18"/>
                <w:szCs w:val="18"/>
              </w:rPr>
            </w:pPr>
            <w:r>
              <w:rPr>
                <w:rFonts w:ascii="Times New Roman"/>
                <w:sz w:val="18"/>
              </w:rPr>
              <w:t>40</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1,178,637.82</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723,025.98</w:t>
            </w:r>
          </w:p>
        </w:tc>
      </w:tr>
      <w:tr>
        <w:trPr>
          <w:trHeight w:val="354"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17" w:space="0" w:color="323232"/>
              <w:right w:val="nil" w:sz="6" w:space="0" w:color="auto"/>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b/>
                <w:spacing w:val="-1"/>
                <w:sz w:val="18"/>
              </w:rPr>
              <w:t>498,142,241.73</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17" w:space="0" w:color="323232"/>
              <w:right w:val="nil" w:sz="6" w:space="0" w:color="auto"/>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b/>
                <w:spacing w:val="-1"/>
                <w:sz w:val="18"/>
              </w:rPr>
              <w:t>123,128,530.25</w:t>
            </w:r>
            <w:r>
              <w:rPr>
                <w:rFonts w:ascii="Times New Roman"/>
                <w:spacing w:val="-1"/>
                <w:sz w:val="18"/>
              </w:rPr>
            </w:r>
          </w:p>
        </w:tc>
      </w:tr>
      <w:tr>
        <w:trPr>
          <w:trHeight w:val="339"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6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single" w:sz="17" w:space="0" w:color="323232"/>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8"/>
                <w:szCs w:val="18"/>
              </w:rPr>
            </w:pPr>
            <w:r>
              <w:rPr>
                <w:rFonts w:ascii="Times New Roman"/>
                <w:b/>
                <w:spacing w:val="-1"/>
                <w:sz w:val="18"/>
              </w:rPr>
              <w:t>498,142,241.73</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single" w:sz="17" w:space="0" w:color="323232"/>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8"/>
                <w:szCs w:val="18"/>
              </w:rPr>
            </w:pPr>
            <w:r>
              <w:rPr>
                <w:rFonts w:ascii="Times New Roman"/>
                <w:b/>
                <w:spacing w:val="-1"/>
                <w:sz w:val="18"/>
              </w:rPr>
              <w:t>133,403,579.37</w:t>
            </w:r>
            <w:r>
              <w:rPr>
                <w:rFonts w:ascii="Times New Roman"/>
                <w:spacing w:val="-1"/>
                <w:sz w:val="18"/>
              </w:rPr>
            </w:r>
          </w:p>
        </w:tc>
      </w:tr>
      <w:tr>
        <w:trPr>
          <w:trHeight w:val="324"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
              <w:ind w:left="46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-10,275,049.12</w:t>
            </w:r>
            <w:r>
              <w:rPr>
                <w:rFonts w:ascii="Times New Roman"/>
                <w:spacing w:val="-1"/>
                <w:sz w:val="18"/>
              </w:rPr>
            </w:r>
          </w:p>
        </w:tc>
      </w:tr>
      <w:tr>
        <w:trPr>
          <w:trHeight w:val="335"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r>
      <w:tr>
        <w:trPr>
          <w:trHeight w:val="345"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基本每股收益</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 w:right="0"/>
              <w:jc w:val="center"/>
              <w:rPr>
                <w:rFonts w:ascii="Times New Roman" w:hAnsi="Times New Roman" w:cs="Times New Roman" w:eastAsia="Times New Roman" w:hint="default"/>
                <w:sz w:val="18"/>
                <w:szCs w:val="18"/>
              </w:rPr>
            </w:pPr>
            <w:r>
              <w:rPr>
                <w:rFonts w:ascii="Times New Roman"/>
                <w:sz w:val="18"/>
              </w:rPr>
              <w:t>41</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1.39</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0.37</w:t>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稀释每股收益</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 w:right="0"/>
              <w:jc w:val="center"/>
              <w:rPr>
                <w:rFonts w:ascii="Times New Roman" w:hAnsi="Times New Roman" w:cs="Times New Roman" w:eastAsia="Times New Roman" w:hint="default"/>
                <w:sz w:val="18"/>
                <w:szCs w:val="18"/>
              </w:rPr>
            </w:pPr>
            <w:r>
              <w:rPr>
                <w:rFonts w:ascii="Times New Roman"/>
                <w:sz w:val="18"/>
              </w:rPr>
              <w:t>41</w:t>
            </w: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1.39</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0.37</w:t>
            </w:r>
          </w:p>
        </w:tc>
      </w:tr>
      <w:tr>
        <w:trPr>
          <w:trHeight w:val="339"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498,142,241.73</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123,128,530.25</w:t>
            </w:r>
          </w:p>
        </w:tc>
      </w:tr>
      <w:tr>
        <w:trPr>
          <w:trHeight w:val="340"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396"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498,142,241.73</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133,403,579.37</w:t>
            </w:r>
          </w:p>
        </w:tc>
      </w:tr>
      <w:tr>
        <w:trPr>
          <w:trHeight w:val="681" w:hRule="exact"/>
        </w:trPr>
        <w:tc>
          <w:tcPr>
            <w:tcW w:w="413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468"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96" w:type="dxa"/>
            <w:tcBorders>
              <w:top w:val="nil" w:sz="6" w:space="0" w:color="auto"/>
              <w:left w:val="nil" w:sz="6" w:space="0" w:color="auto"/>
              <w:bottom w:val="single" w:sz="4" w:space="0" w:color="000000"/>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single" w:sz="4" w:space="0" w:color="000000"/>
              <w:right w:val="nil" w:sz="6" w:space="0" w:color="auto"/>
            </w:tcBorders>
          </w:tcPr>
          <w:p>
            <w:pP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-10,275,049.12</w:t>
            </w:r>
          </w:p>
        </w:tc>
      </w:tr>
      <w:tr>
        <w:trPr>
          <w:trHeight w:val="343" w:hRule="exact"/>
        </w:trPr>
        <w:tc>
          <w:tcPr>
            <w:tcW w:w="8993"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0</w:t>
            </w:r>
            <w:r>
              <w:rPr>
                <w:rFonts w:ascii="Times New Roman" w:hAnsi="Times New Roman" w:cs="Times New Roman" w:eastAsia="Times New Roman" w:hint="default"/>
                <w:sz w:val="18"/>
                <w:szCs w:val="18"/>
              </w:rPr>
            </w:r>
            <w:r>
              <w:rPr>
                <w:rFonts w:ascii="宋体" w:hAnsi="宋体" w:cs="宋体" w:eastAsia="宋体" w:hint="default"/>
                <w:sz w:val="18"/>
                <w:szCs w:val="18"/>
              </w:rPr>
              <w:t>元。</w:t>
            </w:r>
          </w:p>
        </w:tc>
      </w:tr>
      <w:tr>
        <w:trPr>
          <w:trHeight w:val="509" w:hRule="exact"/>
        </w:trPr>
        <w:tc>
          <w:tcPr>
            <w:tcW w:w="899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7"/>
              <w:ind w:left="2970"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437" w:hRule="exact"/>
        </w:trPr>
        <w:tc>
          <w:tcPr>
            <w:tcW w:w="899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tabs>
                <w:tab w:pos="3077" w:val="left" w:leader="none"/>
                <w:tab w:pos="6047" w:val="left" w:leader="none"/>
              </w:tabs>
              <w:spacing w:line="240" w:lineRule="auto"/>
              <w:ind w:left="107" w:right="0"/>
              <w:jc w:val="left"/>
              <w:rPr>
                <w:rFonts w:ascii="黑体" w:hAnsi="黑体" w:cs="黑体" w:eastAsia="黑体" w:hint="default"/>
                <w:sz w:val="18"/>
                <w:szCs w:val="18"/>
              </w:rPr>
            </w:pPr>
            <w:r>
              <w:rPr>
                <w:rFonts w:ascii="黑体" w:hAnsi="黑体" w:cs="黑体" w:eastAsia="黑体" w:hint="default"/>
                <w:sz w:val="18"/>
                <w:szCs w:val="18"/>
              </w:rPr>
              <w:t>公司法定代表人：晏群</w:t>
              <w:tab/>
              <w:t>主管会计工作负责人：梁侠</w:t>
              <w:tab/>
              <w:t>会计机构负责人：林小浓</w:t>
            </w:r>
          </w:p>
        </w:tc>
      </w:tr>
    </w:tbl>
    <w:p>
      <w:pPr>
        <w:spacing w:after="0" w:line="240" w:lineRule="auto"/>
        <w:jc w:val="left"/>
        <w:rPr>
          <w:rFonts w:ascii="黑体" w:hAnsi="黑体" w:cs="黑体" w:eastAsia="黑体" w:hint="default"/>
          <w:sz w:val="18"/>
          <w:szCs w:val="18"/>
        </w:rPr>
        <w:sectPr>
          <w:pgSz w:w="11910" w:h="16840"/>
          <w:pgMar w:header="877" w:footer="975" w:top="1100" w:bottom="1160" w:left="1660" w:right="980"/>
        </w:sectPr>
      </w:pPr>
    </w:p>
    <w:p>
      <w:pPr>
        <w:spacing w:line="240" w:lineRule="auto" w:before="0"/>
        <w:rPr>
          <w:rFonts w:ascii="Times New Roman" w:hAnsi="Times New Roman" w:cs="Times New Roman" w:eastAsia="Times New Roman" w:hint="default"/>
          <w:sz w:val="20"/>
          <w:szCs w:val="20"/>
        </w:rPr>
      </w:pPr>
      <w:r>
        <w:rPr/>
        <w:pict>
          <v:shape style="position:absolute;margin-left:62.880001pt;margin-top:90.905327pt;width:479.5pt;height:621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44"/>
                    <w:gridCol w:w="1132"/>
                    <w:gridCol w:w="1613"/>
                    <w:gridCol w:w="1800"/>
                  </w:tblGrid>
                  <w:tr>
                    <w:trPr>
                      <w:trHeight w:val="217" w:hRule="exact"/>
                    </w:trPr>
                    <w:tc>
                      <w:tcPr>
                        <w:tcW w:w="9589"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4" w:right="0"/>
                          <w:jc w:val="center"/>
                          <w:rPr>
                            <w:rFonts w:ascii="黑体" w:hAnsi="黑体" w:cs="黑体" w:eastAsia="黑体" w:hint="default"/>
                            <w:sz w:val="18"/>
                            <w:szCs w:val="18"/>
                          </w:rPr>
                        </w:pPr>
                        <w:r>
                          <w:rPr>
                            <w:rFonts w:ascii="黑体" w:hAnsi="黑体" w:cs="黑体" w:eastAsia="黑体" w:hint="default"/>
                            <w:b/>
                            <w:bCs/>
                            <w:sz w:val="18"/>
                            <w:szCs w:val="18"/>
                          </w:rPr>
                          <w:t>合并现金流量表</w:t>
                        </w:r>
                        <w:r>
                          <w:rPr>
                            <w:rFonts w:ascii="黑体" w:hAnsi="黑体" w:cs="黑体" w:eastAsia="黑体" w:hint="default"/>
                            <w:sz w:val="18"/>
                            <w:szCs w:val="18"/>
                          </w:rPr>
                        </w:r>
                      </w:p>
                    </w:tc>
                  </w:tr>
                  <w:tr>
                    <w:trPr>
                      <w:trHeight w:val="260" w:hRule="exact"/>
                    </w:trPr>
                    <w:tc>
                      <w:tcPr>
                        <w:tcW w:w="9589" w:type="dxa"/>
                        <w:gridSpan w:val="4"/>
                        <w:tcBorders>
                          <w:top w:val="nil" w:sz="6" w:space="0" w:color="auto"/>
                          <w:left w:val="nil" w:sz="6" w:space="0" w:color="auto"/>
                          <w:bottom w:val="nil" w:sz="6" w:space="0" w:color="auto"/>
                          <w:right w:val="nil" w:sz="6" w:space="0" w:color="auto"/>
                        </w:tcBorders>
                      </w:tcPr>
                      <w:p>
                        <w:pPr>
                          <w:pStyle w:val="TableParagraph"/>
                          <w:spacing w:line="231" w:lineRule="exact"/>
                          <w:ind w:left="5"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26" w:hRule="exact"/>
                    </w:trPr>
                    <w:tc>
                      <w:tcPr>
                        <w:tcW w:w="5044" w:type="dxa"/>
                        <w:tcBorders>
                          <w:top w:val="nil" w:sz="6" w:space="0" w:color="auto"/>
                          <w:left w:val="nil" w:sz="6" w:space="0" w:color="auto"/>
                          <w:bottom w:val="single" w:sz="4" w:space="0" w:color="000000"/>
                          <w:right w:val="nil" w:sz="6" w:space="0" w:color="auto"/>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1132" w:type="dxa"/>
                        <w:tcBorders>
                          <w:top w:val="nil" w:sz="6" w:space="0" w:color="auto"/>
                          <w:left w:val="nil" w:sz="6" w:space="0" w:color="auto"/>
                          <w:bottom w:val="single" w:sz="4" w:space="0" w:color="000000"/>
                          <w:right w:val="nil" w:sz="6" w:space="0" w:color="auto"/>
                        </w:tcBorders>
                      </w:tcPr>
                      <w:p>
                        <w:pPr/>
                      </w:p>
                    </w:tc>
                    <w:tc>
                      <w:tcPr>
                        <w:tcW w:w="3413"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1504"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294" w:hRule="exact"/>
                    </w:trPr>
                    <w:tc>
                      <w:tcPr>
                        <w:tcW w:w="5044" w:type="dxa"/>
                        <w:tcBorders>
                          <w:top w:val="single" w:sz="4" w:space="0" w:color="000000"/>
                          <w:left w:val="nil" w:sz="6" w:space="0" w:color="auto"/>
                          <w:bottom w:val="nil" w:sz="6" w:space="0" w:color="auto"/>
                          <w:right w:val="nil" w:sz="6" w:space="0" w:color="auto"/>
                        </w:tcBorders>
                      </w:tcPr>
                      <w:p>
                        <w:pPr>
                          <w:pStyle w:val="TableParagraph"/>
                          <w:tabs>
                            <w:tab w:pos="2158" w:val="left" w:leader="none"/>
                            <w:tab w:pos="4672"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宋体" w:hAnsi="宋体" w:cs="宋体" w:eastAsia="宋体" w:hint="default"/>
                            <w:b/>
                            <w:bCs/>
                            <w:sz w:val="18"/>
                            <w:szCs w:val="18"/>
                            <w:u w:val="single" w:color="000000"/>
                          </w:rPr>
                          <w:t>项目</w:t>
                          <w:tab/>
                        </w:r>
                        <w:r>
                          <w:rPr>
                            <w:rFonts w:ascii="宋体" w:hAnsi="宋体" w:cs="宋体" w:eastAsia="宋体" w:hint="default"/>
                            <w:b/>
                            <w:bCs/>
                            <w:sz w:val="18"/>
                            <w:szCs w:val="18"/>
                          </w:rPr>
                        </w:r>
                        <w:r>
                          <w:rPr>
                            <w:rFonts w:ascii="宋体" w:hAnsi="宋体" w:cs="宋体" w:eastAsia="宋体" w:hint="default"/>
                            <w:sz w:val="18"/>
                            <w:szCs w:val="18"/>
                          </w:rPr>
                        </w:r>
                      </w:p>
                    </w:tc>
                    <w:tc>
                      <w:tcPr>
                        <w:tcW w:w="1132" w:type="dxa"/>
                        <w:tcBorders>
                          <w:top w:val="single" w:sz="4" w:space="0" w:color="000000"/>
                          <w:left w:val="nil" w:sz="6" w:space="0" w:color="auto"/>
                          <w:bottom w:val="nil" w:sz="6" w:space="0" w:color="auto"/>
                          <w:right w:val="nil" w:sz="6" w:space="0" w:color="auto"/>
                        </w:tcBorders>
                      </w:tcPr>
                      <w:p>
                        <w:pPr>
                          <w:pStyle w:val="TableParagraph"/>
                          <w:tabs>
                            <w:tab w:pos="1000" w:val="left" w:leader="none"/>
                            <w:tab w:pos="1874" w:val="left" w:leader="none"/>
                          </w:tabs>
                          <w:spacing w:line="240" w:lineRule="auto" w:before="10"/>
                          <w:ind w:left="-12" w:right="-74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r>
                        <w:r>
                          <w:rPr>
                            <w:rFonts w:ascii="Times New Roman" w:hAnsi="Times New Roman" w:cs="Times New Roman" w:eastAsia="Times New Roman" w:hint="default"/>
                            <w:b/>
                            <w:bCs/>
                            <w:spacing w:val="-12"/>
                            <w:sz w:val="18"/>
                            <w:szCs w:val="18"/>
                            <w:u w:val="single" w:color="000000"/>
                          </w:rPr>
                          <w:t> </w:t>
                        </w:r>
                        <w:r>
                          <w:rPr>
                            <w:rFonts w:ascii="宋体" w:hAnsi="宋体" w:cs="宋体" w:eastAsia="宋体" w:hint="default"/>
                            <w:b/>
                            <w:bCs/>
                            <w:sz w:val="18"/>
                            <w:szCs w:val="18"/>
                            <w:u w:val="single" w:color="000000"/>
                          </w:rPr>
                          <w:t>附注五</w:t>
                        </w:r>
                        <w:r>
                          <w:rPr>
                            <w:rFonts w:ascii="宋体" w:hAnsi="宋体" w:cs="宋体" w:eastAsia="宋体" w:hint="default"/>
                            <w:b/>
                            <w:bCs/>
                            <w:spacing w:val="19"/>
                            <w:sz w:val="18"/>
                            <w:szCs w:val="18"/>
                            <w:u w:val="single" w:color="000000"/>
                          </w:rPr>
                          <w:t> </w:t>
                        </w:r>
                        <w:r>
                          <w:rPr>
                            <w:rFonts w:ascii="宋体" w:hAnsi="宋体" w:cs="宋体" w:eastAsia="宋体" w:hint="default"/>
                            <w:b/>
                            <w:bCs/>
                            <w:spacing w:val="19"/>
                            <w:sz w:val="18"/>
                            <w:szCs w:val="18"/>
                          </w:rPr>
                        </w:r>
                        <w:r>
                          <w:rPr>
                            <w:rFonts w:ascii="宋体" w:hAnsi="宋体" w:cs="宋体" w:eastAsia="宋体" w:hint="default"/>
                            <w:b/>
                            <w:bCs/>
                            <w:sz w:val="18"/>
                            <w:szCs w:val="18"/>
                          </w:rPr>
                          <w:tab/>
                        </w: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tc>
                    <w:tc>
                      <w:tcPr>
                        <w:tcW w:w="1613" w:type="dxa"/>
                        <w:tcBorders>
                          <w:top w:val="single" w:sz="4" w:space="0" w:color="000000"/>
                          <w:left w:val="nil" w:sz="6" w:space="0" w:color="auto"/>
                          <w:bottom w:val="nil" w:sz="6" w:space="0" w:color="auto"/>
                          <w:right w:val="nil" w:sz="6" w:space="0" w:color="auto"/>
                        </w:tcBorders>
                      </w:tcPr>
                      <w:p>
                        <w:pPr>
                          <w:pStyle w:val="TableParagraph"/>
                          <w:tabs>
                            <w:tab w:pos="869" w:val="left" w:leader="none"/>
                          </w:tabs>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2010</w:t>
                        </w:r>
                        <w:r>
                          <w:rPr>
                            <w:rFonts w:ascii="Times New Roman" w:hAnsi="Times New Roman" w:cs="Times New Roman" w:eastAsia="Times New Roman" w:hint="default"/>
                            <w:b/>
                            <w:bCs/>
                            <w:spacing w:val="-1"/>
                            <w:sz w:val="18"/>
                            <w:szCs w:val="18"/>
                            <w:u w:val="single" w:color="000000"/>
                          </w:rPr>
                          <w:t> </w:t>
                        </w:r>
                        <w:r>
                          <w:rPr>
                            <w:rFonts w:ascii="宋体" w:hAnsi="宋体" w:cs="宋体" w:eastAsia="宋体" w:hint="default"/>
                            <w:b/>
                            <w:bCs/>
                            <w:sz w:val="18"/>
                            <w:szCs w:val="18"/>
                            <w:u w:val="single" w:color="000000"/>
                          </w:rPr>
                          <w:t>年度</w:t>
                          <w:tab/>
                        </w:r>
                        <w:r>
                          <w:rPr>
                            <w:rFonts w:ascii="宋体" w:hAnsi="宋体" w:cs="宋体" w:eastAsia="宋体" w:hint="default"/>
                            <w:b/>
                            <w:bCs/>
                            <w:sz w:val="18"/>
                            <w:szCs w:val="18"/>
                          </w:rPr>
                        </w:r>
                        <w:r>
                          <w:rPr>
                            <w:rFonts w:ascii="宋体" w:hAnsi="宋体" w:cs="宋体" w:eastAsia="宋体" w:hint="default"/>
                            <w:sz w:val="18"/>
                            <w:szCs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694" w:val="left" w:leader="none"/>
                            <w:tab w:pos="1564" w:val="left" w:leader="none"/>
                          </w:tabs>
                          <w:spacing w:line="240" w:lineRule="auto" w:before="15"/>
                          <w:ind w:right="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t>2009</w:t>
                        </w:r>
                        <w:r>
                          <w:rPr>
                            <w:rFonts w:ascii="Times New Roman" w:hAnsi="Times New Roman" w:cs="Times New Roman" w:eastAsia="Times New Roman" w:hint="default"/>
                            <w:b/>
                            <w:bCs/>
                            <w:spacing w:val="-1"/>
                            <w:sz w:val="18"/>
                            <w:szCs w:val="18"/>
                            <w:u w:val="single" w:color="000000"/>
                          </w:rPr>
                          <w:t> </w:t>
                        </w:r>
                        <w:r>
                          <w:rPr>
                            <w:rFonts w:ascii="宋体" w:hAnsi="宋体" w:cs="宋体" w:eastAsia="宋体" w:hint="default"/>
                            <w:b/>
                            <w:bCs/>
                            <w:sz w:val="18"/>
                            <w:szCs w:val="18"/>
                            <w:u w:val="single" w:color="000000"/>
                          </w:rPr>
                          <w:t>年度</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24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r>
                    <w:trPr>
                      <w:trHeight w:val="254"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pacing w:val="-1"/>
                            <w:sz w:val="18"/>
                          </w:rPr>
                          <w:t>394,593,472.20</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3" w:right="0"/>
                          <w:jc w:val="left"/>
                          <w:rPr>
                            <w:rFonts w:ascii="Times New Roman" w:hAnsi="Times New Roman" w:cs="Times New Roman" w:eastAsia="Times New Roman" w:hint="default"/>
                            <w:sz w:val="18"/>
                            <w:szCs w:val="18"/>
                          </w:rPr>
                        </w:pPr>
                        <w:r>
                          <w:rPr>
                            <w:rFonts w:ascii="Times New Roman"/>
                            <w:sz w:val="18"/>
                          </w:rPr>
                          <w:t>331,619,927.50</w:t>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76" w:right="0"/>
                          <w:jc w:val="left"/>
                          <w:rPr>
                            <w:rFonts w:ascii="Times New Roman" w:hAnsi="Times New Roman" w:cs="Times New Roman" w:eastAsia="Times New Roman" w:hint="default"/>
                            <w:sz w:val="18"/>
                            <w:szCs w:val="18"/>
                          </w:rPr>
                        </w:pPr>
                        <w:r>
                          <w:rPr>
                            <w:rFonts w:ascii="Times New Roman"/>
                            <w:sz w:val="18"/>
                          </w:rPr>
                          <w:t>39,859.20</w:t>
                        </w:r>
                      </w:p>
                    </w:tc>
                  </w:tr>
                  <w:tr>
                    <w:trPr>
                      <w:trHeight w:val="260"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3" w:right="0"/>
                          <w:jc w:val="left"/>
                          <w:rPr>
                            <w:rFonts w:ascii="Times New Roman" w:hAnsi="Times New Roman" w:cs="Times New Roman" w:eastAsia="Times New Roman" w:hint="default"/>
                            <w:sz w:val="18"/>
                            <w:szCs w:val="18"/>
                          </w:rPr>
                        </w:pPr>
                        <w:r>
                          <w:rPr>
                            <w:rFonts w:ascii="Times New Roman"/>
                            <w:sz w:val="18"/>
                          </w:rPr>
                          <w:t>42</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spacing w:val="-1"/>
                            <w:sz w:val="18"/>
                          </w:rPr>
                          <w:t>60,992,350.53</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2" w:right="0"/>
                          <w:jc w:val="left"/>
                          <w:rPr>
                            <w:rFonts w:ascii="Times New Roman" w:hAnsi="Times New Roman" w:cs="Times New Roman" w:eastAsia="Times New Roman" w:hint="default"/>
                            <w:sz w:val="18"/>
                            <w:szCs w:val="18"/>
                          </w:rPr>
                        </w:pPr>
                        <w:r>
                          <w:rPr>
                            <w:rFonts w:ascii="Times New Roman"/>
                            <w:sz w:val="18"/>
                          </w:rPr>
                          <w:t>4,408,854.20</w:t>
                        </w:r>
                      </w:p>
                    </w:tc>
                  </w:tr>
                  <w:tr>
                    <w:trPr>
                      <w:trHeight w:val="262"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9" w:lineRule="exact"/>
                          <w:ind w:left="1436"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Style w:val="TableParagraph"/>
                          <w:tabs>
                            <w:tab w:pos="1518" w:val="left" w:leader="none"/>
                            <w:tab w:pos="2744" w:val="left" w:leader="none"/>
                          </w:tabs>
                          <w:spacing w:line="240" w:lineRule="auto" w:before="27"/>
                          <w:ind w:left="1000" w:right="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t>455,585,822.73</w:t>
                          <w:tab/>
                        </w:r>
                        <w:r>
                          <w:rPr>
                            <w:rFonts w:ascii="Times New Roman"/>
                            <w:b/>
                            <w:sz w:val="18"/>
                          </w:rPr>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338" w:val="left" w:leader="none"/>
                            <w:tab w:pos="1564" w:val="left" w:leader="none"/>
                          </w:tabs>
                          <w:spacing w:line="240" w:lineRule="auto" w:before="26"/>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r>
                        <w:r>
                          <w:rPr>
                            <w:rFonts w:ascii="Times New Roman"/>
                            <w:b/>
                            <w:spacing w:val="-1"/>
                            <w:sz w:val="18"/>
                            <w:u w:val="single" w:color="000000"/>
                          </w:rPr>
                          <w:t>336,068,640.90</w:t>
                          <w:tab/>
                        </w:r>
                        <w:r>
                          <w:rPr>
                            <w:rFonts w:ascii="Times New Roman"/>
                            <w:b/>
                            <w:spacing w:val="-1"/>
                            <w:sz w:val="18"/>
                          </w:rPr>
                        </w:r>
                        <w:r>
                          <w:rPr>
                            <w:rFonts w:ascii="Times New Roman"/>
                            <w:spacing w:val="-1"/>
                            <w:sz w:val="18"/>
                          </w:rPr>
                        </w:r>
                      </w:p>
                    </w:tc>
                  </w:tr>
                  <w:tr>
                    <w:trPr>
                      <w:trHeight w:val="248"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1518" w:right="0"/>
                          <w:jc w:val="left"/>
                          <w:rPr>
                            <w:rFonts w:ascii="Times New Roman" w:hAnsi="Times New Roman" w:cs="Times New Roman" w:eastAsia="Times New Roman" w:hint="default"/>
                            <w:sz w:val="18"/>
                            <w:szCs w:val="18"/>
                          </w:rPr>
                        </w:pPr>
                        <w:r>
                          <w:rPr>
                            <w:rFonts w:ascii="Times New Roman"/>
                            <w:sz w:val="18"/>
                          </w:rPr>
                          <w:t>306,819,808.10</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3" w:right="0"/>
                          <w:jc w:val="left"/>
                          <w:rPr>
                            <w:rFonts w:ascii="Times New Roman" w:hAnsi="Times New Roman" w:cs="Times New Roman" w:eastAsia="Times New Roman" w:hint="default"/>
                            <w:sz w:val="18"/>
                            <w:szCs w:val="18"/>
                          </w:rPr>
                        </w:pPr>
                        <w:r>
                          <w:rPr>
                            <w:rFonts w:ascii="Times New Roman"/>
                            <w:sz w:val="18"/>
                          </w:rPr>
                          <w:t>255,476,715.29</w:t>
                        </w:r>
                      </w:p>
                    </w:tc>
                  </w:tr>
                  <w:tr>
                    <w:trPr>
                      <w:trHeight w:val="250"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09" w:lineRule="exact"/>
                          <w:ind w:left="28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39,135,011.42</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62" w:right="0"/>
                          <w:jc w:val="left"/>
                          <w:rPr>
                            <w:rFonts w:ascii="Times New Roman" w:hAnsi="Times New Roman" w:cs="Times New Roman" w:eastAsia="Times New Roman" w:hint="default"/>
                            <w:sz w:val="18"/>
                            <w:szCs w:val="18"/>
                          </w:rPr>
                        </w:pPr>
                        <w:r>
                          <w:rPr>
                            <w:rFonts w:ascii="Times New Roman"/>
                            <w:sz w:val="18"/>
                          </w:rPr>
                          <w:t>32,005,832.22</w:t>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spacing w:val="-1"/>
                            <w:sz w:val="18"/>
                          </w:rPr>
                          <w:t>14,230,402.11</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2" w:right="0"/>
                          <w:jc w:val="left"/>
                          <w:rPr>
                            <w:rFonts w:ascii="Times New Roman" w:hAnsi="Times New Roman" w:cs="Times New Roman" w:eastAsia="Times New Roman" w:hint="default"/>
                            <w:sz w:val="18"/>
                            <w:szCs w:val="18"/>
                          </w:rPr>
                        </w:pPr>
                        <w:r>
                          <w:rPr>
                            <w:rFonts w:ascii="Times New Roman"/>
                            <w:sz w:val="18"/>
                          </w:rPr>
                          <w:t>9,429,781.81</w:t>
                        </w:r>
                      </w:p>
                    </w:tc>
                  </w:tr>
                  <w:tr>
                    <w:trPr>
                      <w:trHeight w:val="260"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3" w:right="0"/>
                          <w:jc w:val="left"/>
                          <w:rPr>
                            <w:rFonts w:ascii="Times New Roman" w:hAnsi="Times New Roman" w:cs="Times New Roman" w:eastAsia="Times New Roman" w:hint="default"/>
                            <w:sz w:val="18"/>
                            <w:szCs w:val="18"/>
                          </w:rPr>
                        </w:pPr>
                        <w:r>
                          <w:rPr>
                            <w:rFonts w:ascii="Times New Roman"/>
                            <w:sz w:val="18"/>
                          </w:rPr>
                          <w:t>42</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spacing w:val="-1"/>
                            <w:sz w:val="18"/>
                          </w:rPr>
                          <w:t>55,055,425.14</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62" w:right="0"/>
                          <w:jc w:val="left"/>
                          <w:rPr>
                            <w:rFonts w:ascii="Times New Roman" w:hAnsi="Times New Roman" w:cs="Times New Roman" w:eastAsia="Times New Roman" w:hint="default"/>
                            <w:sz w:val="18"/>
                            <w:szCs w:val="18"/>
                          </w:rPr>
                        </w:pPr>
                        <w:r>
                          <w:rPr>
                            <w:rFonts w:ascii="Times New Roman"/>
                            <w:sz w:val="18"/>
                          </w:rPr>
                          <w:t>38,896,498.77</w:t>
                        </w:r>
                      </w:p>
                    </w:tc>
                  </w:tr>
                  <w:tr>
                    <w:trPr>
                      <w:trHeight w:val="262"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8" w:lineRule="exact"/>
                          <w:ind w:left="1436"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Style w:val="TableParagraph"/>
                          <w:tabs>
                            <w:tab w:pos="1518" w:val="left" w:leader="none"/>
                            <w:tab w:pos="2744" w:val="left" w:leader="none"/>
                          </w:tabs>
                          <w:spacing w:line="240" w:lineRule="auto" w:before="26"/>
                          <w:ind w:left="1000" w:right="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t>415,240,646.77</w:t>
                          <w:tab/>
                        </w:r>
                        <w:r>
                          <w:rPr>
                            <w:rFonts w:ascii="Times New Roman"/>
                            <w:b/>
                            <w:sz w:val="18"/>
                          </w:rPr>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338" w:val="left" w:leader="none"/>
                            <w:tab w:pos="1564" w:val="left" w:leader="none"/>
                          </w:tabs>
                          <w:spacing w:line="240" w:lineRule="auto" w:before="26"/>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r>
                        <w:r>
                          <w:rPr>
                            <w:rFonts w:ascii="Times New Roman"/>
                            <w:b/>
                            <w:spacing w:val="-1"/>
                            <w:sz w:val="18"/>
                            <w:u w:val="single" w:color="000000"/>
                          </w:rPr>
                          <w:t>335,808,828.09</w:t>
                          <w:tab/>
                        </w:r>
                        <w:r>
                          <w:rPr>
                            <w:rFonts w:ascii="Times New Roman"/>
                            <w:b/>
                            <w:spacing w:val="-1"/>
                            <w:sz w:val="18"/>
                          </w:rPr>
                        </w:r>
                        <w:r>
                          <w:rPr>
                            <w:rFonts w:ascii="Times New Roman"/>
                            <w:spacing w:val="-1"/>
                            <w:sz w:val="18"/>
                          </w:rPr>
                        </w:r>
                      </w:p>
                    </w:tc>
                  </w:tr>
                  <w:tr>
                    <w:trPr>
                      <w:trHeight w:val="273"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2" w:lineRule="exact"/>
                          <w:ind w:left="116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Style w:val="TableParagraph"/>
                          <w:tabs>
                            <w:tab w:pos="1607" w:val="left" w:leader="none"/>
                            <w:tab w:pos="2744" w:val="left" w:leader="none"/>
                          </w:tabs>
                          <w:spacing w:line="240" w:lineRule="auto" w:before="20"/>
                          <w:ind w:left="1000" w:right="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thick" w:color="000000"/>
                          </w:rPr>
                          <w:t> </w:t>
                          <w:tab/>
                          <w:t>40,345,175.96</w:t>
                          <w:tab/>
                        </w:r>
                        <w:r>
                          <w:rPr>
                            <w:rFonts w:ascii="Times New Roman"/>
                            <w:b/>
                            <w:sz w:val="18"/>
                          </w:rPr>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651" w:val="left" w:leader="none"/>
                            <w:tab w:pos="1564" w:val="left" w:leader="none"/>
                          </w:tabs>
                          <w:spacing w:line="240" w:lineRule="auto" w:before="20"/>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thick" w:color="000000"/>
                          </w:rPr>
                          <w:t> </w:t>
                          <w:tab/>
                          <w:t>259,812.81</w:t>
                          <w:tab/>
                        </w:r>
                        <w:r>
                          <w:rPr>
                            <w:rFonts w:ascii="Times New Roman"/>
                            <w:b/>
                            <w:sz w:val="18"/>
                          </w:rPr>
                        </w:r>
                        <w:r>
                          <w:rPr>
                            <w:rFonts w:ascii="Times New Roman"/>
                            <w:sz w:val="18"/>
                          </w:rPr>
                        </w:r>
                      </w:p>
                    </w:tc>
                  </w:tr>
                  <w:tr>
                    <w:trPr>
                      <w:trHeight w:val="24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r>
                    <w:trPr>
                      <w:trHeight w:val="236"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195" w:lineRule="exact"/>
                          <w:ind w:left="28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sz w:val="18"/>
                          </w:rPr>
                          <w:t>70,032.81</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86" w:right="0"/>
                          <w:jc w:val="left"/>
                          <w:rPr>
                            <w:rFonts w:ascii="Times New Roman" w:hAnsi="Times New Roman" w:cs="Times New Roman" w:eastAsia="Times New Roman" w:hint="default"/>
                            <w:sz w:val="18"/>
                            <w:szCs w:val="18"/>
                          </w:rPr>
                        </w:pPr>
                        <w:r>
                          <w:rPr>
                            <w:rFonts w:ascii="Times New Roman"/>
                            <w:sz w:val="18"/>
                          </w:rPr>
                          <w:t>738,227.80</w:t>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处置固定资产、无形资产和其他长期资产所收回的现金净额</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spacing w:val="-1"/>
                            <w:sz w:val="18"/>
                          </w:rPr>
                          <w:t>1,669,204.36</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76" w:right="0"/>
                          <w:jc w:val="left"/>
                          <w:rPr>
                            <w:rFonts w:ascii="Times New Roman" w:hAnsi="Times New Roman" w:cs="Times New Roman" w:eastAsia="Times New Roman" w:hint="default"/>
                            <w:sz w:val="18"/>
                            <w:szCs w:val="18"/>
                          </w:rPr>
                        </w:pPr>
                        <w:r>
                          <w:rPr>
                            <w:rFonts w:ascii="Times New Roman"/>
                            <w:sz w:val="18"/>
                          </w:rPr>
                          <w:t>19,800.00</w:t>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0"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7"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1"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8" w:lineRule="exact"/>
                          <w:ind w:left="1436"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Style w:val="TableParagraph"/>
                          <w:tabs>
                            <w:tab w:pos="1697" w:val="left" w:leader="none"/>
                            <w:tab w:pos="2744" w:val="left" w:leader="none"/>
                          </w:tabs>
                          <w:spacing w:line="240" w:lineRule="auto" w:before="26"/>
                          <w:ind w:left="1000" w:right="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t>1,739,237.17</w:t>
                          <w:tab/>
                        </w:r>
                        <w:r>
                          <w:rPr>
                            <w:rFonts w:ascii="Times New Roman"/>
                            <w:b/>
                            <w:sz w:val="18"/>
                          </w:rPr>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651" w:val="left" w:leader="none"/>
                            <w:tab w:pos="1564" w:val="left" w:leader="none"/>
                          </w:tabs>
                          <w:spacing w:line="240" w:lineRule="auto" w:before="26"/>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t>758,027.80</w:t>
                          <w:tab/>
                        </w:r>
                        <w:r>
                          <w:rPr>
                            <w:rFonts w:ascii="Times New Roman"/>
                            <w:b/>
                            <w:sz w:val="18"/>
                          </w:rPr>
                        </w:r>
                        <w:r>
                          <w:rPr>
                            <w:rFonts w:ascii="Times New Roman"/>
                            <w:sz w:val="18"/>
                          </w:rPr>
                        </w:r>
                      </w:p>
                    </w:tc>
                  </w:tr>
                  <w:tr>
                    <w:trPr>
                      <w:trHeight w:val="248"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2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1697" w:right="0"/>
                          <w:jc w:val="left"/>
                          <w:rPr>
                            <w:rFonts w:ascii="Times New Roman" w:hAnsi="Times New Roman" w:cs="Times New Roman" w:eastAsia="Times New Roman" w:hint="default"/>
                            <w:sz w:val="18"/>
                            <w:szCs w:val="18"/>
                          </w:rPr>
                        </w:pPr>
                        <w:r>
                          <w:rPr>
                            <w:rFonts w:ascii="Times New Roman"/>
                            <w:sz w:val="18"/>
                          </w:rPr>
                          <w:t>2,789,179.18</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52" w:right="0"/>
                          <w:jc w:val="left"/>
                          <w:rPr>
                            <w:rFonts w:ascii="Times New Roman" w:hAnsi="Times New Roman" w:cs="Times New Roman" w:eastAsia="Times New Roman" w:hint="default"/>
                            <w:sz w:val="18"/>
                            <w:szCs w:val="18"/>
                          </w:rPr>
                        </w:pPr>
                        <w:r>
                          <w:rPr>
                            <w:rFonts w:ascii="Times New Roman"/>
                            <w:sz w:val="18"/>
                          </w:rPr>
                          <w:t>1,022,016.30</w:t>
                        </w:r>
                      </w:p>
                    </w:tc>
                  </w:tr>
                  <w:tr>
                    <w:trPr>
                      <w:trHeight w:val="250"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09" w:lineRule="exact"/>
                          <w:ind w:left="28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0"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9" w:lineRule="exact"/>
                          <w:ind w:left="1436"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Style w:val="TableParagraph"/>
                          <w:tabs>
                            <w:tab w:pos="1697" w:val="left" w:leader="none"/>
                            <w:tab w:pos="2744" w:val="left" w:leader="none"/>
                          </w:tabs>
                          <w:spacing w:line="240" w:lineRule="auto" w:before="27"/>
                          <w:ind w:left="1000" w:right="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t>2,789,179.18</w:t>
                          <w:tab/>
                        </w:r>
                        <w:r>
                          <w:rPr>
                            <w:rFonts w:ascii="Times New Roman"/>
                            <w:b/>
                            <w:sz w:val="18"/>
                          </w:rPr>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517" w:val="left" w:leader="none"/>
                            <w:tab w:pos="1564" w:val="left" w:leader="none"/>
                          </w:tabs>
                          <w:spacing w:line="240" w:lineRule="auto" w:before="26"/>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r>
                        <w:r>
                          <w:rPr>
                            <w:rFonts w:ascii="Times New Roman"/>
                            <w:b/>
                            <w:spacing w:val="-1"/>
                            <w:sz w:val="18"/>
                            <w:u w:val="single" w:color="000000"/>
                          </w:rPr>
                          <w:t>1,022,016.30</w:t>
                          <w:tab/>
                        </w:r>
                        <w:r>
                          <w:rPr>
                            <w:rFonts w:ascii="Times New Roman"/>
                            <w:b/>
                            <w:spacing w:val="-1"/>
                            <w:sz w:val="18"/>
                          </w:rPr>
                        </w:r>
                        <w:r>
                          <w:rPr>
                            <w:rFonts w:ascii="Times New Roman"/>
                            <w:spacing w:val="-1"/>
                            <w:sz w:val="18"/>
                          </w:rPr>
                        </w:r>
                      </w:p>
                    </w:tc>
                  </w:tr>
                  <w:tr>
                    <w:trPr>
                      <w:trHeight w:val="273"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2" w:lineRule="exact"/>
                          <w:ind w:left="1165"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Style w:val="TableParagraph"/>
                          <w:tabs>
                            <w:tab w:pos="1637" w:val="left" w:leader="none"/>
                            <w:tab w:pos="2744" w:val="left" w:leader="none"/>
                          </w:tabs>
                          <w:spacing w:line="240" w:lineRule="auto" w:before="19"/>
                          <w:ind w:left="1000" w:right="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thick" w:color="000000"/>
                          </w:rPr>
                          <w:t> </w:t>
                          <w:tab/>
                          <w:t>-1,049,942.01</w:t>
                          <w:tab/>
                        </w:r>
                        <w:r>
                          <w:rPr>
                            <w:rFonts w:ascii="Times New Roman"/>
                            <w:b/>
                            <w:sz w:val="18"/>
                          </w:rPr>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591" w:val="left" w:leader="none"/>
                            <w:tab w:pos="1564" w:val="left" w:leader="none"/>
                          </w:tabs>
                          <w:spacing w:line="240" w:lineRule="auto" w:before="19"/>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thick" w:color="000000"/>
                          </w:rPr>
                          <w:t> </w:t>
                          <w:tab/>
                        </w:r>
                        <w:r>
                          <w:rPr>
                            <w:rFonts w:ascii="Times New Roman"/>
                            <w:b/>
                            <w:spacing w:val="-1"/>
                            <w:sz w:val="18"/>
                            <w:u w:val="thick" w:color="000000"/>
                          </w:rPr>
                          <w:t>-263,988.50</w:t>
                          <w:tab/>
                        </w:r>
                        <w:r>
                          <w:rPr>
                            <w:rFonts w:ascii="Times New Roman"/>
                            <w:b/>
                            <w:spacing w:val="-1"/>
                            <w:sz w:val="18"/>
                          </w:rPr>
                        </w:r>
                        <w:r>
                          <w:rPr>
                            <w:rFonts w:ascii="Times New Roman"/>
                            <w:spacing w:val="-1"/>
                            <w:sz w:val="18"/>
                          </w:rPr>
                        </w:r>
                      </w:p>
                    </w:tc>
                  </w:tr>
                  <w:tr>
                    <w:trPr>
                      <w:trHeight w:val="24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r>
                    <w:trPr>
                      <w:trHeight w:val="236"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194" w:lineRule="exact"/>
                          <w:ind w:left="28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0"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8" w:lineRule="exact"/>
                          <w:ind w:left="1436"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Style w:val="TableParagraph"/>
                          <w:tabs>
                            <w:tab w:pos="2582" w:val="left" w:leader="none"/>
                            <w:tab w:pos="2744" w:val="left" w:leader="none"/>
                          </w:tabs>
                          <w:spacing w:line="240" w:lineRule="auto" w:before="26"/>
                          <w:ind w:left="1000" w:right="-1"/>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t>-</w:t>
                          <w:tab/>
                        </w:r>
                        <w:r>
                          <w:rPr>
                            <w:rFonts w:ascii="Times New Roman"/>
                            <w:b/>
                            <w:sz w:val="18"/>
                          </w:rPr>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1402" w:val="left" w:leader="none"/>
                          </w:tabs>
                          <w:spacing w:line="240" w:lineRule="auto" w:before="26"/>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t>-</w:t>
                          <w:tab/>
                        </w:r>
                        <w:r>
                          <w:rPr>
                            <w:rFonts w:ascii="Times New Roman"/>
                            <w:b/>
                            <w:sz w:val="18"/>
                          </w:rPr>
                        </w:r>
                        <w:r>
                          <w:rPr>
                            <w:rFonts w:ascii="Times New Roman"/>
                            <w:sz w:val="18"/>
                          </w:rPr>
                        </w:r>
                      </w:p>
                    </w:tc>
                  </w:tr>
                  <w:tr>
                    <w:trPr>
                      <w:trHeight w:val="248"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52" w:right="0"/>
                          <w:jc w:val="left"/>
                          <w:rPr>
                            <w:rFonts w:ascii="Times New Roman" w:hAnsi="Times New Roman" w:cs="Times New Roman" w:eastAsia="Times New Roman" w:hint="default"/>
                            <w:sz w:val="18"/>
                            <w:szCs w:val="18"/>
                          </w:rPr>
                        </w:pPr>
                        <w:r>
                          <w:rPr>
                            <w:rFonts w:ascii="Times New Roman"/>
                            <w:sz w:val="18"/>
                          </w:rPr>
                          <w:t>2,910,707.66</w:t>
                        </w:r>
                      </w:p>
                    </w:tc>
                  </w:tr>
                  <w:tr>
                    <w:trPr>
                      <w:trHeight w:val="250"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09" w:lineRule="exact"/>
                          <w:ind w:left="28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76" w:right="0"/>
                          <w:jc w:val="left"/>
                          <w:rPr>
                            <w:rFonts w:ascii="Times New Roman" w:hAnsi="Times New Roman" w:cs="Times New Roman" w:eastAsia="Times New Roman" w:hint="default"/>
                            <w:sz w:val="18"/>
                            <w:szCs w:val="18"/>
                          </w:rPr>
                        </w:pPr>
                        <w:r>
                          <w:rPr>
                            <w:rFonts w:ascii="Times New Roman"/>
                            <w:sz w:val="18"/>
                          </w:rPr>
                          <w:t>35,800.66</w:t>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0"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4"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9" w:lineRule="exact"/>
                          <w:ind w:left="1436"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Style w:val="TableParagraph"/>
                          <w:tabs>
                            <w:tab w:pos="2582" w:val="left" w:leader="none"/>
                            <w:tab w:pos="2744" w:val="left" w:leader="none"/>
                          </w:tabs>
                          <w:spacing w:line="240" w:lineRule="auto" w:before="27"/>
                          <w:ind w:left="1000" w:right="-1"/>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t>-</w:t>
                          <w:tab/>
                        </w:r>
                        <w:r>
                          <w:rPr>
                            <w:rFonts w:ascii="Times New Roman"/>
                            <w:b/>
                            <w:sz w:val="18"/>
                          </w:rPr>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517" w:val="left" w:leader="none"/>
                            <w:tab w:pos="1564" w:val="left" w:leader="none"/>
                          </w:tabs>
                          <w:spacing w:line="240" w:lineRule="auto" w:before="27"/>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r>
                        <w:r>
                          <w:rPr>
                            <w:rFonts w:ascii="Times New Roman"/>
                            <w:b/>
                            <w:spacing w:val="-1"/>
                            <w:sz w:val="18"/>
                            <w:u w:val="single" w:color="000000"/>
                          </w:rPr>
                          <w:t>2,946,508.32</w:t>
                          <w:tab/>
                        </w:r>
                        <w:r>
                          <w:rPr>
                            <w:rFonts w:ascii="Times New Roman"/>
                            <w:b/>
                            <w:spacing w:val="-1"/>
                            <w:sz w:val="18"/>
                          </w:rPr>
                        </w:r>
                        <w:r>
                          <w:rPr>
                            <w:rFonts w:ascii="Times New Roman"/>
                            <w:spacing w:val="-1"/>
                            <w:sz w:val="18"/>
                          </w:rPr>
                        </w:r>
                      </w:p>
                    </w:tc>
                  </w:tr>
                  <w:tr>
                    <w:trPr>
                      <w:trHeight w:val="273"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12" w:lineRule="exact"/>
                          <w:ind w:left="1165"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745" w:type="dxa"/>
                        <w:gridSpan w:val="2"/>
                        <w:tcBorders>
                          <w:top w:val="nil" w:sz="6" w:space="0" w:color="auto"/>
                          <w:left w:val="nil" w:sz="6" w:space="0" w:color="auto"/>
                          <w:bottom w:val="nil" w:sz="6" w:space="0" w:color="auto"/>
                          <w:right w:val="nil" w:sz="6" w:space="0" w:color="auto"/>
                        </w:tcBorders>
                      </w:tcPr>
                      <w:p>
                        <w:pPr>
                          <w:pStyle w:val="TableParagraph"/>
                          <w:tabs>
                            <w:tab w:pos="2582" w:val="left" w:leader="none"/>
                            <w:tab w:pos="2744" w:val="left" w:leader="none"/>
                          </w:tabs>
                          <w:spacing w:line="240" w:lineRule="auto" w:before="19"/>
                          <w:ind w:left="1000" w:right="-1"/>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thick" w:color="000000"/>
                          </w:rPr>
                          <w:t> </w:t>
                          <w:tab/>
                          <w:t>-</w:t>
                          <w:tab/>
                        </w:r>
                        <w:r>
                          <w:rPr>
                            <w:rFonts w:ascii="Times New Roman"/>
                            <w:b/>
                            <w:sz w:val="18"/>
                          </w:rPr>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457" w:val="left" w:leader="none"/>
                            <w:tab w:pos="1564" w:val="left" w:leader="none"/>
                          </w:tabs>
                          <w:spacing w:line="240" w:lineRule="auto" w:before="19"/>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thick" w:color="000000"/>
                          </w:rPr>
                          <w:t> </w:t>
                          <w:tab/>
                        </w:r>
                        <w:r>
                          <w:rPr>
                            <w:rFonts w:ascii="Times New Roman"/>
                            <w:b/>
                            <w:spacing w:val="-1"/>
                            <w:sz w:val="18"/>
                            <w:u w:val="thick" w:color="000000"/>
                          </w:rPr>
                          <w:t>-2,946,508.32</w:t>
                          <w:tab/>
                        </w:r>
                        <w:r>
                          <w:rPr>
                            <w:rFonts w:ascii="Times New Roman"/>
                            <w:b/>
                            <w:spacing w:val="-1"/>
                            <w:sz w:val="18"/>
                          </w:rPr>
                        </w:r>
                        <w:r>
                          <w:rPr>
                            <w:rFonts w:ascii="Times New Roman"/>
                            <w:spacing w:val="-1"/>
                            <w:sz w:val="18"/>
                          </w:rPr>
                        </w:r>
                      </w:p>
                    </w:tc>
                  </w:tr>
                  <w:tr>
                    <w:trPr>
                      <w:trHeight w:val="253"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19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132" w:type="dxa"/>
                        <w:tcBorders>
                          <w:top w:val="nil" w:sz="6" w:space="0" w:color="auto"/>
                          <w:left w:val="nil" w:sz="6" w:space="0" w:color="auto"/>
                          <w:bottom w:val="nil" w:sz="6" w:space="0" w:color="auto"/>
                          <w:right w:val="nil" w:sz="6" w:space="0" w:color="auto"/>
                        </w:tcBorders>
                      </w:tcPr>
                      <w:p>
                        <w:pPr>
                          <w:pStyle w:val="TableParagraph"/>
                          <w:tabs>
                            <w:tab w:pos="1000" w:val="left" w:leader="none"/>
                            <w:tab w:pos="1607" w:val="left" w:leader="none"/>
                          </w:tabs>
                          <w:spacing w:line="240" w:lineRule="auto" w:before="3"/>
                          <w:ind w:left="293" w:right="-476"/>
                          <w:jc w:val="left"/>
                          <w:rPr>
                            <w:rFonts w:ascii="Times New Roman" w:hAnsi="Times New Roman" w:cs="Times New Roman" w:eastAsia="Times New Roman" w:hint="default"/>
                            <w:sz w:val="18"/>
                            <w:szCs w:val="18"/>
                          </w:rPr>
                        </w:pPr>
                        <w:r>
                          <w:rPr>
                            <w:rFonts w:ascii="Times New Roman"/>
                            <w:sz w:val="18"/>
                          </w:rPr>
                          <w:t>43</w:t>
                          <w:tab/>
                        </w:r>
                        <w:r>
                          <w:rPr>
                            <w:rFonts w:ascii="Times New Roman"/>
                            <w:b/>
                            <w:sz w:val="18"/>
                          </w:rPr>
                        </w:r>
                        <w:r>
                          <w:rPr>
                            <w:rFonts w:ascii="Times New Roman"/>
                            <w:b/>
                            <w:sz w:val="18"/>
                            <w:u w:val="thick" w:color="000000"/>
                          </w:rPr>
                          <w:t> </w:t>
                          <w:tab/>
                        </w:r>
                        <w:r>
                          <w:rPr>
                            <w:rFonts w:ascii="Times New Roman"/>
                            <w:b/>
                            <w:sz w:val="18"/>
                          </w:rPr>
                        </w:r>
                        <w:r>
                          <w:rPr>
                            <w:rFonts w:ascii="Times New Roman"/>
                            <w:sz w:val="18"/>
                          </w:rPr>
                        </w:r>
                      </w:p>
                    </w:tc>
                    <w:tc>
                      <w:tcPr>
                        <w:tcW w:w="1613"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0" w:lineRule="auto" w:before="3"/>
                          <w:ind w:right="0"/>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thick" w:color="000000"/>
                          </w:rPr>
                          <w:t>39,295,233.95</w:t>
                          <w:tab/>
                        </w:r>
                        <w:r>
                          <w:rPr>
                            <w:rFonts w:ascii="Times New Roman"/>
                            <w:b/>
                            <w:spacing w:val="-1"/>
                            <w:sz w:val="18"/>
                          </w:rPr>
                        </w:r>
                        <w:r>
                          <w:rPr>
                            <w:rFonts w:ascii="Times New Roman"/>
                            <w:spacing w:val="-1"/>
                            <w:sz w:val="18"/>
                          </w:rPr>
                        </w:r>
                      </w:p>
                    </w:tc>
                    <w:tc>
                      <w:tcPr>
                        <w:tcW w:w="1800" w:type="dxa"/>
                        <w:tcBorders>
                          <w:top w:val="nil" w:sz="6" w:space="0" w:color="auto"/>
                          <w:left w:val="nil" w:sz="6" w:space="0" w:color="auto"/>
                          <w:bottom w:val="nil" w:sz="6" w:space="0" w:color="auto"/>
                          <w:right w:val="nil" w:sz="6" w:space="0" w:color="auto"/>
                        </w:tcBorders>
                      </w:tcPr>
                      <w:p>
                        <w:pPr>
                          <w:pStyle w:val="TableParagraph"/>
                          <w:tabs>
                            <w:tab w:pos="457" w:val="left" w:leader="none"/>
                            <w:tab w:pos="1564" w:val="left" w:leader="none"/>
                          </w:tabs>
                          <w:spacing w:line="240" w:lineRule="auto" w:before="3"/>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thick" w:color="000000"/>
                          </w:rPr>
                          <w:t> </w:t>
                          <w:tab/>
                        </w:r>
                        <w:r>
                          <w:rPr>
                            <w:rFonts w:ascii="Times New Roman"/>
                            <w:b/>
                            <w:spacing w:val="-1"/>
                            <w:sz w:val="18"/>
                            <w:u w:val="thick" w:color="000000"/>
                          </w:rPr>
                          <w:t>-2,950,684.01</w:t>
                          <w:tab/>
                        </w:r>
                        <w:r>
                          <w:rPr>
                            <w:rFonts w:ascii="Times New Roman"/>
                            <w:b/>
                            <w:spacing w:val="-1"/>
                            <w:sz w:val="18"/>
                          </w:rPr>
                        </w:r>
                        <w:r>
                          <w:rPr>
                            <w:rFonts w:ascii="Times New Roman"/>
                            <w:spacing w:val="-1"/>
                            <w:sz w:val="18"/>
                          </w:rPr>
                        </w:r>
                      </w:p>
                    </w:tc>
                  </w:tr>
                  <w:tr>
                    <w:trPr>
                      <w:trHeight w:val="255"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30" w:lineRule="exact"/>
                          <w:ind w:left="287"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32"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pacing w:val="-1"/>
                            <w:sz w:val="18"/>
                          </w:rPr>
                          <w:t>25,271,129.16</w:t>
                        </w:r>
                        <w:r>
                          <w:rPr>
                            <w:rFonts w:ascii="Times New Roman"/>
                            <w:spacing w:val="-1"/>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62" w:right="0"/>
                          <w:jc w:val="left"/>
                          <w:rPr>
                            <w:rFonts w:ascii="Times New Roman" w:hAnsi="Times New Roman" w:cs="Times New Roman" w:eastAsia="Times New Roman" w:hint="default"/>
                            <w:sz w:val="18"/>
                            <w:szCs w:val="18"/>
                          </w:rPr>
                        </w:pPr>
                        <w:r>
                          <w:rPr>
                            <w:rFonts w:ascii="Times New Roman"/>
                            <w:b/>
                            <w:sz w:val="18"/>
                          </w:rPr>
                          <w:t>28,221,813.17</w:t>
                        </w:r>
                        <w:r>
                          <w:rPr>
                            <w:rFonts w:ascii="Times New Roman"/>
                            <w:sz w:val="18"/>
                          </w:rPr>
                        </w:r>
                      </w:p>
                    </w:tc>
                  </w:tr>
                  <w:tr>
                    <w:trPr>
                      <w:trHeight w:val="453" w:hRule="exact"/>
                    </w:trPr>
                    <w:tc>
                      <w:tcPr>
                        <w:tcW w:w="5044" w:type="dxa"/>
                        <w:tcBorders>
                          <w:top w:val="nil" w:sz="6" w:space="0" w:color="auto"/>
                          <w:left w:val="nil" w:sz="6" w:space="0" w:color="auto"/>
                          <w:bottom w:val="single" w:sz="4" w:space="0" w:color="000000"/>
                          <w:right w:val="nil" w:sz="6" w:space="0" w:color="auto"/>
                        </w:tcBorders>
                      </w:tcPr>
                      <w:p>
                        <w:pPr>
                          <w:pStyle w:val="TableParagraph"/>
                          <w:spacing w:line="194"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745" w:type="dxa"/>
                        <w:gridSpan w:val="2"/>
                        <w:tcBorders>
                          <w:top w:val="nil" w:sz="6" w:space="0" w:color="auto"/>
                          <w:left w:val="nil" w:sz="6" w:space="0" w:color="auto"/>
                          <w:bottom w:val="single" w:sz="4" w:space="0" w:color="000000"/>
                          <w:right w:val="nil" w:sz="6" w:space="0" w:color="auto"/>
                        </w:tcBorders>
                      </w:tcPr>
                      <w:p>
                        <w:pPr>
                          <w:pStyle w:val="TableParagraph"/>
                          <w:tabs>
                            <w:tab w:pos="1607" w:val="left" w:leader="none"/>
                            <w:tab w:pos="2744" w:val="left" w:leader="none"/>
                          </w:tabs>
                          <w:spacing w:line="240" w:lineRule="auto" w:before="1"/>
                          <w:ind w:left="1000" w:right="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thick" w:color="000000"/>
                          </w:rPr>
                          <w:t> </w:t>
                          <w:tab/>
                          <w:t>64,566,363.11</w:t>
                          <w:tab/>
                        </w:r>
                        <w:r>
                          <w:rPr>
                            <w:rFonts w:ascii="Times New Roman"/>
                            <w:b/>
                            <w:sz w:val="18"/>
                          </w:rPr>
                        </w:r>
                        <w:r>
                          <w:rPr>
                            <w:rFonts w:ascii="Times New Roman"/>
                            <w:sz w:val="18"/>
                          </w:rPr>
                        </w:r>
                      </w:p>
                    </w:tc>
                    <w:tc>
                      <w:tcPr>
                        <w:tcW w:w="1800" w:type="dxa"/>
                        <w:tcBorders>
                          <w:top w:val="nil" w:sz="6" w:space="0" w:color="auto"/>
                          <w:left w:val="nil" w:sz="6" w:space="0" w:color="auto"/>
                          <w:bottom w:val="single" w:sz="4" w:space="0" w:color="000000"/>
                          <w:right w:val="nil" w:sz="6" w:space="0" w:color="auto"/>
                        </w:tcBorders>
                      </w:tcPr>
                      <w:p>
                        <w:pPr>
                          <w:pStyle w:val="TableParagraph"/>
                          <w:tabs>
                            <w:tab w:pos="427" w:val="left" w:leader="none"/>
                            <w:tab w:pos="1564" w:val="left" w:leader="none"/>
                          </w:tabs>
                          <w:spacing w:line="240" w:lineRule="auto" w:before="1"/>
                          <w:ind w:right="0"/>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thick" w:color="000000"/>
                          </w:rPr>
                          <w:t> </w:t>
                          <w:tab/>
                        </w:r>
                        <w:r>
                          <w:rPr>
                            <w:rFonts w:ascii="Times New Roman"/>
                            <w:b/>
                            <w:spacing w:val="-1"/>
                            <w:sz w:val="18"/>
                            <w:u w:val="thick" w:color="000000"/>
                          </w:rPr>
                          <w:t>25,271,129.16</w:t>
                          <w:tab/>
                        </w:r>
                        <w:r>
                          <w:rPr>
                            <w:rFonts w:ascii="Times New Roman"/>
                            <w:b/>
                            <w:spacing w:val="-1"/>
                            <w:sz w:val="18"/>
                          </w:rPr>
                        </w:r>
                        <w:r>
                          <w:rPr>
                            <w:rFonts w:ascii="Times New Roman"/>
                            <w:spacing w:val="-1"/>
                            <w:sz w:val="18"/>
                          </w:rPr>
                        </w:r>
                      </w:p>
                    </w:tc>
                  </w:tr>
                  <w:tr>
                    <w:trPr>
                      <w:trHeight w:val="662" w:hRule="exact"/>
                    </w:trPr>
                    <w:tc>
                      <w:tcPr>
                        <w:tcW w:w="7789"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3267"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c>
                      <w:tcPr>
                        <w:tcW w:w="1800" w:type="dxa"/>
                        <w:tcBorders>
                          <w:top w:val="single" w:sz="4" w:space="0" w:color="000000"/>
                          <w:left w:val="nil" w:sz="6" w:space="0" w:color="auto"/>
                          <w:bottom w:val="nil" w:sz="6" w:space="0" w:color="auto"/>
                          <w:right w:val="nil" w:sz="6" w:space="0" w:color="auto"/>
                        </w:tcBorders>
                      </w:tcPr>
                      <w:p>
                        <w:pPr/>
                      </w:p>
                    </w:tc>
                  </w:tr>
                  <w:tr>
                    <w:trPr>
                      <w:trHeight w:val="345" w:hRule="exact"/>
                    </w:trPr>
                    <w:tc>
                      <w:tcPr>
                        <w:tcW w:w="7789" w:type="dxa"/>
                        <w:gridSpan w:val="3"/>
                        <w:tcBorders>
                          <w:top w:val="nil" w:sz="6" w:space="0" w:color="auto"/>
                          <w:left w:val="nil" w:sz="6" w:space="0" w:color="auto"/>
                          <w:bottom w:val="nil" w:sz="6" w:space="0" w:color="auto"/>
                          <w:right w:val="nil" w:sz="6" w:space="0" w:color="auto"/>
                        </w:tcBorders>
                      </w:tcPr>
                      <w:p>
                        <w:pPr>
                          <w:pStyle w:val="TableParagraph"/>
                          <w:tabs>
                            <w:tab w:pos="3077" w:val="left" w:leader="none"/>
                            <w:tab w:pos="6047" w:val="left" w:leader="none"/>
                          </w:tabs>
                          <w:spacing w:line="240" w:lineRule="auto" w:before="109"/>
                          <w:ind w:left="107" w:right="0"/>
                          <w:jc w:val="left"/>
                          <w:rPr>
                            <w:rFonts w:ascii="黑体" w:hAnsi="黑体" w:cs="黑体" w:eastAsia="黑体" w:hint="default"/>
                            <w:sz w:val="18"/>
                            <w:szCs w:val="18"/>
                          </w:rPr>
                        </w:pPr>
                        <w:r>
                          <w:rPr>
                            <w:rFonts w:ascii="黑体" w:hAnsi="黑体" w:cs="黑体" w:eastAsia="黑体" w:hint="default"/>
                            <w:sz w:val="18"/>
                            <w:szCs w:val="18"/>
                          </w:rPr>
                          <w:t>公司法定代表人：晏群</w:t>
                          <w:tab/>
                          <w:t>主管会计工作负责人：梁侠</w:t>
                          <w:tab/>
                          <w:t>会计机构负责人：林</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8" w:right="0"/>
                          <w:jc w:val="left"/>
                          <w:rPr>
                            <w:rFonts w:ascii="黑体" w:hAnsi="黑体" w:cs="黑体" w:eastAsia="黑体" w:hint="default"/>
                            <w:sz w:val="18"/>
                            <w:szCs w:val="18"/>
                          </w:rPr>
                        </w:pPr>
                        <w:r>
                          <w:rPr>
                            <w:rFonts w:ascii="黑体" w:hAnsi="黑体" w:cs="黑体" w:eastAsia="黑体" w:hint="default"/>
                            <w:sz w:val="18"/>
                            <w:szCs w:val="18"/>
                          </w:rPr>
                          <w:t>浓</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p>
      <w:pPr>
        <w:spacing w:line="47" w:lineRule="exact"/>
        <w:ind w:left="614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261203" cy="30289"/>
            <wp:effectExtent l="0" t="0" r="0" b="0"/>
            <wp:docPr id="1" name="image6.png" descr=""/>
            <wp:cNvGraphicFramePr>
              <a:graphicFrameLocks noChangeAspect="1"/>
            </wp:cNvGraphicFramePr>
            <a:graphic>
              <a:graphicData uri="http://schemas.openxmlformats.org/drawingml/2006/picture">
                <pic:pic>
                  <pic:nvPicPr>
                    <pic:cNvPr id="2" name="image6.png"/>
                    <pic:cNvPicPr/>
                  </pic:nvPicPr>
                  <pic:blipFill>
                    <a:blip r:embed="rId17" cstate="print"/>
                    <a:stretch>
                      <a:fillRect/>
                    </a:stretch>
                  </pic:blipFill>
                  <pic:spPr>
                    <a:xfrm>
                      <a:off x="0" y="0"/>
                      <a:ext cx="2261203"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47" w:lineRule="exact"/>
        <w:ind w:left="614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255144" cy="30289"/>
            <wp:effectExtent l="0" t="0" r="0" b="0"/>
            <wp:docPr id="3" name="image7.png" descr=""/>
            <wp:cNvGraphicFramePr>
              <a:graphicFrameLocks noChangeAspect="1"/>
            </wp:cNvGraphicFramePr>
            <a:graphic>
              <a:graphicData uri="http://schemas.openxmlformats.org/drawingml/2006/picture">
                <pic:pic>
                  <pic:nvPicPr>
                    <pic:cNvPr id="4" name="image7.png"/>
                    <pic:cNvPicPr/>
                  </pic:nvPicPr>
                  <pic:blipFill>
                    <a:blip r:embed="rId18" cstate="print"/>
                    <a:stretch>
                      <a:fillRect/>
                    </a:stretch>
                  </pic:blipFill>
                  <pic:spPr>
                    <a:xfrm>
                      <a:off x="0" y="0"/>
                      <a:ext cx="2255144"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47" w:lineRule="exact"/>
        <w:ind w:left="614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261116" cy="30289"/>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17" cstate="print"/>
                    <a:stretch>
                      <a:fillRect/>
                    </a:stretch>
                  </pic:blipFill>
                  <pic:spPr>
                    <a:xfrm>
                      <a:off x="0" y="0"/>
                      <a:ext cx="2261116"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line="47" w:lineRule="exact"/>
        <w:ind w:left="614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255058" cy="30289"/>
            <wp:effectExtent l="0" t="0" r="0" b="0"/>
            <wp:docPr id="7" name="image8.png" descr=""/>
            <wp:cNvGraphicFramePr>
              <a:graphicFrameLocks noChangeAspect="1"/>
            </wp:cNvGraphicFramePr>
            <a:graphic>
              <a:graphicData uri="http://schemas.openxmlformats.org/drawingml/2006/picture">
                <pic:pic>
                  <pic:nvPicPr>
                    <pic:cNvPr id="8" name="image8.png"/>
                    <pic:cNvPicPr/>
                  </pic:nvPicPr>
                  <pic:blipFill>
                    <a:blip r:embed="rId19" cstate="print"/>
                    <a:stretch>
                      <a:fillRect/>
                    </a:stretch>
                  </pic:blipFill>
                  <pic:spPr>
                    <a:xfrm>
                      <a:off x="0" y="0"/>
                      <a:ext cx="2255058"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p>
      <w:pPr>
        <w:spacing w:line="47" w:lineRule="exact"/>
        <w:ind w:left="614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261116" cy="30289"/>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7" cstate="print"/>
                    <a:stretch>
                      <a:fillRect/>
                    </a:stretch>
                  </pic:blipFill>
                  <pic:spPr>
                    <a:xfrm>
                      <a:off x="0" y="0"/>
                      <a:ext cx="2261116"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line="47" w:lineRule="exact"/>
        <w:ind w:left="614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255058" cy="30289"/>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0" cstate="print"/>
                    <a:stretch>
                      <a:fillRect/>
                    </a:stretch>
                  </pic:blipFill>
                  <pic:spPr>
                    <a:xfrm>
                      <a:off x="0" y="0"/>
                      <a:ext cx="2255058"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47" w:lineRule="exact"/>
        <w:ind w:left="614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261116" cy="30289"/>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7" cstate="print"/>
                    <a:stretch>
                      <a:fillRect/>
                    </a:stretch>
                  </pic:blipFill>
                  <pic:spPr>
                    <a:xfrm>
                      <a:off x="0" y="0"/>
                      <a:ext cx="2261116"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spacing w:line="47" w:lineRule="exact"/>
        <w:ind w:left="614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255058" cy="30289"/>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0" cstate="print"/>
                    <a:stretch>
                      <a:fillRect/>
                    </a:stretch>
                  </pic:blipFill>
                  <pic:spPr>
                    <a:xfrm>
                      <a:off x="0" y="0"/>
                      <a:ext cx="2255058"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spacing w:before="44"/>
        <w:ind w:left="0" w:right="1876" w:firstLine="0"/>
        <w:jc w:val="right"/>
        <w:rPr>
          <w:rFonts w:ascii="黑体" w:hAnsi="黑体" w:cs="黑体" w:eastAsia="黑体" w:hint="default"/>
          <w:sz w:val="18"/>
          <w:szCs w:val="18"/>
        </w:rPr>
      </w:pPr>
      <w:r>
        <w:rPr>
          <w:rFonts w:ascii="黑体" w:hAnsi="黑体" w:cs="黑体" w:eastAsia="黑体" w:hint="default"/>
          <w:sz w:val="18"/>
          <w:szCs w:val="18"/>
        </w:rPr>
        <w:t>小</w:t>
      </w:r>
    </w:p>
    <w:p>
      <w:pPr>
        <w:spacing w:after="0"/>
        <w:jc w:val="right"/>
        <w:rPr>
          <w:rFonts w:ascii="黑体" w:hAnsi="黑体" w:cs="黑体" w:eastAsia="黑体" w:hint="default"/>
          <w:sz w:val="18"/>
          <w:szCs w:val="18"/>
        </w:rPr>
        <w:sectPr>
          <w:pgSz w:w="11910" w:h="16840"/>
          <w:pgMar w:header="877" w:footer="975" w:top="1100" w:bottom="1160" w:left="1140" w:right="92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7"/>
          <w:szCs w:val="27"/>
        </w:rPr>
      </w:pPr>
    </w:p>
    <w:p>
      <w:pPr>
        <w:pStyle w:val="Heading3"/>
        <w:spacing w:line="240" w:lineRule="auto" w:before="35"/>
        <w:ind w:left="0" w:right="194"/>
        <w:jc w:val="center"/>
        <w:rPr>
          <w:b w:val="0"/>
          <w:bCs w:val="0"/>
        </w:rPr>
      </w:pPr>
      <w:r>
        <w:rPr/>
        <w:t>合并所有者权益变动表</w:t>
      </w:r>
      <w:r>
        <w:rPr>
          <w:b w:val="0"/>
          <w:bCs w:val="0"/>
        </w:rPr>
      </w:r>
    </w:p>
    <w:p>
      <w:pPr>
        <w:spacing w:before="100"/>
        <w:ind w:left="0" w:right="195" w:firstLine="0"/>
        <w:jc w:val="center"/>
        <w:rPr>
          <w:rFonts w:ascii="宋体" w:hAnsi="宋体" w:cs="宋体" w:eastAsia="宋体" w:hint="default"/>
          <w:sz w:val="13"/>
          <w:szCs w:val="13"/>
        </w:rPr>
      </w:pPr>
      <w:r>
        <w:rPr>
          <w:rFonts w:ascii="Times New Roman" w:hAnsi="Times New Roman" w:cs="Times New Roman" w:eastAsia="Times New Roman" w:hint="default"/>
          <w:b/>
          <w:bCs/>
          <w:sz w:val="13"/>
          <w:szCs w:val="13"/>
        </w:rPr>
        <w:t>2010</w:t>
      </w:r>
      <w:r>
        <w:rPr>
          <w:rFonts w:ascii="Times New Roman" w:hAnsi="Times New Roman" w:cs="Times New Roman" w:eastAsia="Times New Roman" w:hint="default"/>
          <w:b/>
          <w:bCs/>
          <w:spacing w:val="-2"/>
          <w:sz w:val="13"/>
          <w:szCs w:val="13"/>
        </w:rPr>
        <w:t> </w:t>
      </w:r>
      <w:r>
        <w:rPr>
          <w:rFonts w:ascii="宋体" w:hAnsi="宋体" w:cs="宋体" w:eastAsia="宋体" w:hint="default"/>
          <w:b/>
          <w:bCs/>
          <w:sz w:val="13"/>
          <w:szCs w:val="13"/>
        </w:rPr>
        <w:t>年度</w:t>
      </w:r>
      <w:r>
        <w:rPr>
          <w:rFonts w:ascii="宋体" w:hAnsi="宋体" w:cs="宋体" w:eastAsia="宋体" w:hint="default"/>
          <w:sz w:val="13"/>
          <w:szCs w:val="13"/>
        </w:rPr>
      </w:r>
    </w:p>
    <w:p>
      <w:pPr>
        <w:tabs>
          <w:tab w:pos="12242" w:val="left" w:leader="none"/>
        </w:tabs>
        <w:spacing w:before="48"/>
        <w:ind w:left="0" w:right="195" w:firstLine="0"/>
        <w:jc w:val="center"/>
        <w:rPr>
          <w:rFonts w:ascii="宋体" w:hAnsi="宋体" w:cs="宋体" w:eastAsia="宋体" w:hint="default"/>
          <w:sz w:val="13"/>
          <w:szCs w:val="13"/>
        </w:rPr>
      </w:pPr>
      <w:r>
        <w:rPr>
          <w:rFonts w:ascii="宋体" w:hAnsi="宋体" w:cs="宋体" w:eastAsia="宋体" w:hint="default"/>
          <w:b/>
          <w:bCs/>
          <w:w w:val="95"/>
          <w:sz w:val="13"/>
          <w:szCs w:val="13"/>
        </w:rPr>
        <w:t>编制单位：深圳市深信泰丰（集团）股份有限公司</w:t>
        <w:tab/>
      </w:r>
      <w:r>
        <w:rPr>
          <w:rFonts w:ascii="宋体" w:hAnsi="宋体" w:cs="宋体" w:eastAsia="宋体" w:hint="default"/>
          <w:b/>
          <w:bCs/>
          <w:sz w:val="13"/>
          <w:szCs w:val="13"/>
        </w:rPr>
        <w:t>单位：元币种：人民币</w:t>
      </w:r>
      <w:r>
        <w:rPr>
          <w:rFonts w:ascii="宋体" w:hAnsi="宋体" w:cs="宋体" w:eastAsia="宋体" w:hint="default"/>
          <w:sz w:val="13"/>
          <w:szCs w:val="13"/>
        </w:rPr>
      </w:r>
    </w:p>
    <w:tbl>
      <w:tblPr>
        <w:tblW w:w="0" w:type="auto"/>
        <w:jc w:val="left"/>
        <w:tblInd w:w="135" w:type="dxa"/>
        <w:tblLayout w:type="fixed"/>
        <w:tblCellMar>
          <w:top w:w="0" w:type="dxa"/>
          <w:left w:w="0" w:type="dxa"/>
          <w:bottom w:w="0" w:type="dxa"/>
          <w:right w:w="0" w:type="dxa"/>
        </w:tblCellMar>
        <w:tblLook w:val="01E0"/>
      </w:tblPr>
      <w:tblGrid>
        <w:gridCol w:w="3600"/>
        <w:gridCol w:w="1080"/>
        <w:gridCol w:w="1260"/>
        <w:gridCol w:w="900"/>
        <w:gridCol w:w="900"/>
        <w:gridCol w:w="1164"/>
        <w:gridCol w:w="1440"/>
        <w:gridCol w:w="540"/>
        <w:gridCol w:w="1260"/>
        <w:gridCol w:w="1620"/>
      </w:tblGrid>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728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3"/>
                <w:szCs w:val="13"/>
              </w:rPr>
            </w:pPr>
            <w:r>
              <w:rPr>
                <w:rFonts w:ascii="宋体" w:hAnsi="宋体" w:cs="宋体" w:eastAsia="宋体" w:hint="default"/>
                <w:b/>
                <w:bCs/>
                <w:sz w:val="13"/>
                <w:szCs w:val="13"/>
              </w:rPr>
              <w:t>归属于母公司所有者权益</w:t>
            </w:r>
            <w:r>
              <w:rPr>
                <w:rFonts w:ascii="宋体" w:hAnsi="宋体" w:cs="宋体" w:eastAsia="宋体" w:hint="default"/>
                <w:sz w:val="13"/>
                <w:szCs w:val="13"/>
              </w:rPr>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32" w:right="0"/>
              <w:jc w:val="left"/>
              <w:rPr>
                <w:rFonts w:ascii="宋体" w:hAnsi="宋体" w:cs="宋体" w:eastAsia="宋体" w:hint="default"/>
                <w:sz w:val="13"/>
                <w:szCs w:val="13"/>
              </w:rPr>
            </w:pPr>
            <w:r>
              <w:rPr>
                <w:rFonts w:ascii="宋体" w:hAnsi="宋体" w:cs="宋体" w:eastAsia="宋体" w:hint="default"/>
                <w:b/>
                <w:bCs/>
                <w:sz w:val="13"/>
                <w:szCs w:val="13"/>
              </w:rPr>
              <w:t>少数股东权益</w:t>
            </w:r>
            <w:r>
              <w:rPr>
                <w:rFonts w:ascii="宋体" w:hAnsi="宋体" w:cs="宋体" w:eastAsia="宋体" w:hint="default"/>
                <w:sz w:val="13"/>
                <w:szCs w:val="13"/>
              </w:rPr>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348"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sz w:val="13"/>
                <w:szCs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3"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3"/>
                <w:szCs w:val="13"/>
              </w:rPr>
            </w:pPr>
            <w:r>
              <w:rPr>
                <w:rFonts w:ascii="宋体" w:hAnsi="宋体" w:cs="宋体" w:eastAsia="宋体" w:hint="default"/>
                <w:b/>
                <w:bCs/>
                <w:sz w:val="13"/>
                <w:szCs w:val="13"/>
              </w:rPr>
              <w:t>减：库存股</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lef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sz w:val="13"/>
                <w:szCs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5"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3"/>
                <w:szCs w:val="13"/>
              </w:rPr>
            </w:pPr>
            <w:r>
              <w:rPr>
                <w:rFonts w:ascii="宋体" w:hAnsi="宋体" w:cs="宋体" w:eastAsia="宋体" w:hint="default"/>
                <w:b/>
                <w:bCs/>
                <w:sz w:val="13"/>
                <w:szCs w:val="13"/>
              </w:rPr>
              <w:t>其它</w:t>
            </w:r>
            <w:r>
              <w:rPr>
                <w:rFonts w:ascii="宋体" w:hAnsi="宋体" w:cs="宋体" w:eastAsia="宋体" w:hint="default"/>
                <w:sz w:val="13"/>
                <w:szCs w:val="13"/>
              </w:rPr>
            </w:r>
          </w:p>
        </w:tc>
        <w:tc>
          <w:tcPr>
            <w:tcW w:w="126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262,748,052.05</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-1,495,799,665.75</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2,945,390.88</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-806,394,098.32</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2" w:right="0"/>
              <w:jc w:val="left"/>
              <w:rPr>
                <w:rFonts w:ascii="宋体" w:hAnsi="宋体" w:cs="宋体" w:eastAsia="宋体" w:hint="default"/>
                <w:sz w:val="13"/>
                <w:szCs w:val="13"/>
              </w:rPr>
            </w:pPr>
            <w:r>
              <w:rPr>
                <w:rFonts w:ascii="宋体" w:hAnsi="宋体" w:cs="宋体" w:eastAsia="宋体" w:hint="default"/>
                <w:sz w:val="13"/>
                <w:szCs w:val="13"/>
              </w:rPr>
              <w:t>其它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262,748,052.05</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-1,495,799,665.75</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2,945,390.88</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-806,394,098.32</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3"/>
                <w:szCs w:val="13"/>
              </w:rPr>
            </w:pPr>
            <w:r>
              <w:rPr>
                <w:rFonts w:ascii="宋体" w:hAnsi="宋体" w:cs="宋体" w:eastAsia="宋体" w:hint="default"/>
                <w:b/>
                <w:bCs/>
                <w:sz w:val="13"/>
                <w:szCs w:val="13"/>
              </w:rPr>
              <w:t>三、本年增减变动金额</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减少以</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号列示</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377,254,359.12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498,142,241.73</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-2,945,390.88</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872,451,209.97</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498,142,241.73</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498,142,241.73</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其它综合收益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6" w:right="0"/>
              <w:jc w:val="left"/>
              <w:rPr>
                <w:rFonts w:ascii="宋体" w:hAnsi="宋体" w:cs="宋体" w:eastAsia="宋体" w:hint="default"/>
                <w:sz w:val="13"/>
                <w:szCs w:val="13"/>
              </w:rPr>
            </w:pPr>
            <w:r>
              <w:rPr>
                <w:rFonts w:ascii="宋体" w:hAnsi="宋体" w:cs="宋体" w:eastAsia="宋体" w:hint="default"/>
                <w:b/>
                <w:bCs/>
                <w:sz w:val="13"/>
                <w:szCs w:val="13"/>
              </w:rPr>
              <w:t>上述（一）和（二）小计</w:t>
            </w:r>
            <w:r>
              <w:rPr>
                <w:rFonts w:ascii="宋体" w:hAnsi="宋体" w:cs="宋体" w:eastAsia="宋体"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498,142,241.73</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498,142,241.73</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所有者投入和减少的资本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377,254,359.12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-2,945,390.88</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374,308,968.24</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377,254,359.12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-2,945,390.88</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374,308,968.24</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、对所有者（或股东）的分配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五</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所有者权益内部结转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b/>
                <w:bCs/>
                <w:sz w:val="13"/>
                <w:szCs w:val="13"/>
              </w:rPr>
              <w:t>四、本年年末余额</w:t>
            </w:r>
            <w:r>
              <w:rPr>
                <w:rFonts w:ascii="宋体" w:hAnsi="宋体" w:cs="宋体" w:eastAsia="宋体"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640,002,411.17</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-997,657,424.02</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66,057,111.65</w:t>
            </w:r>
            <w:r>
              <w:rPr>
                <w:rFonts w:ascii="Times New Roman"/>
                <w:sz w:val="13"/>
              </w:rPr>
            </w:r>
          </w:p>
        </w:tc>
      </w:tr>
    </w:tbl>
    <w:p>
      <w:pPr>
        <w:spacing w:before="56"/>
        <w:ind w:left="0" w:right="194"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所附附注系本财务报表的组成部分）</w:t>
      </w:r>
    </w:p>
    <w:p>
      <w:pPr>
        <w:tabs>
          <w:tab w:pos="5966" w:val="left" w:leader="none"/>
          <w:tab w:pos="11101" w:val="left" w:leader="none"/>
        </w:tabs>
        <w:spacing w:before="37"/>
        <w:ind w:left="247" w:right="0" w:firstLine="0"/>
        <w:jc w:val="left"/>
        <w:rPr>
          <w:rFonts w:ascii="黑体" w:hAnsi="黑体" w:cs="黑体" w:eastAsia="黑体" w:hint="default"/>
          <w:sz w:val="13"/>
          <w:szCs w:val="13"/>
        </w:rPr>
      </w:pPr>
      <w:r>
        <w:rPr>
          <w:rFonts w:ascii="黑体" w:hAnsi="黑体" w:cs="黑体" w:eastAsia="黑体" w:hint="default"/>
          <w:w w:val="95"/>
          <w:sz w:val="13"/>
          <w:szCs w:val="13"/>
        </w:rPr>
        <w:t>公司法定代表人：晏群</w:t>
        <w:tab/>
        <w:t>主管会计工作负责人：梁侠</w:t>
        <w:tab/>
      </w:r>
      <w:r>
        <w:rPr>
          <w:rFonts w:ascii="黑体" w:hAnsi="黑体" w:cs="黑体" w:eastAsia="黑体" w:hint="default"/>
          <w:sz w:val="13"/>
          <w:szCs w:val="13"/>
        </w:rPr>
        <w:t>会计机构负责人：林小浓</w:t>
      </w:r>
    </w:p>
    <w:p>
      <w:pPr>
        <w:spacing w:after="0"/>
        <w:jc w:val="left"/>
        <w:rPr>
          <w:rFonts w:ascii="黑体" w:hAnsi="黑体" w:cs="黑体" w:eastAsia="黑体" w:hint="default"/>
          <w:sz w:val="13"/>
          <w:szCs w:val="13"/>
        </w:rPr>
        <w:sectPr>
          <w:headerReference w:type="default" r:id="rId21"/>
          <w:footerReference w:type="default" r:id="rId22"/>
          <w:pgSz w:w="16840" w:h="11910" w:orient="landscape"/>
          <w:pgMar w:header="877" w:footer="971" w:top="1100" w:bottom="1160" w:left="1300" w:right="1300"/>
          <w:pgNumType w:start="47"/>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4"/>
          <w:szCs w:val="14"/>
        </w:rPr>
      </w:pPr>
    </w:p>
    <w:p>
      <w:pPr>
        <w:pStyle w:val="Heading3"/>
        <w:spacing w:line="240" w:lineRule="auto"/>
        <w:ind w:left="0" w:right="278"/>
        <w:jc w:val="center"/>
        <w:rPr>
          <w:b w:val="0"/>
          <w:bCs w:val="0"/>
        </w:rPr>
      </w:pPr>
      <w:r>
        <w:rPr/>
        <w:t>合并所有者权益变动表</w:t>
      </w:r>
      <w:r>
        <w:rPr>
          <w:b w:val="0"/>
          <w:bCs w:val="0"/>
        </w:rPr>
      </w:r>
    </w:p>
    <w:p>
      <w:pPr>
        <w:spacing w:before="102"/>
        <w:ind w:left="0" w:right="279" w:firstLine="0"/>
        <w:jc w:val="center"/>
        <w:rPr>
          <w:rFonts w:ascii="宋体" w:hAnsi="宋体" w:cs="宋体" w:eastAsia="宋体" w:hint="default"/>
          <w:sz w:val="13"/>
          <w:szCs w:val="13"/>
        </w:rPr>
      </w:pPr>
      <w:r>
        <w:rPr>
          <w:rFonts w:ascii="Times New Roman" w:hAnsi="Times New Roman" w:cs="Times New Roman" w:eastAsia="Times New Roman" w:hint="default"/>
          <w:b/>
          <w:bCs/>
          <w:sz w:val="13"/>
          <w:szCs w:val="13"/>
        </w:rPr>
        <w:t>2009</w:t>
      </w:r>
      <w:r>
        <w:rPr>
          <w:rFonts w:ascii="Times New Roman" w:hAnsi="Times New Roman" w:cs="Times New Roman" w:eastAsia="Times New Roman" w:hint="default"/>
          <w:b/>
          <w:bCs/>
          <w:spacing w:val="-2"/>
          <w:sz w:val="13"/>
          <w:szCs w:val="13"/>
        </w:rPr>
        <w:t> </w:t>
      </w:r>
      <w:r>
        <w:rPr>
          <w:rFonts w:ascii="宋体" w:hAnsi="宋体" w:cs="宋体" w:eastAsia="宋体" w:hint="default"/>
          <w:b/>
          <w:bCs/>
          <w:sz w:val="13"/>
          <w:szCs w:val="13"/>
        </w:rPr>
        <w:t>年度</w:t>
      </w:r>
      <w:r>
        <w:rPr>
          <w:rFonts w:ascii="宋体" w:hAnsi="宋体" w:cs="宋体" w:eastAsia="宋体" w:hint="default"/>
          <w:sz w:val="13"/>
          <w:szCs w:val="13"/>
        </w:rPr>
      </w:r>
    </w:p>
    <w:p>
      <w:pPr>
        <w:tabs>
          <w:tab w:pos="12158" w:val="left" w:leader="none"/>
        </w:tabs>
        <w:spacing w:before="48"/>
        <w:ind w:left="0" w:right="279" w:firstLine="0"/>
        <w:jc w:val="center"/>
        <w:rPr>
          <w:rFonts w:ascii="宋体" w:hAnsi="宋体" w:cs="宋体" w:eastAsia="宋体" w:hint="default"/>
          <w:sz w:val="13"/>
          <w:szCs w:val="13"/>
        </w:rPr>
      </w:pPr>
      <w:r>
        <w:rPr>
          <w:rFonts w:ascii="宋体" w:hAnsi="宋体" w:cs="宋体" w:eastAsia="宋体" w:hint="default"/>
          <w:b/>
          <w:bCs/>
          <w:w w:val="95"/>
          <w:sz w:val="13"/>
          <w:szCs w:val="13"/>
        </w:rPr>
        <w:t>编制单位：深圳市深信泰丰（集团）股份有限公司</w:t>
        <w:tab/>
      </w:r>
      <w:r>
        <w:rPr>
          <w:rFonts w:ascii="宋体" w:hAnsi="宋体" w:cs="宋体" w:eastAsia="宋体" w:hint="default"/>
          <w:b/>
          <w:bCs/>
          <w:sz w:val="13"/>
          <w:szCs w:val="13"/>
        </w:rPr>
        <w:t>单位：元币种：人民币</w:t>
      </w:r>
      <w:r>
        <w:rPr>
          <w:rFonts w:ascii="宋体" w:hAnsi="宋体" w:cs="宋体" w:eastAsia="宋体" w:hint="default"/>
          <w:sz w:val="13"/>
          <w:szCs w:val="13"/>
        </w:rPr>
      </w:r>
    </w:p>
    <w:tbl>
      <w:tblPr>
        <w:tblW w:w="0" w:type="auto"/>
        <w:jc w:val="left"/>
        <w:tblInd w:w="135" w:type="dxa"/>
        <w:tblLayout w:type="fixed"/>
        <w:tblCellMar>
          <w:top w:w="0" w:type="dxa"/>
          <w:left w:w="0" w:type="dxa"/>
          <w:bottom w:w="0" w:type="dxa"/>
          <w:right w:w="0" w:type="dxa"/>
        </w:tblCellMar>
        <w:tblLook w:val="01E0"/>
      </w:tblPr>
      <w:tblGrid>
        <w:gridCol w:w="3600"/>
        <w:gridCol w:w="1080"/>
        <w:gridCol w:w="1440"/>
        <w:gridCol w:w="900"/>
        <w:gridCol w:w="780"/>
        <w:gridCol w:w="1200"/>
        <w:gridCol w:w="1440"/>
        <w:gridCol w:w="540"/>
        <w:gridCol w:w="1080"/>
        <w:gridCol w:w="1620"/>
      </w:tblGrid>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73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3"/>
                <w:szCs w:val="13"/>
              </w:rPr>
            </w:pPr>
            <w:r>
              <w:rPr>
                <w:rFonts w:ascii="宋体" w:hAnsi="宋体" w:cs="宋体" w:eastAsia="宋体" w:hint="default"/>
                <w:b/>
                <w:bCs/>
                <w:sz w:val="13"/>
                <w:szCs w:val="13"/>
              </w:rPr>
              <w:t>归属于母公司所有者权益</w:t>
            </w:r>
            <w:r>
              <w:rPr>
                <w:rFonts w:ascii="宋体" w:hAnsi="宋体" w:cs="宋体" w:eastAsia="宋体" w:hint="default"/>
                <w:sz w:val="13"/>
                <w:szCs w:val="13"/>
              </w:rPr>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142" w:right="0"/>
              <w:jc w:val="left"/>
              <w:rPr>
                <w:rFonts w:ascii="宋体" w:hAnsi="宋体" w:cs="宋体" w:eastAsia="宋体" w:hint="default"/>
                <w:sz w:val="13"/>
                <w:szCs w:val="13"/>
              </w:rPr>
            </w:pPr>
            <w:r>
              <w:rPr>
                <w:rFonts w:ascii="宋体" w:hAnsi="宋体" w:cs="宋体" w:eastAsia="宋体" w:hint="default"/>
                <w:b/>
                <w:bCs/>
                <w:sz w:val="13"/>
                <w:szCs w:val="13"/>
              </w:rPr>
              <w:t>少数股东权益</w:t>
            </w:r>
            <w:r>
              <w:rPr>
                <w:rFonts w:ascii="宋体" w:hAnsi="宋体" w:cs="宋体" w:eastAsia="宋体" w:hint="default"/>
                <w:sz w:val="13"/>
                <w:szCs w:val="13"/>
              </w:rPr>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348"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sz w:val="13"/>
                <w:szCs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3"/>
                <w:szCs w:val="13"/>
              </w:rPr>
            </w:pPr>
            <w:r>
              <w:rPr>
                <w:rFonts w:ascii="宋体" w:hAnsi="宋体" w:cs="宋体" w:eastAsia="宋体" w:hint="default"/>
                <w:b/>
                <w:bCs/>
                <w:sz w:val="13"/>
                <w:szCs w:val="13"/>
              </w:rPr>
              <w:t>减：库存股</w:t>
            </w:r>
            <w:r>
              <w:rPr>
                <w:rFonts w:ascii="宋体" w:hAnsi="宋体" w:cs="宋体" w:eastAsia="宋体" w:hint="default"/>
                <w:sz w:val="13"/>
                <w:szCs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1"/>
              <w:jc w:val="righ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sz w:val="13"/>
                <w:szCs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3"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3"/>
                <w:szCs w:val="13"/>
              </w:rPr>
            </w:pPr>
            <w:r>
              <w:rPr>
                <w:rFonts w:ascii="宋体" w:hAnsi="宋体" w:cs="宋体" w:eastAsia="宋体" w:hint="default"/>
                <w:b/>
                <w:bCs/>
                <w:sz w:val="13"/>
                <w:szCs w:val="13"/>
              </w:rPr>
              <w:t>其它</w:t>
            </w:r>
            <w:r>
              <w:rPr>
                <w:rFonts w:ascii="宋体" w:hAnsi="宋体" w:cs="宋体" w:eastAsia="宋体" w:hint="default"/>
                <w:sz w:val="13"/>
                <w:szCs w:val="13"/>
              </w:rPr>
            </w:r>
          </w:p>
        </w:tc>
        <w:tc>
          <w:tcPr>
            <w:tcW w:w="108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283,545,489.55</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-1,853,475,410.54</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13,220,440.00</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-1,132,997,356.49</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2" w:right="0"/>
              <w:jc w:val="left"/>
              <w:rPr>
                <w:rFonts w:ascii="宋体" w:hAnsi="宋体" w:cs="宋体" w:eastAsia="宋体" w:hint="default"/>
                <w:sz w:val="13"/>
                <w:szCs w:val="13"/>
              </w:rPr>
            </w:pPr>
            <w:r>
              <w:rPr>
                <w:rFonts w:ascii="宋体" w:hAnsi="宋体" w:cs="宋体" w:eastAsia="宋体" w:hint="default"/>
                <w:sz w:val="13"/>
                <w:szCs w:val="13"/>
              </w:rPr>
              <w:t>其它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283,545,489.55</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-1,853,475,410.54</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13,220,440.00</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-1,132,997,356.49</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3"/>
                <w:szCs w:val="13"/>
              </w:rPr>
            </w:pPr>
            <w:r>
              <w:rPr>
                <w:rFonts w:ascii="宋体" w:hAnsi="宋体" w:cs="宋体" w:eastAsia="宋体" w:hint="default"/>
                <w:b/>
                <w:bCs/>
                <w:sz w:val="13"/>
                <w:szCs w:val="13"/>
              </w:rPr>
              <w:t>三、本年增减变动金额</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减少以</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号列示</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-20,797,437.50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357,675,744.79</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-10,275,049.12</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326,603,258.17</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133,403,579.37</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-10,275,049.12</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123,128,530.25</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其它综合收益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6" w:right="0"/>
              <w:jc w:val="left"/>
              <w:rPr>
                <w:rFonts w:ascii="宋体" w:hAnsi="宋体" w:cs="宋体" w:eastAsia="宋体" w:hint="default"/>
                <w:sz w:val="13"/>
                <w:szCs w:val="13"/>
              </w:rPr>
            </w:pPr>
            <w:r>
              <w:rPr>
                <w:rFonts w:ascii="宋体" w:hAnsi="宋体" w:cs="宋体" w:eastAsia="宋体" w:hint="default"/>
                <w:b/>
                <w:bCs/>
                <w:sz w:val="13"/>
                <w:szCs w:val="13"/>
              </w:rPr>
              <w:t>上述（一）和（二）小计</w:t>
            </w:r>
            <w:r>
              <w:rPr>
                <w:rFonts w:ascii="宋体" w:hAnsi="宋体" w:cs="宋体" w:eastAsia="宋体"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133,403,579.37</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-10,275,049.12</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123,128,530.25</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所有者投入和减少的资本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、对所有者（或股东）的分配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五</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所有者权益内部结转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-20,797,437.50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224,272,165.42</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203,474,727.92</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-20,797,437.50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224,272,165.42</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203,474,727.92</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b/>
                <w:bCs/>
                <w:sz w:val="13"/>
                <w:szCs w:val="13"/>
              </w:rPr>
              <w:t>四、本年年末余额</w:t>
            </w:r>
            <w:r>
              <w:rPr>
                <w:rFonts w:ascii="宋体" w:hAnsi="宋体" w:cs="宋体" w:eastAsia="宋体" w:hint="default"/>
                <w:sz w:val="13"/>
                <w:szCs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262,748,052.05</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-1,495,799,665.75</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2,945,390.88</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3"/>
                <w:szCs w:val="13"/>
              </w:rPr>
            </w:pPr>
            <w:r>
              <w:rPr>
                <w:rFonts w:ascii="Times New Roman"/>
                <w:b/>
                <w:w w:val="95"/>
                <w:sz w:val="13"/>
              </w:rPr>
              <w:t>-806,394,098.32</w:t>
            </w:r>
            <w:r>
              <w:rPr>
                <w:rFonts w:ascii="Times New Roman"/>
                <w:sz w:val="13"/>
              </w:rPr>
            </w:r>
          </w:p>
        </w:tc>
      </w:tr>
    </w:tbl>
    <w:p>
      <w:pPr>
        <w:spacing w:before="56"/>
        <w:ind w:left="0" w:right="278"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所附附注系本财务报表的组成部分）</w:t>
      </w:r>
    </w:p>
    <w:p>
      <w:pPr>
        <w:tabs>
          <w:tab w:pos="5966" w:val="left" w:leader="none"/>
          <w:tab w:pos="11101" w:val="left" w:leader="none"/>
        </w:tabs>
        <w:spacing w:before="37"/>
        <w:ind w:left="247" w:right="0" w:firstLine="0"/>
        <w:jc w:val="left"/>
        <w:rPr>
          <w:rFonts w:ascii="黑体" w:hAnsi="黑体" w:cs="黑体" w:eastAsia="黑体" w:hint="default"/>
          <w:sz w:val="13"/>
          <w:szCs w:val="13"/>
        </w:rPr>
      </w:pPr>
      <w:r>
        <w:rPr>
          <w:rFonts w:ascii="黑体" w:hAnsi="黑体" w:cs="黑体" w:eastAsia="黑体" w:hint="default"/>
          <w:w w:val="95"/>
          <w:sz w:val="13"/>
          <w:szCs w:val="13"/>
        </w:rPr>
        <w:t>公司法定代表人：晏群</w:t>
        <w:tab/>
        <w:t>主管会计工作负责人：梁侠</w:t>
        <w:tab/>
      </w:r>
      <w:r>
        <w:rPr>
          <w:rFonts w:ascii="黑体" w:hAnsi="黑体" w:cs="黑体" w:eastAsia="黑体" w:hint="default"/>
          <w:sz w:val="13"/>
          <w:szCs w:val="13"/>
        </w:rPr>
        <w:t>会计机构负责人：林小浓</w:t>
      </w:r>
    </w:p>
    <w:p>
      <w:pPr>
        <w:spacing w:after="0"/>
        <w:jc w:val="left"/>
        <w:rPr>
          <w:rFonts w:ascii="黑体" w:hAnsi="黑体" w:cs="黑体" w:eastAsia="黑体" w:hint="default"/>
          <w:sz w:val="13"/>
          <w:szCs w:val="13"/>
        </w:rPr>
        <w:sectPr>
          <w:pgSz w:w="16840" w:h="11910" w:orient="landscape"/>
          <w:pgMar w:header="877" w:footer="971" w:top="110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324.420013pt;margin-top:343.02002pt;width:186.984479pt;height:2.385pt;mso-position-horizontal-relative:page;mso-position-vertical-relative:page;z-index:-728632" type="#_x0000_t75" stroked="false">
            <v:imagedata r:id="rId25" o:title=""/>
          </v:shape>
        </w:pict>
      </w:r>
      <w:r>
        <w:rPr/>
        <w:pict>
          <v:shape style="position:absolute;margin-left:324.420013pt;margin-top:615.059998pt;width:186.984479pt;height:2.385pt;mso-position-horizontal-relative:page;mso-position-vertical-relative:page;z-index:-728608" type="#_x0000_t75" stroked="false">
            <v:imagedata r:id="rId25" o:title=""/>
          </v:shape>
        </w:pict>
      </w:r>
      <w:r>
        <w:rPr/>
        <w:pict>
          <v:group style="position:absolute;margin-left:325.019989pt;margin-top:649.979980pt;width:78.7pt;height:2.2pt;mso-position-horizontal-relative:page;mso-position-vertical-relative:page;z-index:-728584" coordorigin="6500,13000" coordsize="1574,44">
            <v:group style="position:absolute;left:6508;top:13007;width:1559;height:2" coordorigin="6508,13007" coordsize="1559,2">
              <v:shape style="position:absolute;left:6508;top:13007;width:1559;height:2" coordorigin="6508,13007" coordsize="1559,0" path="m6508,13007l8066,13007e" filled="false" stroked="true" strokeweight=".72pt" strokecolor="#000000">
                <v:path arrowok="t"/>
              </v:shape>
            </v:group>
            <v:group style="position:absolute;left:6508;top:13036;width:1559;height:2" coordorigin="6508,13036" coordsize="1559,2">
              <v:shape style="position:absolute;left:6508;top:13036;width:1559;height:2" coordorigin="6508,13036" coordsize="1559,0" path="m6508,13036l8066,13036e" filled="false" stroked="true" strokeweight=".72pt" strokecolor="#000000">
                <v:path arrowok="t"/>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2903"/>
        <w:gridCol w:w="576"/>
        <w:gridCol w:w="1025"/>
        <w:gridCol w:w="236"/>
        <w:gridCol w:w="1559"/>
        <w:gridCol w:w="236"/>
        <w:gridCol w:w="1924"/>
      </w:tblGrid>
      <w:tr>
        <w:trPr>
          <w:trHeight w:val="681" w:hRule="exact"/>
        </w:trPr>
        <w:tc>
          <w:tcPr>
            <w:tcW w:w="8459" w:type="dxa"/>
            <w:gridSpan w:val="7"/>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7" w:right="0"/>
              <w:jc w:val="center"/>
              <w:rPr>
                <w:rFonts w:ascii="黑体" w:hAnsi="黑体" w:cs="黑体" w:eastAsia="黑体" w:hint="default"/>
                <w:sz w:val="24"/>
                <w:szCs w:val="24"/>
              </w:rPr>
            </w:pPr>
            <w:r>
              <w:rPr>
                <w:rFonts w:ascii="黑体" w:hAnsi="黑体" w:cs="黑体" w:eastAsia="黑体" w:hint="default"/>
                <w:sz w:val="24"/>
                <w:szCs w:val="24"/>
              </w:rPr>
              <w:t>资产负债表</w:t>
            </w:r>
          </w:p>
        </w:tc>
      </w:tr>
      <w:tr>
        <w:trPr>
          <w:trHeight w:val="331" w:hRule="exact"/>
        </w:trPr>
        <w:tc>
          <w:tcPr>
            <w:tcW w:w="845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left="3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1" w:hRule="exact"/>
        </w:trPr>
        <w:tc>
          <w:tcPr>
            <w:tcW w:w="450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0"/>
              <w:ind w:left="138"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236"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92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0"/>
              <w:jc w:val="right"/>
              <w:rPr>
                <w:rFonts w:ascii="宋体" w:hAnsi="宋体" w:cs="宋体" w:eastAsia="宋体" w:hint="default"/>
                <w:sz w:val="18"/>
                <w:szCs w:val="18"/>
              </w:rPr>
            </w:pPr>
            <w:r>
              <w:rPr>
                <w:rFonts w:ascii="宋体" w:hAnsi="宋体" w:cs="宋体" w:eastAsia="宋体" w:hint="default"/>
                <w:b/>
                <w:bCs/>
                <w:w w:val="95"/>
                <w:sz w:val="18"/>
                <w:szCs w:val="18"/>
              </w:rPr>
              <w:t>单位：元币种：人民币</w:t>
            </w:r>
            <w:r>
              <w:rPr>
                <w:rFonts w:ascii="宋体" w:hAnsi="宋体" w:cs="宋体" w:eastAsia="宋体" w:hint="default"/>
                <w:sz w:val="18"/>
                <w:szCs w:val="18"/>
              </w:rPr>
            </w:r>
          </w:p>
        </w:tc>
      </w:tr>
      <w:tr>
        <w:trPr>
          <w:trHeight w:val="340" w:hRule="exact"/>
        </w:trPr>
        <w:tc>
          <w:tcPr>
            <w:tcW w:w="2903"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7"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576" w:type="dxa"/>
            <w:tcBorders>
              <w:top w:val="single" w:sz="4" w:space="0" w:color="000000"/>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12" w:right="0"/>
              <w:jc w:val="center"/>
              <w:rPr>
                <w:rFonts w:ascii="宋体" w:hAnsi="宋体" w:cs="宋体" w:eastAsia="宋体" w:hint="default"/>
                <w:sz w:val="18"/>
                <w:szCs w:val="18"/>
              </w:rPr>
            </w:pPr>
            <w:r>
              <w:rPr>
                <w:rFonts w:ascii="宋体" w:hAnsi="宋体" w:cs="宋体" w:eastAsia="宋体" w:hint="default"/>
                <w:b/>
                <w:bCs/>
                <w:sz w:val="18"/>
                <w:szCs w:val="18"/>
              </w:rPr>
              <w:t>附注十一</w:t>
            </w:r>
            <w:r>
              <w:rPr>
                <w:rFonts w:ascii="宋体" w:hAnsi="宋体" w:cs="宋体" w:eastAsia="宋体"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99"/>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37" w:hRule="exact"/>
        </w:trPr>
        <w:tc>
          <w:tcPr>
            <w:tcW w:w="290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3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nil" w:sz="6" w:space="0" w:color="auto"/>
              <w:right w:val="nil" w:sz="6" w:space="0" w:color="auto"/>
            </w:tcBorders>
          </w:tcPr>
          <w:p>
            <w:pPr/>
          </w:p>
        </w:tc>
      </w:tr>
      <w:tr>
        <w:trPr>
          <w:trHeight w:val="342"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23,842,247.56</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56,247.88</w:t>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 w:right="0"/>
              <w:jc w:val="center"/>
              <w:rPr>
                <w:rFonts w:ascii="Times New Roman" w:hAnsi="Times New Roman" w:cs="Times New Roman" w:eastAsia="Times New Roman" w:hint="default"/>
                <w:sz w:val="18"/>
                <w:szCs w:val="18"/>
              </w:rPr>
            </w:pPr>
            <w:r>
              <w:rPr>
                <w:rFonts w:ascii="Times New Roman"/>
                <w:sz w:val="18"/>
              </w:rPr>
              <w:t>1</w:t>
            </w: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26,575,869.84</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29,889,922.61</w:t>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9"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98"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323232"/>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50,418,117.40</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4" w:space="0" w:color="323232"/>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29,946,170.49</w:t>
            </w:r>
            <w:r>
              <w:rPr>
                <w:rFonts w:ascii="Times New Roman"/>
                <w:spacing w:val="-1"/>
                <w:sz w:val="18"/>
              </w:rPr>
            </w:r>
          </w:p>
        </w:tc>
      </w:tr>
      <w:tr>
        <w:trPr>
          <w:trHeight w:val="337"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323232"/>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323232"/>
              <w:left w:val="nil" w:sz="6" w:space="0" w:color="auto"/>
              <w:bottom w:val="nil" w:sz="6" w:space="0" w:color="auto"/>
              <w:right w:val="nil" w:sz="6" w:space="0" w:color="auto"/>
            </w:tcBorders>
          </w:tcPr>
          <w:p>
            <w:pPr/>
          </w:p>
        </w:tc>
      </w:tr>
      <w:tr>
        <w:trPr>
          <w:trHeight w:val="341"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 w:right="0"/>
              <w:jc w:val="center"/>
              <w:rPr>
                <w:rFonts w:ascii="Times New Roman" w:hAnsi="Times New Roman" w:cs="Times New Roman" w:eastAsia="Times New Roman" w:hint="default"/>
                <w:sz w:val="18"/>
                <w:szCs w:val="18"/>
              </w:rPr>
            </w:pPr>
            <w:r>
              <w:rPr>
                <w:rFonts w:ascii="Times New Roman"/>
                <w:sz w:val="18"/>
              </w:rPr>
              <w:t>2</w:t>
            </w: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318,380,000.00</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222,575,000.00</w:t>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922,989.52</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431,517.39</w:t>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32,619.46</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38,406.89</w:t>
            </w:r>
          </w:p>
        </w:tc>
      </w:tr>
      <w:tr>
        <w:trPr>
          <w:trHeight w:val="340"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38"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323232"/>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b/>
                <w:spacing w:val="-1"/>
                <w:sz w:val="18"/>
              </w:rPr>
              <w:t>319,335,608.98</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4" w:space="0" w:color="323232"/>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b/>
                <w:spacing w:val="-1"/>
                <w:sz w:val="18"/>
              </w:rPr>
              <w:t>223,044,924.28</w:t>
            </w:r>
            <w:r>
              <w:rPr>
                <w:rFonts w:ascii="Times New Roman"/>
                <w:spacing w:val="-1"/>
                <w:sz w:val="18"/>
              </w:rPr>
            </w:r>
          </w:p>
        </w:tc>
      </w:tr>
      <w:tr>
        <w:trPr>
          <w:trHeight w:val="356"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4"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323232"/>
              <w:left w:val="nil" w:sz="6" w:space="0" w:color="auto"/>
              <w:bottom w:val="nil" w:sz="6" w:space="0" w:color="auto"/>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b/>
                <w:spacing w:val="-1"/>
                <w:sz w:val="18"/>
              </w:rPr>
              <w:t>369,753,726.38</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323232"/>
              <w:left w:val="nil" w:sz="6" w:space="0" w:color="auto"/>
              <w:bottom w:val="single" w:sz="17" w:space="0" w:color="000000"/>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b/>
                <w:spacing w:val="-1"/>
                <w:sz w:val="18"/>
              </w:rPr>
              <w:t>252,991,094.77</w:t>
            </w:r>
            <w:r>
              <w:rPr>
                <w:rFonts w:ascii="Times New Roman"/>
                <w:spacing w:val="-1"/>
                <w:sz w:val="18"/>
              </w:rPr>
            </w:r>
          </w:p>
        </w:tc>
      </w:tr>
      <w:tr>
        <w:trPr>
          <w:trHeight w:val="324" w:hRule="exact"/>
        </w:trPr>
        <w:tc>
          <w:tcPr>
            <w:tcW w:w="2903" w:type="dxa"/>
            <w:tcBorders>
              <w:top w:val="nil" w:sz="6" w:space="0" w:color="auto"/>
              <w:left w:val="nil" w:sz="6" w:space="0" w:color="auto"/>
              <w:bottom w:val="single" w:sz="4" w:space="0" w:color="000000"/>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924" w:type="dxa"/>
            <w:tcBorders>
              <w:top w:val="single" w:sz="17" w:space="0" w:color="000000"/>
              <w:left w:val="nil" w:sz="6" w:space="0" w:color="auto"/>
              <w:bottom w:val="single" w:sz="4" w:space="0" w:color="000000"/>
              <w:right w:val="nil" w:sz="6" w:space="0" w:color="auto"/>
            </w:tcBorders>
          </w:tcPr>
          <w:p>
            <w:pPr/>
          </w:p>
        </w:tc>
      </w:tr>
      <w:tr>
        <w:trPr>
          <w:trHeight w:val="594" w:hRule="exact"/>
        </w:trPr>
        <w:tc>
          <w:tcPr>
            <w:tcW w:w="6299"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718"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c>
          <w:tcPr>
            <w:tcW w:w="236" w:type="dxa"/>
            <w:tcBorders>
              <w:top w:val="single" w:sz="4" w:space="0" w:color="000000"/>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nil" w:sz="6" w:space="0" w:color="auto"/>
              <w:right w:val="nil" w:sz="6" w:space="0" w:color="auto"/>
            </w:tcBorders>
          </w:tcPr>
          <w:p>
            <w:pPr/>
          </w:p>
        </w:tc>
      </w:tr>
    </w:tbl>
    <w:p>
      <w:pPr>
        <w:spacing w:after="0"/>
        <w:sectPr>
          <w:headerReference w:type="default" r:id="rId23"/>
          <w:footerReference w:type="default" r:id="rId24"/>
          <w:pgSz w:w="11910" w:h="16840"/>
          <w:pgMar w:header="867" w:footer="975" w:top="1060" w:bottom="1160" w:left="1660" w:right="1540"/>
          <w:pgNumType w:start="49"/>
        </w:sectPr>
      </w:pPr>
    </w:p>
    <w:p>
      <w:pPr>
        <w:spacing w:line="240" w:lineRule="auto" w:before="4"/>
        <w:rPr>
          <w:rFonts w:ascii="Times New Roman" w:hAnsi="Times New Roman" w:cs="Times New Roman" w:eastAsia="Times New Roman" w:hint="default"/>
          <w:sz w:val="3"/>
          <w:szCs w:val="3"/>
        </w:rPr>
      </w:pPr>
      <w:r>
        <w:rPr/>
        <w:pict>
          <v:shape style="position:absolute;margin-left:328.5pt;margin-top:353.220001pt;width:184.003221pt;height:2.385pt;mso-position-horizontal-relative:page;mso-position-vertical-relative:page;z-index:-728536" type="#_x0000_t75" stroked="false">
            <v:imagedata r:id="rId26" o:title=""/>
          </v:shape>
        </w:pict>
      </w:r>
      <w:r>
        <w:rPr/>
        <w:pict>
          <v:shape style="position:absolute;margin-left:328.5pt;margin-top:493.620026pt;width:184.003221pt;height:2.385pt;mso-position-horizontal-relative:page;mso-position-vertical-relative:page;z-index:-728512" type="#_x0000_t75" stroked="false">
            <v:imagedata r:id="rId26" o:title=""/>
          </v:shape>
        </w:pict>
      </w:r>
      <w:r>
        <w:rPr/>
        <w:pict>
          <v:shape style="position:absolute;margin-left:328.5pt;margin-top:634.020020pt;width:184.003221pt;height:2.385pt;mso-position-horizontal-relative:page;mso-position-vertical-relative:page;z-index:-728488" type="#_x0000_t75" stroked="false">
            <v:imagedata r:id="rId26" o:title=""/>
          </v:shape>
        </w:pict>
      </w:r>
      <w:r>
        <w:rPr/>
        <w:pict>
          <v:group style="position:absolute;margin-left:329.100006pt;margin-top:666.179993pt;width:84.8pt;height:2.2pt;mso-position-horizontal-relative:page;mso-position-vertical-relative:page;z-index:-728464" coordorigin="6582,13324" coordsize="1696,44">
            <v:group style="position:absolute;left:6589;top:13331;width:1682;height:2" coordorigin="6589,13331" coordsize="1682,2">
              <v:shape style="position:absolute;left:6589;top:13331;width:1682;height:2" coordorigin="6589,13331" coordsize="1682,0" path="m6589,13331l8270,13331e" filled="false" stroked="true" strokeweight=".72pt" strokecolor="#000000">
                <v:path arrowok="t"/>
              </v:shape>
            </v:group>
            <v:group style="position:absolute;left:6589;top:13360;width:1682;height:2" coordorigin="6589,13360" coordsize="1682,2">
              <v:shape style="position:absolute;left:6589;top:13360;width:1682;height:2" coordorigin="6589,13360" coordsize="1682,0" path="m6589,13360l8270,13360e" filled="false" stroked="true" strokeweight=".72pt" strokecolor="#000000">
                <v:path arrowok="t"/>
              </v:shape>
            </v:group>
            <w10:wrap type="none"/>
          </v:group>
        </w:pict>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1pt;height:.5pt;mso-position-horizontal-relative:char;mso-position-vertical-relative:line" coordorigin="0,0" coordsize="8382,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tbl>
      <w:tblPr>
        <w:tblW w:w="0" w:type="auto"/>
        <w:jc w:val="left"/>
        <w:tblInd w:w="137" w:type="dxa"/>
        <w:tblLayout w:type="fixed"/>
        <w:tblCellMar>
          <w:top w:w="0" w:type="dxa"/>
          <w:left w:w="0" w:type="dxa"/>
          <w:bottom w:w="0" w:type="dxa"/>
          <w:right w:w="0" w:type="dxa"/>
        </w:tblCellMar>
        <w:tblLook w:val="01E0"/>
      </w:tblPr>
      <w:tblGrid>
        <w:gridCol w:w="2693"/>
        <w:gridCol w:w="481"/>
        <w:gridCol w:w="1139"/>
        <w:gridCol w:w="479"/>
        <w:gridCol w:w="1681"/>
        <w:gridCol w:w="236"/>
        <w:gridCol w:w="1744"/>
      </w:tblGrid>
      <w:tr>
        <w:trPr>
          <w:trHeight w:val="292" w:hRule="exact"/>
        </w:trPr>
        <w:tc>
          <w:tcPr>
            <w:tcW w:w="8453"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left="7" w:right="0"/>
              <w:jc w:val="center"/>
              <w:rPr>
                <w:rFonts w:ascii="黑体" w:hAnsi="黑体" w:cs="黑体" w:eastAsia="黑体" w:hint="default"/>
                <w:sz w:val="24"/>
                <w:szCs w:val="24"/>
              </w:rPr>
            </w:pPr>
            <w:r>
              <w:rPr>
                <w:rFonts w:ascii="黑体" w:hAnsi="黑体" w:cs="黑体" w:eastAsia="黑体" w:hint="default"/>
                <w:sz w:val="24"/>
                <w:szCs w:val="24"/>
              </w:rPr>
              <w:t>资产负债表（续）</w:t>
            </w:r>
          </w:p>
        </w:tc>
      </w:tr>
      <w:tr>
        <w:trPr>
          <w:trHeight w:val="302" w:hRule="exact"/>
        </w:trPr>
        <w:tc>
          <w:tcPr>
            <w:tcW w:w="8453" w:type="dxa"/>
            <w:gridSpan w:val="7"/>
            <w:tcBorders>
              <w:top w:val="nil" w:sz="6" w:space="0" w:color="auto"/>
              <w:left w:val="nil" w:sz="6" w:space="0" w:color="auto"/>
              <w:bottom w:val="nil" w:sz="6" w:space="0" w:color="auto"/>
              <w:right w:val="nil" w:sz="6" w:space="0" w:color="auto"/>
            </w:tcBorders>
          </w:tcPr>
          <w:p>
            <w:pPr>
              <w:pStyle w:val="TableParagraph"/>
              <w:spacing w:line="245"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12" w:hRule="exact"/>
        </w:trPr>
        <w:tc>
          <w:tcPr>
            <w:tcW w:w="431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414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5"/>
              <w:ind w:left="2232"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312" w:hRule="exact"/>
        </w:trPr>
        <w:tc>
          <w:tcPr>
            <w:tcW w:w="26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b/>
                <w:bCs/>
                <w:sz w:val="18"/>
                <w:szCs w:val="18"/>
              </w:rPr>
              <w:t>负债和所有者权益</w:t>
            </w:r>
            <w:r>
              <w:rPr>
                <w:rFonts w:ascii="宋体" w:hAnsi="宋体" w:cs="宋体" w:eastAsia="宋体" w:hint="default"/>
                <w:sz w:val="18"/>
                <w:szCs w:val="18"/>
              </w:rPr>
            </w:r>
          </w:p>
        </w:tc>
        <w:tc>
          <w:tcPr>
            <w:tcW w:w="481" w:type="dxa"/>
            <w:tcBorders>
              <w:top w:val="single" w:sz="4" w:space="0" w:color="000000"/>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15" w:right="0"/>
              <w:jc w:val="left"/>
              <w:rPr>
                <w:rFonts w:ascii="宋体" w:hAnsi="宋体" w:cs="宋体" w:eastAsia="宋体" w:hint="default"/>
                <w:sz w:val="18"/>
                <w:szCs w:val="18"/>
              </w:rPr>
            </w:pPr>
            <w:r>
              <w:rPr>
                <w:rFonts w:ascii="宋体" w:hAnsi="宋体" w:cs="宋体" w:eastAsia="宋体" w:hint="default"/>
                <w:b/>
                <w:bCs/>
                <w:sz w:val="18"/>
                <w:szCs w:val="18"/>
              </w:rPr>
              <w:t>附注十一</w:t>
            </w:r>
            <w:r>
              <w:rPr>
                <w:rFonts w:ascii="宋体" w:hAnsi="宋体" w:cs="宋体" w:eastAsia="宋体" w:hint="default"/>
                <w:sz w:val="18"/>
                <w:szCs w:val="18"/>
              </w:rPr>
            </w:r>
          </w:p>
        </w:tc>
        <w:tc>
          <w:tcPr>
            <w:tcW w:w="479" w:type="dxa"/>
            <w:tcBorders>
              <w:top w:val="single" w:sz="4" w:space="0" w:color="000000"/>
              <w:left w:val="nil" w:sz="6" w:space="0" w:color="auto"/>
              <w:bottom w:val="nil" w:sz="6" w:space="0" w:color="auto"/>
              <w:right w:val="nil" w:sz="6" w:space="0" w:color="auto"/>
            </w:tcBorders>
          </w:tcPr>
          <w:p>
            <w:pPr/>
          </w:p>
        </w:tc>
        <w:tc>
          <w:tcPr>
            <w:tcW w:w="168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年</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7"/>
                <w:sz w:val="18"/>
                <w:szCs w:val="18"/>
              </w:rPr>
              <w:t> </w:t>
            </w:r>
            <w:r>
              <w:rPr>
                <w:rFonts w:ascii="宋体" w:hAnsi="宋体" w:cs="宋体" w:eastAsia="宋体" w:hint="default"/>
                <w:b/>
                <w:bCs/>
                <w:sz w:val="18"/>
                <w:szCs w:val="18"/>
              </w:rPr>
              <w:t>月</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16" w:hRule="exact"/>
        </w:trPr>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7"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spacing w:val="-1"/>
                <w:sz w:val="18"/>
              </w:rPr>
              <w:t>66,500,000.00</w:t>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979,607.63</w:t>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1,202,371.07</w:t>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254,752.13</w:t>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434,020.32</w:t>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37,255,684.30</w:t>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29,775,994.68</w:t>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pacing w:val="-1"/>
                <w:sz w:val="18"/>
              </w:rPr>
              <w:t>479,175,414.97</w:t>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7"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1,883,717.29</w:t>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7"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9"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pacing w:val="-1"/>
                <w:sz w:val="18"/>
              </w:rPr>
              <w:t>32,894,071.73</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pacing w:val="-1"/>
                <w:sz w:val="18"/>
              </w:rPr>
              <w:t>584,567,490.66</w:t>
            </w:r>
            <w:r>
              <w:rPr>
                <w:rFonts w:ascii="Times New Roman"/>
                <w:spacing w:val="-1"/>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nil" w:sz="6" w:space="0" w:color="auto"/>
              <w:right w:val="nil" w:sz="6" w:space="0" w:color="auto"/>
            </w:tcBorders>
          </w:tcPr>
          <w:p>
            <w:pPr/>
          </w:p>
        </w:tc>
      </w:tr>
      <w:tr>
        <w:trPr>
          <w:trHeight w:val="311"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pacing w:val="-1"/>
                <w:sz w:val="18"/>
              </w:rPr>
              <w:t>128,278,750.15</w:t>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7"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7"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9"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pacing w:val="-1"/>
                <w:sz w:val="18"/>
              </w:rPr>
              <w:t>128,278,750.15</w:t>
            </w:r>
            <w:r>
              <w:rPr>
                <w:rFonts w:ascii="Times New Roman"/>
                <w:spacing w:val="-1"/>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pacing w:val="-1"/>
                <w:sz w:val="18"/>
              </w:rPr>
              <w:t>32,894,071.73</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pacing w:val="-1"/>
                <w:sz w:val="18"/>
              </w:rPr>
              <w:t>712,846,240.81</w:t>
            </w:r>
            <w:r>
              <w:rPr>
                <w:rFonts w:ascii="Times New Roman"/>
                <w:spacing w:val="-1"/>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nil" w:sz="6" w:space="0" w:color="auto"/>
              <w:right w:val="nil" w:sz="6" w:space="0" w:color="auto"/>
            </w:tcBorders>
          </w:tcPr>
          <w:p>
            <w:pPr/>
          </w:p>
        </w:tc>
      </w:tr>
      <w:tr>
        <w:trPr>
          <w:trHeight w:val="311"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8"/>
                <w:szCs w:val="18"/>
              </w:rPr>
            </w:pPr>
            <w:r>
              <w:rPr>
                <w:rFonts w:ascii="Times New Roman"/>
                <w:spacing w:val="-1"/>
                <w:sz w:val="18"/>
              </w:rPr>
              <w:t>357,973,531.00</w:t>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8"/>
                <w:szCs w:val="18"/>
              </w:rPr>
            </w:pPr>
            <w:r>
              <w:rPr>
                <w:rFonts w:ascii="Times New Roman"/>
                <w:spacing w:val="-1"/>
                <w:sz w:val="18"/>
              </w:rPr>
              <w:t>357,973,531.00</w:t>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pacing w:val="-1"/>
                <w:sz w:val="18"/>
              </w:rPr>
              <w:t>701,620,566.42</w:t>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pacing w:val="-1"/>
                <w:sz w:val="18"/>
              </w:rPr>
              <w:t>319,552,196.86</w:t>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65,738,593.50</w:t>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317"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pacing w:val="-1"/>
                <w:sz w:val="18"/>
              </w:rPr>
              <w:t>-788,473,036.27</w:t>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-1,203,119,467.40</w:t>
            </w:r>
          </w:p>
        </w:tc>
      </w:tr>
      <w:tr>
        <w:trPr>
          <w:trHeight w:val="308"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pacing w:val="-1"/>
                <w:sz w:val="18"/>
              </w:rPr>
              <w:t>336,859,654.65</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pacing w:val="-1"/>
                <w:sz w:val="18"/>
              </w:rPr>
              <w:t>-459,855,146.04</w:t>
            </w:r>
            <w:r>
              <w:rPr>
                <w:rFonts w:ascii="Times New Roman"/>
                <w:spacing w:val="-1"/>
                <w:sz w:val="18"/>
              </w:rPr>
            </w:r>
          </w:p>
        </w:tc>
      </w:tr>
      <w:tr>
        <w:trPr>
          <w:trHeight w:val="329"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481"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681"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pacing w:val="-1"/>
                <w:sz w:val="18"/>
              </w:rPr>
              <w:t>369,753,726.38</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pacing w:val="-1"/>
                <w:sz w:val="18"/>
              </w:rPr>
              <w:t>252,991,094.77</w:t>
            </w:r>
            <w:r>
              <w:rPr>
                <w:rFonts w:ascii="Times New Roman"/>
                <w:spacing w:val="-1"/>
                <w:sz w:val="18"/>
              </w:rPr>
            </w:r>
          </w:p>
        </w:tc>
      </w:tr>
      <w:tr>
        <w:trPr>
          <w:trHeight w:val="295" w:hRule="exact"/>
        </w:trPr>
        <w:tc>
          <w:tcPr>
            <w:tcW w:w="2693" w:type="dxa"/>
            <w:tcBorders>
              <w:top w:val="nil" w:sz="6" w:space="0" w:color="auto"/>
              <w:left w:val="nil" w:sz="6" w:space="0" w:color="auto"/>
              <w:bottom w:val="single" w:sz="4" w:space="0" w:color="000000"/>
              <w:right w:val="nil" w:sz="6" w:space="0" w:color="auto"/>
            </w:tcBorders>
          </w:tcPr>
          <w:p>
            <w:pPr/>
          </w:p>
        </w:tc>
        <w:tc>
          <w:tcPr>
            <w:tcW w:w="481" w:type="dxa"/>
            <w:tcBorders>
              <w:top w:val="nil" w:sz="6" w:space="0" w:color="auto"/>
              <w:left w:val="nil" w:sz="6" w:space="0" w:color="auto"/>
              <w:bottom w:val="single" w:sz="4" w:space="0" w:color="000000"/>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
        </w:tc>
        <w:tc>
          <w:tcPr>
            <w:tcW w:w="479" w:type="dxa"/>
            <w:tcBorders>
              <w:top w:val="nil" w:sz="6" w:space="0" w:color="auto"/>
              <w:left w:val="nil" w:sz="6" w:space="0" w:color="auto"/>
              <w:bottom w:val="single" w:sz="4" w:space="0" w:color="000000"/>
              <w:right w:val="nil" w:sz="6" w:space="0" w:color="auto"/>
            </w:tcBorders>
          </w:tcPr>
          <w:p>
            <w:pPr/>
          </w:p>
        </w:tc>
        <w:tc>
          <w:tcPr>
            <w:tcW w:w="1681"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744" w:type="dxa"/>
            <w:tcBorders>
              <w:top w:val="single" w:sz="17" w:space="0" w:color="000000"/>
              <w:left w:val="nil" w:sz="6" w:space="0" w:color="auto"/>
              <w:bottom w:val="single" w:sz="4" w:space="0" w:color="000000"/>
              <w:right w:val="nil" w:sz="6" w:space="0" w:color="auto"/>
            </w:tcBorders>
          </w:tcPr>
          <w:p>
            <w:pPr/>
          </w:p>
        </w:tc>
      </w:tr>
      <w:tr>
        <w:trPr>
          <w:trHeight w:val="619" w:hRule="exact"/>
        </w:trPr>
        <w:tc>
          <w:tcPr>
            <w:tcW w:w="8453"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700"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246" w:hRule="exact"/>
        </w:trPr>
        <w:tc>
          <w:tcPr>
            <w:tcW w:w="8453" w:type="dxa"/>
            <w:gridSpan w:val="7"/>
            <w:tcBorders>
              <w:top w:val="nil" w:sz="6" w:space="0" w:color="auto"/>
              <w:left w:val="nil" w:sz="6" w:space="0" w:color="auto"/>
              <w:bottom w:val="nil" w:sz="6" w:space="0" w:color="auto"/>
              <w:right w:val="nil" w:sz="6" w:space="0" w:color="auto"/>
            </w:tcBorders>
          </w:tcPr>
          <w:p>
            <w:pPr>
              <w:pStyle w:val="TableParagraph"/>
              <w:tabs>
                <w:tab w:pos="3077" w:val="left" w:leader="none"/>
                <w:tab w:pos="6047" w:val="left" w:leader="none"/>
              </w:tabs>
              <w:spacing w:line="240" w:lineRule="auto" w:before="10"/>
              <w:ind w:left="108" w:right="0"/>
              <w:jc w:val="left"/>
              <w:rPr>
                <w:rFonts w:ascii="黑体" w:hAnsi="黑体" w:cs="黑体" w:eastAsia="黑体" w:hint="default"/>
                <w:sz w:val="18"/>
                <w:szCs w:val="18"/>
              </w:rPr>
            </w:pPr>
            <w:r>
              <w:rPr>
                <w:rFonts w:ascii="黑体" w:hAnsi="黑体" w:cs="黑体" w:eastAsia="黑体" w:hint="default"/>
                <w:sz w:val="18"/>
                <w:szCs w:val="18"/>
              </w:rPr>
              <w:t>公司法定代表人：晏群</w:t>
              <w:tab/>
              <w:t>主管会计工作负责人：梁侠</w:t>
              <w:tab/>
              <w:t>会计机构负责人：林小浓</w:t>
            </w:r>
          </w:p>
        </w:tc>
      </w:tr>
    </w:tbl>
    <w:p>
      <w:pPr>
        <w:spacing w:after="0" w:line="240" w:lineRule="auto"/>
        <w:jc w:val="left"/>
        <w:rPr>
          <w:rFonts w:ascii="黑体" w:hAnsi="黑体" w:cs="黑体" w:eastAsia="黑体" w:hint="default"/>
          <w:sz w:val="18"/>
          <w:szCs w:val="18"/>
        </w:rPr>
        <w:sectPr>
          <w:pgSz w:w="11910" w:h="16840"/>
          <w:pgMar w:header="867" w:footer="975" w:top="1060" w:bottom="1160" w:left="1660" w:right="1520"/>
        </w:sectPr>
      </w:pPr>
    </w:p>
    <w:p>
      <w:pPr>
        <w:spacing w:line="240" w:lineRule="auto" w:before="0"/>
        <w:rPr>
          <w:rFonts w:ascii="Times New Roman" w:hAnsi="Times New Roman" w:cs="Times New Roman" w:eastAsia="Times New Roman" w:hint="default"/>
          <w:sz w:val="20"/>
          <w:szCs w:val="20"/>
        </w:rPr>
      </w:pPr>
      <w:r>
        <w:rPr/>
        <w:pict>
          <v:shape style="position:absolute;margin-left:361.699982pt;margin-top:325.940002pt;width:160.064482pt;height:1.755pt;mso-position-horizontal-relative:page;mso-position-vertical-relative:page;z-index:-728440" type="#_x0000_t75" stroked="false">
            <v:imagedata r:id="rId27" o:title=""/>
          </v:shape>
        </w:pict>
      </w:r>
      <w:r>
        <w:rPr/>
        <w:pict>
          <v:shape style="position:absolute;margin-left:361.699982pt;margin-top:394.940002pt;width:162.313796pt;height:1.785pt;mso-position-horizontal-relative:page;mso-position-vertical-relative:page;z-index:-728416" type="#_x0000_t75" stroked="false">
            <v:imagedata r:id="rId28" o:title=""/>
          </v:shape>
        </w:pict>
      </w:r>
      <w:r>
        <w:rPr/>
        <w:pict>
          <v:shape style="position:absolute;margin-left:361.699982pt;margin-top:429.980011pt;width:160.064482pt;height:1.755pt;mso-position-horizontal-relative:page;mso-position-vertical-relative:page;z-index:-728392" type="#_x0000_t75" stroked="false">
            <v:imagedata r:id="rId27" o:title=""/>
          </v:shape>
        </w:pict>
      </w:r>
      <w:r>
        <w:rPr/>
        <w:pict>
          <v:shape style="position:absolute;margin-left:361.699982pt;margin-top:500.720001pt;width:159.585833pt;height:1.755pt;mso-position-horizontal-relative:page;mso-position-vertical-relative:page;z-index:-728368" type="#_x0000_t75" stroked="false">
            <v:imagedata r:id="rId29" o:title=""/>
          </v:shape>
        </w:pict>
      </w:r>
      <w:r>
        <w:rPr/>
        <w:pict>
          <v:group style="position:absolute;margin-left:361.980011pt;margin-top:518.820007pt;width:69.9pt;height:2.2pt;mso-position-horizontal-relative:page;mso-position-vertical-relative:page;z-index:-728344" coordorigin="7240,10376" coordsize="1398,44">
            <v:group style="position:absolute;left:7247;top:10384;width:1384;height:2" coordorigin="7247,10384" coordsize="1384,2">
              <v:shape style="position:absolute;left:7247;top:10384;width:1384;height:2" coordorigin="7247,10384" coordsize="1384,0" path="m7247,10384l8630,10384e" filled="false" stroked="true" strokeweight=".72pt" strokecolor="#000000">
                <v:path arrowok="t"/>
              </v:shape>
            </v:group>
            <v:group style="position:absolute;left:7247;top:10412;width:1384;height:2" coordorigin="7247,10412" coordsize="1384,2">
              <v:shape style="position:absolute;left:7247;top:10412;width:1384;height:2" coordorigin="7247,10412" coordsize="1384,0" path="m7247,10412l8630,10412e" filled="false" stroked="true" strokeweight=".72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tbl>
      <w:tblPr>
        <w:tblW w:w="0" w:type="auto"/>
        <w:jc w:val="left"/>
        <w:tblInd w:w="137" w:type="dxa"/>
        <w:tblLayout w:type="fixed"/>
        <w:tblCellMar>
          <w:top w:w="0" w:type="dxa"/>
          <w:left w:w="0" w:type="dxa"/>
          <w:bottom w:w="0" w:type="dxa"/>
          <w:right w:w="0" w:type="dxa"/>
        </w:tblCellMar>
        <w:tblLook w:val="01E0"/>
      </w:tblPr>
      <w:tblGrid>
        <w:gridCol w:w="4169"/>
        <w:gridCol w:w="1044"/>
        <w:gridCol w:w="236"/>
        <w:gridCol w:w="1384"/>
        <w:gridCol w:w="236"/>
        <w:gridCol w:w="1564"/>
      </w:tblGrid>
      <w:tr>
        <w:trPr>
          <w:trHeight w:val="305" w:hRule="exact"/>
        </w:trPr>
        <w:tc>
          <w:tcPr>
            <w:tcW w:w="8633" w:type="dxa"/>
            <w:gridSpan w:val="6"/>
            <w:tcBorders>
              <w:top w:val="nil" w:sz="6" w:space="0" w:color="auto"/>
              <w:left w:val="nil" w:sz="6" w:space="0" w:color="auto"/>
              <w:bottom w:val="nil" w:sz="6" w:space="0" w:color="auto"/>
              <w:right w:val="nil" w:sz="6" w:space="0" w:color="auto"/>
            </w:tcBorders>
          </w:tcPr>
          <w:p>
            <w:pPr>
              <w:pStyle w:val="TableParagraph"/>
              <w:spacing w:line="240" w:lineRule="exact"/>
              <w:ind w:left="7" w:right="0"/>
              <w:jc w:val="center"/>
              <w:rPr>
                <w:rFonts w:ascii="黑体" w:hAnsi="黑体" w:cs="黑体" w:eastAsia="黑体" w:hint="default"/>
                <w:sz w:val="24"/>
                <w:szCs w:val="24"/>
              </w:rPr>
            </w:pPr>
            <w:r>
              <w:rPr>
                <w:rFonts w:ascii="黑体" w:hAnsi="黑体" w:cs="黑体" w:eastAsia="黑体" w:hint="default"/>
                <w:sz w:val="24"/>
                <w:szCs w:val="24"/>
              </w:rPr>
              <w:t>利润表</w:t>
            </w:r>
          </w:p>
        </w:tc>
      </w:tr>
      <w:tr>
        <w:trPr>
          <w:trHeight w:val="331" w:hRule="exact"/>
        </w:trPr>
        <w:tc>
          <w:tcPr>
            <w:tcW w:w="863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1" w:hRule="exact"/>
        </w:trPr>
        <w:tc>
          <w:tcPr>
            <w:tcW w:w="4169"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1044" w:type="dxa"/>
            <w:tcBorders>
              <w:top w:val="nil" w:sz="6" w:space="0" w:color="auto"/>
              <w:left w:val="nil" w:sz="6" w:space="0" w:color="auto"/>
              <w:bottom w:val="single" w:sz="4" w:space="0" w:color="000000"/>
              <w:right w:val="nil" w:sz="6" w:space="0" w:color="auto"/>
            </w:tcBorders>
          </w:tcPr>
          <w:p>
            <w:pPr/>
          </w:p>
        </w:tc>
        <w:tc>
          <w:tcPr>
            <w:tcW w:w="342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20"/>
              <w:ind w:left="1512"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350" w:hRule="exact"/>
        </w:trPr>
        <w:tc>
          <w:tcPr>
            <w:tcW w:w="416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8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 w:right="0"/>
              <w:jc w:val="center"/>
              <w:rPr>
                <w:rFonts w:ascii="宋体" w:hAnsi="宋体" w:cs="宋体" w:eastAsia="宋体" w:hint="default"/>
                <w:sz w:val="18"/>
                <w:szCs w:val="18"/>
              </w:rPr>
            </w:pPr>
            <w:r>
              <w:rPr>
                <w:rFonts w:ascii="宋体" w:hAnsi="宋体" w:cs="宋体" w:eastAsia="宋体" w:hint="default"/>
                <w:b/>
                <w:bCs/>
                <w:sz w:val="18"/>
                <w:szCs w:val="18"/>
              </w:rPr>
              <w:t>附注十一</w:t>
            </w:r>
            <w:r>
              <w:rPr>
                <w:rFonts w:ascii="宋体" w:hAnsi="宋体" w:cs="宋体" w:eastAsia="宋体"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年度</w:t>
            </w:r>
            <w:r>
              <w:rPr>
                <w:rFonts w:ascii="宋体" w:hAnsi="宋体" w:cs="宋体" w:eastAsia="宋体"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2009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50" w:hRule="exact"/>
        </w:trPr>
        <w:tc>
          <w:tcPr>
            <w:tcW w:w="416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044"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40"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40"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38"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9,397,745.66</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9,509,907.58</w:t>
            </w:r>
          </w:p>
        </w:tc>
      </w:tr>
      <w:tr>
        <w:trPr>
          <w:trHeight w:val="340"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5"/>
                <w:sz w:val="18"/>
              </w:rPr>
              <w:t>-2,297.85</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11,497,804.24</w:t>
            </w:r>
          </w:p>
        </w:tc>
      </w:tr>
      <w:tr>
        <w:trPr>
          <w:trHeight w:val="340"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5"/>
                <w:sz w:val="18"/>
              </w:rPr>
              <w:t>-706,408.37</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-6,493,846.64</w:t>
            </w:r>
          </w:p>
        </w:tc>
      </w:tr>
      <w:tr>
        <w:trPr>
          <w:trHeight w:val="341"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1" w:right="0"/>
              <w:jc w:val="center"/>
              <w:rPr>
                <w:rFonts w:ascii="Times New Roman" w:hAnsi="Times New Roman" w:cs="Times New Roman" w:eastAsia="Times New Roman" w:hint="default"/>
                <w:sz w:val="18"/>
                <w:szCs w:val="18"/>
              </w:rPr>
            </w:pPr>
            <w:r>
              <w:rPr>
                <w:rFonts w:ascii="Times New Roman"/>
                <w:sz w:val="18"/>
              </w:rPr>
              <w:t>3</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z w:val="18"/>
              </w:rPr>
              <w:t>105,000.00</w:t>
            </w:r>
          </w:p>
        </w:tc>
      </w:tr>
      <w:tr>
        <w:trPr>
          <w:trHeight w:val="34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6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44"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323232"/>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b/>
                <w:spacing w:val="-1"/>
                <w:sz w:val="18"/>
              </w:rPr>
              <w:t>-8,689,039.44</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4" w:space="0" w:color="323232"/>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b/>
                <w:spacing w:val="-1"/>
                <w:sz w:val="18"/>
              </w:rPr>
              <w:t>-14,408,865.18</w:t>
            </w:r>
            <w:r>
              <w:rPr>
                <w:rFonts w:ascii="Times New Roman"/>
                <w:spacing w:val="-1"/>
                <w:sz w:val="18"/>
              </w:rPr>
            </w:r>
          </w:p>
        </w:tc>
      </w:tr>
      <w:tr>
        <w:trPr>
          <w:trHeight w:val="349"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323232"/>
              <w:left w:val="nil" w:sz="6" w:space="0" w:color="auto"/>
              <w:bottom w:val="nil" w:sz="6" w:space="0" w:color="auto"/>
              <w:right w:val="nil" w:sz="6" w:space="0" w:color="auto"/>
            </w:tcBorders>
          </w:tcPr>
          <w:p>
            <w:pPr>
              <w:pStyle w:val="TableParagraph"/>
              <w:spacing w:line="240" w:lineRule="auto" w:before="65"/>
              <w:ind w:right="97"/>
              <w:jc w:val="right"/>
              <w:rPr>
                <w:rFonts w:ascii="Times New Roman" w:hAnsi="Times New Roman" w:cs="Times New Roman" w:eastAsia="Times New Roman" w:hint="default"/>
                <w:sz w:val="18"/>
                <w:szCs w:val="18"/>
              </w:rPr>
            </w:pPr>
            <w:r>
              <w:rPr>
                <w:rFonts w:ascii="Times New Roman"/>
                <w:spacing w:val="-1"/>
                <w:sz w:val="18"/>
              </w:rPr>
              <w:t>423,493,744.88</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323232"/>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z w:val="18"/>
              </w:rPr>
              <w:t>158,274.31</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5"/>
                <w:sz w:val="18"/>
              </w:rPr>
              <w:t>-300,000.00</w:t>
            </w:r>
            <w:r>
              <w:rPr>
                <w:rFonts w:ascii="Times New Roman"/>
                <w:sz w:val="18"/>
              </w:rPr>
            </w:r>
          </w:p>
        </w:tc>
      </w:tr>
      <w:tr>
        <w:trPr>
          <w:trHeight w:val="345"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6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z w:val="18"/>
              </w:rPr>
              <w:t>158,274.31</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323232"/>
              <w:right w:val="nil" w:sz="6" w:space="0" w:color="auto"/>
            </w:tcBorders>
          </w:tcPr>
          <w:p>
            <w:pPr>
              <w:pStyle w:val="TableParagraph"/>
              <w:spacing w:line="240" w:lineRule="auto" w:before="69"/>
              <w:ind w:right="97"/>
              <w:jc w:val="right"/>
              <w:rPr>
                <w:rFonts w:ascii="Times New Roman" w:hAnsi="Times New Roman" w:cs="Times New Roman" w:eastAsia="Times New Roman" w:hint="default"/>
                <w:sz w:val="18"/>
                <w:szCs w:val="18"/>
              </w:rPr>
            </w:pPr>
            <w:r>
              <w:rPr>
                <w:rFonts w:ascii="Times New Roman"/>
                <w:b/>
                <w:spacing w:val="-1"/>
                <w:sz w:val="18"/>
              </w:rPr>
              <w:t>414,646,431.13</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4" w:space="0" w:color="323232"/>
              <w:right w:val="nil" w:sz="6" w:space="0" w:color="auto"/>
            </w:tcBorders>
          </w:tcPr>
          <w:p>
            <w:pPr>
              <w:pStyle w:val="TableParagraph"/>
              <w:spacing w:line="240" w:lineRule="auto" w:before="69"/>
              <w:ind w:right="97"/>
              <w:jc w:val="right"/>
              <w:rPr>
                <w:rFonts w:ascii="Times New Roman" w:hAnsi="Times New Roman" w:cs="Times New Roman" w:eastAsia="Times New Roman" w:hint="default"/>
                <w:sz w:val="18"/>
                <w:szCs w:val="18"/>
              </w:rPr>
            </w:pPr>
            <w:r>
              <w:rPr>
                <w:rFonts w:ascii="Times New Roman"/>
                <w:b/>
                <w:spacing w:val="-1"/>
                <w:sz w:val="18"/>
              </w:rPr>
              <w:t>-14,108,865.18</w:t>
            </w:r>
            <w:r>
              <w:rPr>
                <w:rFonts w:ascii="Times New Roman"/>
                <w:spacing w:val="-1"/>
                <w:sz w:val="18"/>
              </w:rPr>
            </w:r>
          </w:p>
        </w:tc>
      </w:tr>
      <w:tr>
        <w:trPr>
          <w:trHeight w:val="354"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323232"/>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323232"/>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7" w:space="0" w:color="323232"/>
              <w:right w:val="nil" w:sz="6" w:space="0" w:color="auto"/>
            </w:tcBorders>
          </w:tcPr>
          <w:p>
            <w:pPr>
              <w:pStyle w:val="TableParagraph"/>
              <w:spacing w:line="240" w:lineRule="auto" w:before="69"/>
              <w:ind w:right="97"/>
              <w:jc w:val="right"/>
              <w:rPr>
                <w:rFonts w:ascii="Times New Roman" w:hAnsi="Times New Roman" w:cs="Times New Roman" w:eastAsia="Times New Roman" w:hint="default"/>
                <w:sz w:val="18"/>
                <w:szCs w:val="18"/>
              </w:rPr>
            </w:pPr>
            <w:r>
              <w:rPr>
                <w:rFonts w:ascii="Times New Roman"/>
                <w:b/>
                <w:spacing w:val="-1"/>
                <w:sz w:val="18"/>
              </w:rPr>
              <w:t>414,646,431.13</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17" w:space="0" w:color="323232"/>
              <w:right w:val="nil" w:sz="6" w:space="0" w:color="auto"/>
            </w:tcBorders>
          </w:tcPr>
          <w:p>
            <w:pPr>
              <w:pStyle w:val="TableParagraph"/>
              <w:spacing w:line="240" w:lineRule="auto" w:before="69"/>
              <w:ind w:right="97"/>
              <w:jc w:val="right"/>
              <w:rPr>
                <w:rFonts w:ascii="Times New Roman" w:hAnsi="Times New Roman" w:cs="Times New Roman" w:eastAsia="Times New Roman" w:hint="default"/>
                <w:sz w:val="18"/>
                <w:szCs w:val="18"/>
              </w:rPr>
            </w:pPr>
            <w:r>
              <w:rPr>
                <w:rFonts w:ascii="Times New Roman"/>
                <w:b/>
                <w:spacing w:val="-1"/>
                <w:sz w:val="18"/>
              </w:rPr>
              <w:t>-14,108,865.18</w:t>
            </w:r>
            <w:r>
              <w:rPr>
                <w:rFonts w:ascii="Times New Roman"/>
                <w:spacing w:val="-1"/>
                <w:sz w:val="18"/>
              </w:rPr>
            </w:r>
          </w:p>
        </w:tc>
      </w:tr>
      <w:tr>
        <w:trPr>
          <w:trHeight w:val="368"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基本每股收益</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17" w:space="0" w:color="323232"/>
              <w:left w:val="nil" w:sz="6" w:space="0" w:color="auto"/>
              <w:bottom w:val="nil" w:sz="6" w:space="0" w:color="auto"/>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18"/>
                <w:szCs w:val="18"/>
              </w:rPr>
            </w:pPr>
            <w:r>
              <w:rPr>
                <w:rFonts w:ascii="Times New Roman"/>
                <w:sz w:val="18"/>
              </w:rPr>
              <w:t>1.16</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single" w:sz="17" w:space="0" w:color="323232"/>
              <w:left w:val="nil" w:sz="6" w:space="0" w:color="auto"/>
              <w:bottom w:val="nil" w:sz="6" w:space="0" w:color="auto"/>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18"/>
                <w:szCs w:val="18"/>
              </w:rPr>
            </w:pPr>
            <w:r>
              <w:rPr>
                <w:rFonts w:ascii="Times New Roman"/>
                <w:sz w:val="18"/>
              </w:rPr>
              <w:t>-0.04</w:t>
            </w:r>
          </w:p>
        </w:tc>
      </w:tr>
      <w:tr>
        <w:trPr>
          <w:trHeight w:val="340"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稀释每股收益</w:t>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1.16</w:t>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-0.04</w:t>
            </w:r>
          </w:p>
        </w:tc>
      </w:tr>
      <w:tr>
        <w:trPr>
          <w:trHeight w:val="34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b/>
                <w:bCs/>
                <w:sz w:val="18"/>
                <w:szCs w:val="18"/>
              </w:rPr>
              <w:t>五、其他综合收益</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61"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7"/>
              <w:jc w:val="right"/>
              <w:rPr>
                <w:rFonts w:ascii="Times New Roman" w:hAnsi="Times New Roman" w:cs="Times New Roman" w:eastAsia="Times New Roman" w:hint="default"/>
                <w:sz w:val="18"/>
                <w:szCs w:val="18"/>
              </w:rPr>
            </w:pPr>
            <w:r>
              <w:rPr>
                <w:rFonts w:ascii="Times New Roman"/>
                <w:b/>
                <w:spacing w:val="-1"/>
                <w:sz w:val="18"/>
              </w:rPr>
              <w:t>414,646,431.13</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97"/>
              <w:jc w:val="right"/>
              <w:rPr>
                <w:rFonts w:ascii="Times New Roman" w:hAnsi="Times New Roman" w:cs="Times New Roman" w:eastAsia="Times New Roman" w:hint="default"/>
                <w:sz w:val="18"/>
                <w:szCs w:val="18"/>
              </w:rPr>
            </w:pPr>
            <w:r>
              <w:rPr>
                <w:rFonts w:ascii="Times New Roman"/>
                <w:b/>
                <w:spacing w:val="-1"/>
                <w:sz w:val="18"/>
              </w:rPr>
              <w:t>-14,108,865.18</w:t>
            </w:r>
            <w:r>
              <w:rPr>
                <w:rFonts w:ascii="Times New Roman"/>
                <w:spacing w:val="-1"/>
                <w:sz w:val="18"/>
              </w:rPr>
            </w:r>
          </w:p>
        </w:tc>
      </w:tr>
      <w:tr>
        <w:trPr>
          <w:trHeight w:val="709" w:hRule="exact"/>
        </w:trPr>
        <w:tc>
          <w:tcPr>
            <w:tcW w:w="4169" w:type="dxa"/>
            <w:tcBorders>
              <w:top w:val="nil" w:sz="6" w:space="0" w:color="auto"/>
              <w:left w:val="nil" w:sz="6" w:space="0" w:color="auto"/>
              <w:bottom w:val="single" w:sz="4" w:space="0" w:color="000000"/>
              <w:right w:val="nil" w:sz="6" w:space="0" w:color="auto"/>
            </w:tcBorders>
          </w:tcPr>
          <w:p>
            <w:pPr/>
          </w:p>
        </w:tc>
        <w:tc>
          <w:tcPr>
            <w:tcW w:w="1044"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564" w:type="dxa"/>
            <w:tcBorders>
              <w:top w:val="single" w:sz="17" w:space="0" w:color="000000"/>
              <w:left w:val="nil" w:sz="6" w:space="0" w:color="auto"/>
              <w:bottom w:val="single" w:sz="4" w:space="0" w:color="000000"/>
              <w:right w:val="nil" w:sz="6" w:space="0" w:color="auto"/>
            </w:tcBorders>
          </w:tcPr>
          <w:p>
            <w:pPr/>
          </w:p>
        </w:tc>
      </w:tr>
      <w:tr>
        <w:trPr>
          <w:trHeight w:val="691" w:hRule="exact"/>
        </w:trPr>
        <w:tc>
          <w:tcPr>
            <w:tcW w:w="8633"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90"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268" w:hRule="exact"/>
        </w:trPr>
        <w:tc>
          <w:tcPr>
            <w:tcW w:w="8633" w:type="dxa"/>
            <w:gridSpan w:val="6"/>
            <w:tcBorders>
              <w:top w:val="nil" w:sz="6" w:space="0" w:color="auto"/>
              <w:left w:val="nil" w:sz="6" w:space="0" w:color="auto"/>
              <w:bottom w:val="nil" w:sz="6" w:space="0" w:color="auto"/>
              <w:right w:val="nil" w:sz="6" w:space="0" w:color="auto"/>
            </w:tcBorders>
          </w:tcPr>
          <w:p>
            <w:pPr>
              <w:pStyle w:val="TableParagraph"/>
              <w:tabs>
                <w:tab w:pos="3077" w:val="left" w:leader="none"/>
                <w:tab w:pos="6047" w:val="left" w:leader="none"/>
              </w:tabs>
              <w:spacing w:line="240" w:lineRule="auto" w:before="32"/>
              <w:ind w:left="108" w:right="0"/>
              <w:jc w:val="left"/>
              <w:rPr>
                <w:rFonts w:ascii="黑体" w:hAnsi="黑体" w:cs="黑体" w:eastAsia="黑体" w:hint="default"/>
                <w:sz w:val="18"/>
                <w:szCs w:val="18"/>
              </w:rPr>
            </w:pPr>
            <w:r>
              <w:rPr>
                <w:rFonts w:ascii="黑体" w:hAnsi="黑体" w:cs="黑体" w:eastAsia="黑体" w:hint="default"/>
                <w:sz w:val="18"/>
                <w:szCs w:val="18"/>
              </w:rPr>
              <w:t>公司法定代表人：晏群</w:t>
              <w:tab/>
              <w:t>主管会计工作负责人：梁侠</w:t>
              <w:tab/>
              <w:t>会计机构负责人：林小浓</w:t>
            </w:r>
          </w:p>
        </w:tc>
      </w:tr>
    </w:tbl>
    <w:p>
      <w:pPr>
        <w:spacing w:after="0" w:line="240" w:lineRule="auto"/>
        <w:jc w:val="left"/>
        <w:rPr>
          <w:rFonts w:ascii="黑体" w:hAnsi="黑体" w:cs="黑体" w:eastAsia="黑体" w:hint="default"/>
          <w:sz w:val="18"/>
          <w:szCs w:val="18"/>
        </w:rPr>
        <w:sectPr>
          <w:pgSz w:w="11910" w:h="16840"/>
          <w:pgMar w:header="867" w:footer="975" w:top="1060" w:bottom="1160" w:left="1660" w:right="1340"/>
        </w:sectPr>
      </w:pPr>
    </w:p>
    <w:p>
      <w:pPr>
        <w:spacing w:line="240" w:lineRule="auto" w:before="0"/>
        <w:rPr>
          <w:rFonts w:ascii="Times New Roman" w:hAnsi="Times New Roman" w:cs="Times New Roman" w:eastAsia="Times New Roman" w:hint="default"/>
          <w:sz w:val="20"/>
          <w:szCs w:val="20"/>
        </w:rPr>
      </w:pPr>
      <w:r>
        <w:rPr/>
        <w:pict>
          <v:shape style="position:absolute;margin-left:369.660004pt;margin-top:201.660095pt;width:160.397773pt;height:2.385pt;mso-position-horizontal-relative:page;mso-position-vertical-relative:page;z-index:-728296" type="#_x0000_t75" stroked="false">
            <v:imagedata r:id="rId30" o:title=""/>
          </v:shape>
        </w:pict>
      </w:r>
      <w:r>
        <w:rPr/>
        <w:pict>
          <v:shape style="position:absolute;margin-left:369.660004pt;margin-top:272.640106pt;width:159.443743pt;height:2.385pt;mso-position-horizontal-relative:page;mso-position-vertical-relative:page;z-index:-728272" type="#_x0000_t75" stroked="false">
            <v:imagedata r:id="rId31" o:title=""/>
          </v:shape>
        </w:pict>
      </w:r>
      <w:r>
        <w:rPr/>
        <w:pict>
          <v:shape style="position:absolute;margin-left:369.660004pt;margin-top:386.220001pt;width:160.391652pt;height:2.385pt;mso-position-horizontal-relative:page;mso-position-vertical-relative:page;z-index:-728248" type="#_x0000_t75" stroked="false">
            <v:imagedata r:id="rId32" o:title=""/>
          </v:shape>
        </w:pict>
      </w:r>
      <w:r>
        <w:rPr/>
        <w:pict>
          <v:shape style="position:absolute;margin-left:369.660004pt;margin-top:457.26001pt;width:159.437658pt;height:2.385pt;mso-position-horizontal-relative:page;mso-position-vertical-relative:page;z-index:-728224" type="#_x0000_t75" stroked="false">
            <v:imagedata r:id="rId31" o:title=""/>
          </v:shape>
        </w:pict>
      </w:r>
      <w:r>
        <w:rPr/>
        <w:pict>
          <v:shape style="position:absolute;margin-left:369.660004pt;margin-top:542.460022pt;width:160.391652pt;height:2.385pt;mso-position-horizontal-relative:page;mso-position-vertical-relative:page;z-index:-728200" type="#_x0000_t75" stroked="false">
            <v:imagedata r:id="rId30" o:title=""/>
          </v:shape>
        </w:pict>
      </w:r>
      <w:r>
        <w:rPr/>
        <w:pict>
          <v:shape style="position:absolute;margin-left:369.660004pt;margin-top:599.219971pt;width:159.437658pt;height:2.385pt;mso-position-horizontal-relative:page;mso-position-vertical-relative:page;z-index:-728176" type="#_x0000_t75" stroked="false">
            <v:imagedata r:id="rId31" o:title=""/>
          </v:shape>
        </w:pict>
      </w:r>
      <w:r>
        <w:rPr/>
        <w:pict>
          <v:shape style="position:absolute;margin-left:369.660004pt;margin-top:641.820007pt;width:160.391652pt;height:2.385pt;mso-position-horizontal-relative:page;mso-position-vertical-relative:page;z-index:-728152" type="#_x0000_t75" stroked="false">
            <v:imagedata r:id="rId30" o:title=""/>
          </v:shape>
        </w:pict>
      </w:r>
      <w:r>
        <w:rPr/>
        <w:pict>
          <v:shape style="position:absolute;margin-left:369.660004pt;margin-top:670.26001pt;width:159.437658pt;height:2.385pt;mso-position-horizontal-relative:page;mso-position-vertical-relative:page;z-index:-728128" type="#_x0000_t75" stroked="false">
            <v:imagedata r:id="rId31" o:title=""/>
          </v:shape>
        </w:pic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4673"/>
        <w:gridCol w:w="1066"/>
        <w:gridCol w:w="236"/>
        <w:gridCol w:w="1398"/>
        <w:gridCol w:w="236"/>
        <w:gridCol w:w="1555"/>
      </w:tblGrid>
      <w:tr>
        <w:trPr>
          <w:trHeight w:val="292" w:hRule="exact"/>
        </w:trPr>
        <w:tc>
          <w:tcPr>
            <w:tcW w:w="9164" w:type="dxa"/>
            <w:gridSpan w:val="6"/>
            <w:tcBorders>
              <w:top w:val="nil" w:sz="6" w:space="0" w:color="auto"/>
              <w:left w:val="nil" w:sz="6" w:space="0" w:color="auto"/>
              <w:bottom w:val="nil" w:sz="6" w:space="0" w:color="auto"/>
              <w:right w:val="nil" w:sz="6" w:space="0" w:color="auto"/>
            </w:tcBorders>
          </w:tcPr>
          <w:p>
            <w:pPr>
              <w:pStyle w:val="TableParagraph"/>
              <w:spacing w:line="240" w:lineRule="exact"/>
              <w:ind w:left="6" w:right="0"/>
              <w:jc w:val="center"/>
              <w:rPr>
                <w:rFonts w:ascii="黑体" w:hAnsi="黑体" w:cs="黑体" w:eastAsia="黑体" w:hint="default"/>
                <w:sz w:val="24"/>
                <w:szCs w:val="24"/>
              </w:rPr>
            </w:pPr>
            <w:r>
              <w:rPr>
                <w:rFonts w:ascii="黑体" w:hAnsi="黑体" w:cs="黑体" w:eastAsia="黑体" w:hint="default"/>
                <w:sz w:val="24"/>
                <w:szCs w:val="24"/>
              </w:rPr>
              <w:t>现金流量表</w:t>
            </w:r>
          </w:p>
        </w:tc>
      </w:tr>
      <w:tr>
        <w:trPr>
          <w:trHeight w:val="289" w:hRule="exact"/>
        </w:trPr>
        <w:tc>
          <w:tcPr>
            <w:tcW w:w="9164" w:type="dxa"/>
            <w:gridSpan w:val="6"/>
            <w:tcBorders>
              <w:top w:val="nil" w:sz="6" w:space="0" w:color="auto"/>
              <w:left w:val="nil" w:sz="6" w:space="0" w:color="auto"/>
              <w:bottom w:val="nil" w:sz="6" w:space="0" w:color="auto"/>
              <w:right w:val="nil" w:sz="6" w:space="0" w:color="auto"/>
            </w:tcBorders>
          </w:tcPr>
          <w:p>
            <w:pPr>
              <w:pStyle w:val="TableParagraph"/>
              <w:spacing w:line="245" w:lineRule="exact"/>
              <w:ind w:left="5"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69" w:hRule="exact"/>
        </w:trPr>
        <w:tc>
          <w:tcPr>
            <w:tcW w:w="4673"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pacing w:val="-3"/>
                <w:sz w:val="18"/>
                <w:szCs w:val="18"/>
              </w:rPr>
              <w:t>编制单位：深圳市深信泰丰（集团）股份有限公司</w:t>
            </w:r>
            <w:r>
              <w:rPr>
                <w:rFonts w:ascii="宋体" w:hAnsi="宋体" w:cs="宋体" w:eastAsia="宋体" w:hint="default"/>
                <w:spacing w:val="-3"/>
                <w:sz w:val="18"/>
                <w:szCs w:val="18"/>
              </w:rPr>
            </w:r>
          </w:p>
        </w:tc>
        <w:tc>
          <w:tcPr>
            <w:tcW w:w="1066" w:type="dxa"/>
            <w:tcBorders>
              <w:top w:val="nil" w:sz="6" w:space="0" w:color="auto"/>
              <w:left w:val="nil" w:sz="6" w:space="0" w:color="auto"/>
              <w:bottom w:val="single" w:sz="4" w:space="0" w:color="000000"/>
              <w:right w:val="nil" w:sz="6" w:space="0" w:color="auto"/>
            </w:tcBorders>
          </w:tcPr>
          <w:p>
            <w:pPr/>
          </w:p>
        </w:tc>
        <w:tc>
          <w:tcPr>
            <w:tcW w:w="3426" w:type="dxa"/>
            <w:gridSpan w:val="4"/>
            <w:tcBorders>
              <w:top w:val="nil" w:sz="6" w:space="0" w:color="auto"/>
              <w:left w:val="nil" w:sz="6" w:space="0" w:color="auto"/>
              <w:bottom w:val="nil" w:sz="6" w:space="0" w:color="auto"/>
              <w:right w:val="nil" w:sz="6" w:space="0" w:color="auto"/>
            </w:tcBorders>
          </w:tcPr>
          <w:p>
            <w:pPr>
              <w:pStyle w:val="TableParagraph"/>
              <w:spacing w:line="227" w:lineRule="exact"/>
              <w:ind w:left="1516"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284" w:hRule="exact"/>
        </w:trPr>
        <w:tc>
          <w:tcPr>
            <w:tcW w:w="46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53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b/>
                <w:bCs/>
                <w:sz w:val="18"/>
                <w:szCs w:val="18"/>
              </w:rPr>
              <w:t>附注十一</w:t>
            </w:r>
            <w:r>
              <w:rPr>
                <w:rFonts w:ascii="宋体" w:hAnsi="宋体" w:cs="宋体" w:eastAsia="宋体"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年度</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9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2009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98" w:hRule="exact"/>
        </w:trPr>
        <w:tc>
          <w:tcPr>
            <w:tcW w:w="467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066"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
        </w:tc>
      </w:tr>
      <w:tr>
        <w:trPr>
          <w:trHeight w:val="283"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9"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55,471,380.87</w:t>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7,031,822.96</w:t>
            </w:r>
          </w:p>
        </w:tc>
      </w:tr>
      <w:tr>
        <w:trPr>
          <w:trHeight w:val="265"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33" w:lineRule="exact"/>
              <w:ind w:left="1166"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b/>
                <w:spacing w:val="-1"/>
                <w:sz w:val="18"/>
              </w:rPr>
              <w:t>55,471,380.87</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b/>
                <w:spacing w:val="-1"/>
                <w:sz w:val="18"/>
              </w:rPr>
              <w:t>7,031,822.96</w:t>
            </w:r>
            <w:r>
              <w:rPr>
                <w:rFonts w:ascii="Times New Roman"/>
                <w:spacing w:val="-1"/>
                <w:sz w:val="18"/>
              </w:rPr>
            </w:r>
          </w:p>
        </w:tc>
      </w:tr>
      <w:tr>
        <w:trPr>
          <w:trHeight w:val="302"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4"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4,498,538.45</w:t>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4,328,251.49</w:t>
            </w:r>
          </w:p>
        </w:tc>
      </w:tr>
      <w:tr>
        <w:trPr>
          <w:trHeight w:val="28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9"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26,382,496.74</w:t>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2,672,858.65</w:t>
            </w:r>
          </w:p>
        </w:tc>
      </w:tr>
      <w:tr>
        <w:trPr>
          <w:trHeight w:val="267"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33" w:lineRule="exact"/>
              <w:ind w:left="1166"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b/>
                <w:spacing w:val="-1"/>
                <w:sz w:val="18"/>
              </w:rPr>
              <w:t>30,881,035.19</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b/>
                <w:spacing w:val="-1"/>
                <w:sz w:val="18"/>
              </w:rPr>
              <w:t>7,001,110.14</w:t>
            </w:r>
            <w:r>
              <w:rPr>
                <w:rFonts w:ascii="Times New Roman"/>
                <w:spacing w:val="-1"/>
                <w:sz w:val="18"/>
              </w:rPr>
            </w:r>
          </w:p>
        </w:tc>
      </w:tr>
      <w:tr>
        <w:trPr>
          <w:trHeight w:val="30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9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pacing w:val="-1"/>
                <w:sz w:val="18"/>
              </w:rPr>
              <w:t>24,590,345.68</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z w:val="18"/>
              </w:rPr>
              <w:t>30,712.82</w:t>
            </w:r>
            <w:r>
              <w:rPr>
                <w:rFonts w:ascii="Times New Roman"/>
                <w:sz w:val="18"/>
              </w:rPr>
            </w:r>
          </w:p>
        </w:tc>
      </w:tr>
      <w:tr>
        <w:trPr>
          <w:trHeight w:val="30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17" w:space="0" w:color="000000"/>
              <w:left w:val="nil" w:sz="6" w:space="0" w:color="auto"/>
              <w:bottom w:val="nil" w:sz="6" w:space="0" w:color="auto"/>
              <w:right w:val="nil" w:sz="6" w:space="0" w:color="auto"/>
            </w:tcBorders>
          </w:tcPr>
          <w:p>
            <w:pPr/>
          </w:p>
        </w:tc>
      </w:tr>
      <w:tr>
        <w:trPr>
          <w:trHeight w:val="265"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09" w:lineRule="exact"/>
              <w:ind w:left="28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5738"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处置固定资产、无形资产和其他长期资产所收回的现金净额</w:t>
            </w: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25,450.00</w:t>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9"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33" w:lineRule="exact"/>
              <w:ind w:left="1166"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b/>
                <w:sz w:val="18"/>
              </w:rPr>
              <w:t>25,450.00</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02"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829,796.00</w:t>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7,139.00</w:t>
            </w:r>
          </w:p>
        </w:tc>
      </w:tr>
      <w:tr>
        <w:trPr>
          <w:trHeight w:val="279"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4" w:lineRule="exact"/>
              <w:ind w:left="288"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9"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5"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33" w:lineRule="exact"/>
              <w:ind w:left="1166"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b/>
                <w:sz w:val="18"/>
              </w:rPr>
              <w:t>829,796.00</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b/>
                <w:sz w:val="18"/>
              </w:rPr>
              <w:t>7,139.00</w:t>
            </w:r>
            <w:r>
              <w:rPr>
                <w:rFonts w:ascii="Times New Roman"/>
                <w:sz w:val="18"/>
              </w:rPr>
            </w:r>
          </w:p>
        </w:tc>
      </w:tr>
      <w:tr>
        <w:trPr>
          <w:trHeight w:val="301"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95"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-804,346.00</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-7,139.00</w:t>
            </w:r>
            <w:r>
              <w:rPr>
                <w:rFonts w:ascii="Times New Roman"/>
                <w:sz w:val="18"/>
              </w:rPr>
            </w:r>
          </w:p>
        </w:tc>
      </w:tr>
      <w:tr>
        <w:trPr>
          <w:trHeight w:val="303"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17" w:space="0" w:color="000000"/>
              <w:left w:val="nil" w:sz="6" w:space="0" w:color="auto"/>
              <w:bottom w:val="nil" w:sz="6" w:space="0" w:color="auto"/>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1"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9"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5"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33" w:lineRule="exact"/>
              <w:ind w:left="1166"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02"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4" w:lineRule="exact"/>
              <w:ind w:left="28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9"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33" w:lineRule="exact"/>
              <w:ind w:left="1166"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01"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95"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09"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17" w:space="0" w:color="000000"/>
              <w:left w:val="nil" w:sz="6" w:space="0" w:color="auto"/>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17" w:space="0" w:color="000000"/>
              <w:left w:val="nil" w:sz="6" w:space="0" w:color="auto"/>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258"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center"/>
              <w:rPr>
                <w:rFonts w:ascii="Times New Roman" w:hAnsi="Times New Roman" w:cs="Times New Roman" w:eastAsia="Times New Roman" w:hint="default"/>
                <w:sz w:val="18"/>
                <w:szCs w:val="18"/>
              </w:rPr>
            </w:pPr>
            <w:r>
              <w:rPr>
                <w:rFonts w:ascii="Times New Roman"/>
                <w:sz w:val="18"/>
              </w:rPr>
              <w:t>4</w:t>
            </w: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spacing w:val="-1"/>
                <w:sz w:val="18"/>
              </w:rPr>
              <w:t>23,785,999.68</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sz w:val="18"/>
              </w:rPr>
              <w:t>23,573.82</w:t>
            </w:r>
            <w:r>
              <w:rPr>
                <w:rFonts w:ascii="Times New Roman"/>
                <w:sz w:val="18"/>
              </w:rPr>
            </w:r>
          </w:p>
        </w:tc>
      </w:tr>
      <w:tr>
        <w:trPr>
          <w:trHeight w:val="31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single" w:sz="17" w:space="0" w:color="000000"/>
              <w:left w:val="nil" w:sz="6" w:space="0" w:color="auto"/>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b/>
                <w:sz w:val="18"/>
              </w:rPr>
              <w:t>56,247.88</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single" w:sz="17" w:space="0" w:color="000000"/>
              <w:left w:val="nil" w:sz="6" w:space="0" w:color="auto"/>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b/>
                <w:sz w:val="18"/>
              </w:rPr>
              <w:t>32,674.06</w:t>
            </w:r>
            <w:r>
              <w:rPr>
                <w:rFonts w:ascii="Times New Roman"/>
                <w:sz w:val="18"/>
              </w:rPr>
            </w:r>
          </w:p>
        </w:tc>
      </w:tr>
      <w:tr>
        <w:trPr>
          <w:trHeight w:val="241"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spacing w:val="-1"/>
                <w:sz w:val="18"/>
              </w:rPr>
              <w:t>23,842,247.56</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b/>
                <w:sz w:val="18"/>
              </w:rPr>
              <w:t>56,247.88</w:t>
            </w:r>
            <w:r>
              <w:rPr>
                <w:rFonts w:ascii="Times New Roman"/>
                <w:sz w:val="18"/>
              </w:rPr>
            </w:r>
          </w:p>
        </w:tc>
      </w:tr>
      <w:tr>
        <w:trPr>
          <w:trHeight w:val="284" w:hRule="exact"/>
        </w:trPr>
        <w:tc>
          <w:tcPr>
            <w:tcW w:w="4673" w:type="dxa"/>
            <w:tcBorders>
              <w:top w:val="nil" w:sz="6" w:space="0" w:color="auto"/>
              <w:left w:val="nil" w:sz="6" w:space="0" w:color="auto"/>
              <w:bottom w:val="single" w:sz="4" w:space="0" w:color="000000"/>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4pt;height:.5pt;mso-position-horizontal-relative:char;mso-position-vertical-relative:line" coordorigin="0,0" coordsize="1408,10">
                  <v:group style="position:absolute;left:5;top:5;width:1398;height:2" coordorigin="5,5" coordsize="1398,2">
                    <v:shape style="position:absolute;left:5;top:5;width:1398;height:2" coordorigin="5,5" coordsize="1398,0" path="m5,5l1403,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1"/>
              <w:ind w:right="0"/>
              <w:jc w:val="left"/>
              <w:rPr>
                <w:rFonts w:ascii="Times New Roman" w:hAnsi="Times New Roman" w:cs="Times New Roman" w:eastAsia="Times New Roman" w:hint="default"/>
                <w:sz w:val="22"/>
                <w:szCs w:val="22"/>
              </w:rPr>
            </w:pPr>
          </w:p>
        </w:tc>
        <w:tc>
          <w:tcPr>
            <w:tcW w:w="236" w:type="dxa"/>
            <w:tcBorders>
              <w:top w:val="nil" w:sz="6" w:space="0" w:color="auto"/>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r>
      <w:tr>
        <w:trPr>
          <w:trHeight w:val="577" w:hRule="exact"/>
        </w:trPr>
        <w:tc>
          <w:tcPr>
            <w:tcW w:w="9164"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3055"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232" w:hRule="exact"/>
        </w:trPr>
        <w:tc>
          <w:tcPr>
            <w:tcW w:w="9164" w:type="dxa"/>
            <w:gridSpan w:val="6"/>
            <w:tcBorders>
              <w:top w:val="nil" w:sz="6" w:space="0" w:color="auto"/>
              <w:left w:val="nil" w:sz="6" w:space="0" w:color="auto"/>
              <w:bottom w:val="nil" w:sz="6" w:space="0" w:color="auto"/>
              <w:right w:val="nil" w:sz="6" w:space="0" w:color="auto"/>
            </w:tcBorders>
          </w:tcPr>
          <w:p>
            <w:pPr>
              <w:pStyle w:val="TableParagraph"/>
              <w:tabs>
                <w:tab w:pos="3077" w:val="left" w:leader="none"/>
                <w:tab w:pos="6047" w:val="left" w:leader="none"/>
              </w:tabs>
              <w:spacing w:line="232" w:lineRule="exact"/>
              <w:ind w:left="108" w:right="0"/>
              <w:jc w:val="left"/>
              <w:rPr>
                <w:rFonts w:ascii="黑体" w:hAnsi="黑体" w:cs="黑体" w:eastAsia="黑体" w:hint="default"/>
                <w:sz w:val="18"/>
                <w:szCs w:val="18"/>
              </w:rPr>
            </w:pPr>
            <w:r>
              <w:rPr>
                <w:rFonts w:ascii="黑体" w:hAnsi="黑体" w:cs="黑体" w:eastAsia="黑体" w:hint="default"/>
                <w:sz w:val="18"/>
                <w:szCs w:val="18"/>
              </w:rPr>
              <w:t>公司法定代表人：晏群</w:t>
              <w:tab/>
              <w:t>主管会计工作负责人：梁侠</w:t>
              <w:tab/>
              <w:t>会计机构负责人：林小浓</w:t>
            </w:r>
          </w:p>
        </w:tc>
      </w:tr>
    </w:tbl>
    <w:p>
      <w:pPr>
        <w:spacing w:after="0" w:line="232" w:lineRule="exact"/>
        <w:jc w:val="left"/>
        <w:rPr>
          <w:rFonts w:ascii="黑体" w:hAnsi="黑体" w:cs="黑体" w:eastAsia="黑体" w:hint="default"/>
          <w:sz w:val="18"/>
          <w:szCs w:val="18"/>
        </w:rPr>
        <w:sectPr>
          <w:pgSz w:w="11910" w:h="16840"/>
          <w:pgMar w:header="867" w:footer="975" w:top="1060" w:bottom="1160" w:left="132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Heading3"/>
        <w:spacing w:line="240" w:lineRule="auto"/>
        <w:ind w:left="19" w:right="0"/>
        <w:jc w:val="center"/>
        <w:rPr>
          <w:b w:val="0"/>
          <w:bCs w:val="0"/>
        </w:rPr>
      </w:pPr>
      <w:r>
        <w:rPr/>
        <w:t>所有者权益变动表</w:t>
      </w:r>
      <w:r>
        <w:rPr>
          <w:b w:val="0"/>
          <w:bCs w:val="0"/>
        </w:rPr>
      </w:r>
    </w:p>
    <w:p>
      <w:pPr>
        <w:spacing w:before="37"/>
        <w:ind w:left="18" w:right="0" w:firstLine="0"/>
        <w:jc w:val="center"/>
        <w:rPr>
          <w:rFonts w:ascii="宋体" w:hAnsi="宋体" w:cs="宋体" w:eastAsia="宋体" w:hint="default"/>
          <w:sz w:val="13"/>
          <w:szCs w:val="13"/>
        </w:rPr>
      </w:pPr>
      <w:r>
        <w:rPr>
          <w:rFonts w:ascii="Times New Roman" w:hAnsi="Times New Roman" w:cs="Times New Roman" w:eastAsia="Times New Roman" w:hint="default"/>
          <w:b/>
          <w:bCs/>
          <w:sz w:val="13"/>
          <w:szCs w:val="13"/>
        </w:rPr>
        <w:t>2010</w:t>
      </w:r>
      <w:r>
        <w:rPr>
          <w:rFonts w:ascii="Times New Roman" w:hAnsi="Times New Roman" w:cs="Times New Roman" w:eastAsia="Times New Roman" w:hint="default"/>
          <w:b/>
          <w:bCs/>
          <w:spacing w:val="-2"/>
          <w:sz w:val="13"/>
          <w:szCs w:val="13"/>
        </w:rPr>
        <w:t> </w:t>
      </w:r>
      <w:r>
        <w:rPr>
          <w:rFonts w:ascii="宋体" w:hAnsi="宋体" w:cs="宋体" w:eastAsia="宋体" w:hint="default"/>
          <w:b/>
          <w:bCs/>
          <w:sz w:val="13"/>
          <w:szCs w:val="13"/>
        </w:rPr>
        <w:t>年度</w:t>
      </w:r>
      <w:r>
        <w:rPr>
          <w:rFonts w:ascii="宋体" w:hAnsi="宋体" w:cs="宋体" w:eastAsia="宋体" w:hint="default"/>
          <w:sz w:val="13"/>
          <w:szCs w:val="13"/>
        </w:rPr>
      </w:r>
    </w:p>
    <w:p>
      <w:pPr>
        <w:tabs>
          <w:tab w:pos="12536" w:val="left" w:leader="none"/>
        </w:tabs>
        <w:spacing w:before="48"/>
        <w:ind w:left="18" w:right="0" w:firstLine="0"/>
        <w:jc w:val="center"/>
        <w:rPr>
          <w:rFonts w:ascii="宋体" w:hAnsi="宋体" w:cs="宋体" w:eastAsia="宋体" w:hint="default"/>
          <w:sz w:val="13"/>
          <w:szCs w:val="13"/>
        </w:rPr>
      </w:pPr>
      <w:r>
        <w:rPr>
          <w:rFonts w:ascii="宋体" w:hAnsi="宋体" w:cs="宋体" w:eastAsia="宋体" w:hint="default"/>
          <w:b/>
          <w:bCs/>
          <w:w w:val="95"/>
          <w:sz w:val="13"/>
          <w:szCs w:val="13"/>
        </w:rPr>
        <w:t>编制单位：深圳市深信泰丰（集团）股份有限公司</w:t>
        <w:tab/>
      </w:r>
      <w:r>
        <w:rPr>
          <w:rFonts w:ascii="宋体" w:hAnsi="宋体" w:cs="宋体" w:eastAsia="宋体" w:hint="default"/>
          <w:b/>
          <w:bCs/>
          <w:sz w:val="13"/>
          <w:szCs w:val="13"/>
        </w:rPr>
        <w:t>单位：元币种：人民币</w:t>
      </w:r>
      <w:r>
        <w:rPr>
          <w:rFonts w:ascii="宋体" w:hAnsi="宋体" w:cs="宋体" w:eastAsia="宋体" w:hint="default"/>
          <w:sz w:val="13"/>
          <w:szCs w:val="13"/>
        </w:rPr>
      </w:r>
    </w:p>
    <w:p>
      <w:pPr>
        <w:spacing w:line="240" w:lineRule="auto" w:before="12"/>
        <w:rPr>
          <w:rFonts w:ascii="宋体" w:hAnsi="宋体" w:cs="宋体" w:eastAsia="宋体" w:hint="default"/>
          <w:b/>
          <w:bCs/>
          <w:sz w:val="3"/>
          <w:szCs w:val="3"/>
        </w:rPr>
      </w:pPr>
    </w:p>
    <w:tbl>
      <w:tblPr>
        <w:tblW w:w="0" w:type="auto"/>
        <w:jc w:val="left"/>
        <w:tblInd w:w="135" w:type="dxa"/>
        <w:tblLayout w:type="fixed"/>
        <w:tblCellMar>
          <w:top w:w="0" w:type="dxa"/>
          <w:left w:w="0" w:type="dxa"/>
          <w:bottom w:w="0" w:type="dxa"/>
          <w:right w:w="0" w:type="dxa"/>
        </w:tblCellMar>
        <w:tblLook w:val="01E0"/>
      </w:tblPr>
      <w:tblGrid>
        <w:gridCol w:w="4140"/>
        <w:gridCol w:w="1440"/>
        <w:gridCol w:w="1440"/>
        <w:gridCol w:w="900"/>
        <w:gridCol w:w="900"/>
        <w:gridCol w:w="1440"/>
        <w:gridCol w:w="1800"/>
        <w:gridCol w:w="1980"/>
      </w:tblGrid>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53"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6"/>
              <w:jc w:val="right"/>
              <w:rPr>
                <w:rFonts w:ascii="宋体" w:hAnsi="宋体" w:cs="宋体" w:eastAsia="宋体" w:hint="default"/>
                <w:sz w:val="13"/>
                <w:szCs w:val="13"/>
              </w:rPr>
            </w:pPr>
            <w:r>
              <w:rPr>
                <w:rFonts w:ascii="宋体" w:hAnsi="宋体" w:cs="宋体" w:eastAsia="宋体" w:hint="default"/>
                <w:b/>
                <w:bCs/>
                <w:sz w:val="13"/>
                <w:szCs w:val="13"/>
              </w:rPr>
              <w:t>减：库存股</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3" w:right="0"/>
              <w:jc w:val="lef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53"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67"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8"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sz w:val="13"/>
                <w:szCs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319,552,196.86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-1,203,119,467.40</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-459,855,146.04</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2" w:right="0"/>
              <w:jc w:val="left"/>
              <w:rPr>
                <w:rFonts w:ascii="宋体" w:hAnsi="宋体" w:cs="宋体" w:eastAsia="宋体" w:hint="default"/>
                <w:sz w:val="13"/>
                <w:szCs w:val="13"/>
              </w:rPr>
            </w:pPr>
            <w:r>
              <w:rPr>
                <w:rFonts w:ascii="宋体" w:hAnsi="宋体" w:cs="宋体" w:eastAsia="宋体" w:hint="default"/>
                <w:sz w:val="13"/>
                <w:szCs w:val="13"/>
              </w:rPr>
              <w:t>其它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319,552,196.86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-1,203,119,467.40</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-459,855,146.04</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Times New Roman" w:hAnsi="Times New Roman" w:cs="Times New Roman" w:eastAsia="Times New Roman" w:hint="default"/>
                <w:sz w:val="13"/>
                <w:szCs w:val="13"/>
              </w:rPr>
            </w:pPr>
            <w:r>
              <w:rPr>
                <w:rFonts w:ascii="宋体" w:hAnsi="宋体" w:cs="宋体" w:eastAsia="宋体" w:hint="default"/>
                <w:b/>
                <w:bCs/>
                <w:sz w:val="13"/>
                <w:szCs w:val="13"/>
              </w:rPr>
              <w:t>三、本年增减变动金额</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减少以</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号列示</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382,068,369.56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414,646,431.13</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796,714,800.69</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5"/>
                <w:sz w:val="13"/>
              </w:rPr>
              <w:t>414,646,431.13</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414,646,431.13</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其它综合收益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6" w:right="0"/>
              <w:jc w:val="left"/>
              <w:rPr>
                <w:rFonts w:ascii="宋体" w:hAnsi="宋体" w:cs="宋体" w:eastAsia="宋体" w:hint="default"/>
                <w:sz w:val="13"/>
                <w:szCs w:val="13"/>
              </w:rPr>
            </w:pPr>
            <w:r>
              <w:rPr>
                <w:rFonts w:ascii="宋体" w:hAnsi="宋体" w:cs="宋体" w:eastAsia="宋体" w:hint="default"/>
                <w:b/>
                <w:bCs/>
                <w:sz w:val="13"/>
                <w:szCs w:val="13"/>
              </w:rPr>
              <w:t>上述（一）和（二）小计</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414,646,431.13</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414,646,431.13</w:t>
            </w:r>
            <w:r>
              <w:rPr>
                <w:rFonts w:ascii="Times New Roman"/>
                <w:sz w:val="13"/>
              </w:rPr>
            </w:r>
          </w:p>
        </w:tc>
      </w:tr>
      <w:tr>
        <w:trPr>
          <w:trHeight w:val="22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所有者投入和减少的资本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5"/>
                <w:sz w:val="13"/>
              </w:rPr>
              <w:t>382,068,369.56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5"/>
                <w:sz w:val="13"/>
              </w:rPr>
              <w:t>382,068,369.56</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5"/>
                <w:sz w:val="13"/>
              </w:rPr>
              <w:t>382,068,369.56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382,068,369.56</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、对所有者的分配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b/>
                <w:bCs/>
                <w:sz w:val="13"/>
                <w:szCs w:val="13"/>
              </w:rPr>
              <w:t>四、本年年末余额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701,620,566.42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-788,473,036.27</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336,859,654.65</w:t>
            </w:r>
            <w:r>
              <w:rPr>
                <w:rFonts w:ascii="Times New Roman"/>
                <w:sz w:val="13"/>
              </w:rPr>
            </w:r>
          </w:p>
        </w:tc>
      </w:tr>
    </w:tbl>
    <w:p>
      <w:pPr>
        <w:spacing w:before="0"/>
        <w:ind w:left="19" w:right="0"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所附附注系本财务报表的组成部分）</w:t>
      </w:r>
    </w:p>
    <w:p>
      <w:pPr>
        <w:spacing w:line="240" w:lineRule="auto" w:before="5"/>
        <w:rPr>
          <w:rFonts w:ascii="宋体" w:hAnsi="宋体" w:cs="宋体" w:eastAsia="宋体" w:hint="default"/>
          <w:sz w:val="18"/>
          <w:szCs w:val="18"/>
        </w:rPr>
      </w:pPr>
    </w:p>
    <w:p>
      <w:pPr>
        <w:tabs>
          <w:tab w:pos="5966" w:val="left" w:leader="none"/>
          <w:tab w:pos="11101" w:val="left" w:leader="none"/>
        </w:tabs>
        <w:spacing w:before="59"/>
        <w:ind w:left="247" w:right="0" w:firstLine="0"/>
        <w:jc w:val="left"/>
        <w:rPr>
          <w:rFonts w:ascii="黑体" w:hAnsi="黑体" w:cs="黑体" w:eastAsia="黑体" w:hint="default"/>
          <w:sz w:val="13"/>
          <w:szCs w:val="13"/>
        </w:rPr>
      </w:pPr>
      <w:r>
        <w:rPr>
          <w:rFonts w:ascii="黑体" w:hAnsi="黑体" w:cs="黑体" w:eastAsia="黑体" w:hint="default"/>
          <w:w w:val="95"/>
          <w:sz w:val="13"/>
          <w:szCs w:val="13"/>
        </w:rPr>
        <w:t>公司法定代表人：晏群</w:t>
        <w:tab/>
        <w:t>主管会计工作负责人：梁侠</w:t>
        <w:tab/>
      </w:r>
      <w:r>
        <w:rPr>
          <w:rFonts w:ascii="黑体" w:hAnsi="黑体" w:cs="黑体" w:eastAsia="黑体" w:hint="default"/>
          <w:sz w:val="13"/>
          <w:szCs w:val="13"/>
        </w:rPr>
        <w:t>会计机构负责人：林小浓</w:t>
      </w:r>
    </w:p>
    <w:p>
      <w:pPr>
        <w:spacing w:after="0"/>
        <w:jc w:val="left"/>
        <w:rPr>
          <w:rFonts w:ascii="黑体" w:hAnsi="黑体" w:cs="黑体" w:eastAsia="黑体" w:hint="default"/>
          <w:sz w:val="13"/>
          <w:szCs w:val="13"/>
        </w:rPr>
        <w:sectPr>
          <w:headerReference w:type="default" r:id="rId33"/>
          <w:footerReference w:type="default" r:id="rId34"/>
          <w:pgSz w:w="16840" w:h="11910" w:orient="landscape"/>
          <w:pgMar w:header="877" w:footer="866" w:top="1100" w:bottom="1060" w:left="1300" w:right="124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4"/>
          <w:szCs w:val="24"/>
        </w:rPr>
      </w:pPr>
    </w:p>
    <w:p>
      <w:pPr>
        <w:pStyle w:val="Heading3"/>
        <w:spacing w:line="240" w:lineRule="auto" w:before="35"/>
        <w:ind w:left="19" w:right="0"/>
        <w:jc w:val="center"/>
        <w:rPr>
          <w:b w:val="0"/>
          <w:bCs w:val="0"/>
        </w:rPr>
      </w:pPr>
      <w:r>
        <w:rPr/>
        <w:t>所有者权益变动表</w:t>
      </w:r>
      <w:r>
        <w:rPr>
          <w:b w:val="0"/>
          <w:bCs w:val="0"/>
        </w:rPr>
      </w:r>
    </w:p>
    <w:p>
      <w:pPr>
        <w:spacing w:before="38"/>
        <w:ind w:left="18" w:right="0" w:firstLine="0"/>
        <w:jc w:val="center"/>
        <w:rPr>
          <w:rFonts w:ascii="宋体" w:hAnsi="宋体" w:cs="宋体" w:eastAsia="宋体" w:hint="default"/>
          <w:sz w:val="13"/>
          <w:szCs w:val="13"/>
        </w:rPr>
      </w:pPr>
      <w:r>
        <w:rPr>
          <w:rFonts w:ascii="Times New Roman" w:hAnsi="Times New Roman" w:cs="Times New Roman" w:eastAsia="Times New Roman" w:hint="default"/>
          <w:b/>
          <w:bCs/>
          <w:sz w:val="13"/>
          <w:szCs w:val="13"/>
        </w:rPr>
        <w:t>2009</w:t>
      </w:r>
      <w:r>
        <w:rPr>
          <w:rFonts w:ascii="Times New Roman" w:hAnsi="Times New Roman" w:cs="Times New Roman" w:eastAsia="Times New Roman" w:hint="default"/>
          <w:b/>
          <w:bCs/>
          <w:spacing w:val="-2"/>
          <w:sz w:val="13"/>
          <w:szCs w:val="13"/>
        </w:rPr>
        <w:t> </w:t>
      </w:r>
      <w:r>
        <w:rPr>
          <w:rFonts w:ascii="宋体" w:hAnsi="宋体" w:cs="宋体" w:eastAsia="宋体" w:hint="default"/>
          <w:b/>
          <w:bCs/>
          <w:sz w:val="13"/>
          <w:szCs w:val="13"/>
        </w:rPr>
        <w:t>年度</w:t>
      </w:r>
      <w:r>
        <w:rPr>
          <w:rFonts w:ascii="宋体" w:hAnsi="宋体" w:cs="宋体" w:eastAsia="宋体" w:hint="default"/>
          <w:sz w:val="13"/>
          <w:szCs w:val="13"/>
        </w:rPr>
      </w:r>
    </w:p>
    <w:p>
      <w:pPr>
        <w:tabs>
          <w:tab w:pos="12536" w:val="left" w:leader="none"/>
        </w:tabs>
        <w:spacing w:before="47"/>
        <w:ind w:left="18" w:right="0" w:firstLine="0"/>
        <w:jc w:val="center"/>
        <w:rPr>
          <w:rFonts w:ascii="宋体" w:hAnsi="宋体" w:cs="宋体" w:eastAsia="宋体" w:hint="default"/>
          <w:sz w:val="13"/>
          <w:szCs w:val="13"/>
        </w:rPr>
      </w:pPr>
      <w:r>
        <w:rPr>
          <w:rFonts w:ascii="宋体" w:hAnsi="宋体" w:cs="宋体" w:eastAsia="宋体" w:hint="default"/>
          <w:b/>
          <w:bCs/>
          <w:w w:val="95"/>
          <w:sz w:val="13"/>
          <w:szCs w:val="13"/>
        </w:rPr>
        <w:t>编制单位：深圳市深信泰丰（集团）股份有限公司</w:t>
        <w:tab/>
      </w:r>
      <w:r>
        <w:rPr>
          <w:rFonts w:ascii="宋体" w:hAnsi="宋体" w:cs="宋体" w:eastAsia="宋体" w:hint="default"/>
          <w:b/>
          <w:bCs/>
          <w:sz w:val="13"/>
          <w:szCs w:val="13"/>
        </w:rPr>
        <w:t>单位：元币种：人民币</w:t>
      </w:r>
      <w:r>
        <w:rPr>
          <w:rFonts w:ascii="宋体" w:hAnsi="宋体" w:cs="宋体" w:eastAsia="宋体" w:hint="default"/>
          <w:sz w:val="13"/>
          <w:szCs w:val="13"/>
        </w:rPr>
      </w:r>
    </w:p>
    <w:p>
      <w:pPr>
        <w:spacing w:line="240" w:lineRule="auto" w:before="12"/>
        <w:rPr>
          <w:rFonts w:ascii="宋体" w:hAnsi="宋体" w:cs="宋体" w:eastAsia="宋体" w:hint="default"/>
          <w:b/>
          <w:bCs/>
          <w:sz w:val="3"/>
          <w:szCs w:val="3"/>
        </w:rPr>
      </w:pPr>
    </w:p>
    <w:tbl>
      <w:tblPr>
        <w:tblW w:w="0" w:type="auto"/>
        <w:jc w:val="left"/>
        <w:tblInd w:w="135" w:type="dxa"/>
        <w:tblLayout w:type="fixed"/>
        <w:tblCellMar>
          <w:top w:w="0" w:type="dxa"/>
          <w:left w:w="0" w:type="dxa"/>
          <w:bottom w:w="0" w:type="dxa"/>
          <w:right w:w="0" w:type="dxa"/>
        </w:tblCellMar>
        <w:tblLook w:val="01E0"/>
      </w:tblPr>
      <w:tblGrid>
        <w:gridCol w:w="4140"/>
        <w:gridCol w:w="1440"/>
        <w:gridCol w:w="1440"/>
        <w:gridCol w:w="900"/>
        <w:gridCol w:w="900"/>
        <w:gridCol w:w="1440"/>
        <w:gridCol w:w="1800"/>
        <w:gridCol w:w="1980"/>
      </w:tblGrid>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53"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17" w:right="0"/>
              <w:jc w:val="left"/>
              <w:rPr>
                <w:rFonts w:ascii="宋体" w:hAnsi="宋体" w:cs="宋体" w:eastAsia="宋体" w:hint="default"/>
                <w:sz w:val="13"/>
                <w:szCs w:val="13"/>
              </w:rPr>
            </w:pPr>
            <w:r>
              <w:rPr>
                <w:rFonts w:ascii="宋体" w:hAnsi="宋体" w:cs="宋体" w:eastAsia="宋体" w:hint="default"/>
                <w:b/>
                <w:bCs/>
                <w:sz w:val="13"/>
                <w:szCs w:val="13"/>
              </w:rPr>
              <w:t>减：库存股</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3" w:right="0"/>
              <w:jc w:val="lef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53"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67"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8"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sz w:val="13"/>
                <w:szCs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3"/>
                <w:szCs w:val="13"/>
              </w:rPr>
            </w:pPr>
            <w:r>
              <w:rPr>
                <w:rFonts w:ascii="Times New Roman"/>
                <w:b/>
                <w:w w:val="95"/>
                <w:sz w:val="13"/>
              </w:rPr>
              <w:t>319,552,196.86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3"/>
                <w:szCs w:val="13"/>
              </w:rPr>
            </w:pPr>
            <w:r>
              <w:rPr>
                <w:rFonts w:ascii="Times New Roman"/>
                <w:b/>
                <w:w w:val="95"/>
                <w:sz w:val="13"/>
              </w:rPr>
              <w:t>-1,189,010,602.22</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3"/>
                <w:szCs w:val="13"/>
              </w:rPr>
            </w:pPr>
            <w:r>
              <w:rPr>
                <w:rFonts w:ascii="Times New Roman"/>
                <w:b/>
                <w:w w:val="95"/>
                <w:sz w:val="13"/>
              </w:rPr>
              <w:t>-445,746,280.86</w:t>
            </w:r>
            <w:r>
              <w:rPr>
                <w:rFonts w:ascii="Times New Roman"/>
                <w:sz w:val="13"/>
              </w:rPr>
            </w:r>
          </w:p>
        </w:tc>
      </w:tr>
      <w:tr>
        <w:trPr>
          <w:trHeight w:val="22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2" w:right="0"/>
              <w:jc w:val="left"/>
              <w:rPr>
                <w:rFonts w:ascii="宋体" w:hAnsi="宋体" w:cs="宋体" w:eastAsia="宋体" w:hint="default"/>
                <w:sz w:val="13"/>
                <w:szCs w:val="13"/>
              </w:rPr>
            </w:pPr>
            <w:r>
              <w:rPr>
                <w:rFonts w:ascii="宋体" w:hAnsi="宋体" w:cs="宋体" w:eastAsia="宋体" w:hint="default"/>
                <w:sz w:val="13"/>
                <w:szCs w:val="13"/>
              </w:rPr>
              <w:t>其它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3"/>
                <w:szCs w:val="13"/>
              </w:rPr>
            </w:pPr>
            <w:r>
              <w:rPr>
                <w:rFonts w:ascii="Times New Roman"/>
                <w:b/>
                <w:w w:val="95"/>
                <w:sz w:val="13"/>
              </w:rPr>
              <w:t>319,552,196.86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3"/>
                <w:szCs w:val="13"/>
              </w:rPr>
            </w:pPr>
            <w:r>
              <w:rPr>
                <w:rFonts w:ascii="Times New Roman"/>
                <w:b/>
                <w:w w:val="95"/>
                <w:sz w:val="13"/>
              </w:rPr>
              <w:t>-1,189,010,602.22</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3"/>
                <w:szCs w:val="13"/>
              </w:rPr>
            </w:pPr>
            <w:r>
              <w:rPr>
                <w:rFonts w:ascii="Times New Roman"/>
                <w:b/>
                <w:w w:val="95"/>
                <w:sz w:val="13"/>
              </w:rPr>
              <w:t>-445,746,280.86</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Times New Roman" w:hAnsi="Times New Roman" w:cs="Times New Roman" w:eastAsia="Times New Roman" w:hint="default"/>
                <w:sz w:val="13"/>
                <w:szCs w:val="13"/>
              </w:rPr>
            </w:pPr>
            <w:r>
              <w:rPr>
                <w:rFonts w:ascii="宋体" w:hAnsi="宋体" w:cs="宋体" w:eastAsia="宋体" w:hint="default"/>
                <w:b/>
                <w:bCs/>
                <w:sz w:val="13"/>
                <w:szCs w:val="13"/>
              </w:rPr>
              <w:t>三、本年增减变动金额</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减少以</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号列示</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-14,108,865.18</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-14,108,865.18</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-14,108,865.18</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-14,108,865.18</w:t>
            </w:r>
            <w:r>
              <w:rPr>
                <w:rFonts w:ascii="Times New Roman"/>
                <w:sz w:val="13"/>
              </w:rPr>
            </w:r>
          </w:p>
        </w:tc>
      </w:tr>
      <w:tr>
        <w:trPr>
          <w:trHeight w:val="22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其它综合收益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6" w:right="0"/>
              <w:jc w:val="left"/>
              <w:rPr>
                <w:rFonts w:ascii="宋体" w:hAnsi="宋体" w:cs="宋体" w:eastAsia="宋体" w:hint="default"/>
                <w:sz w:val="13"/>
                <w:szCs w:val="13"/>
              </w:rPr>
            </w:pPr>
            <w:r>
              <w:rPr>
                <w:rFonts w:ascii="宋体" w:hAnsi="宋体" w:cs="宋体" w:eastAsia="宋体" w:hint="default"/>
                <w:b/>
                <w:bCs/>
                <w:sz w:val="13"/>
                <w:szCs w:val="13"/>
              </w:rPr>
              <w:t>上述（一）和（二）小计</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-14,108,865.18</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-14,108,865.18</w:t>
            </w:r>
            <w:r>
              <w:rPr>
                <w:rFonts w:ascii="Times New Roman"/>
                <w:sz w:val="13"/>
              </w:rPr>
            </w: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所有者投入和减少的资本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、对所有者的分配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b/>
                <w:bCs/>
                <w:sz w:val="13"/>
                <w:szCs w:val="13"/>
              </w:rPr>
              <w:t>四、本年年末余额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3"/>
                <w:szCs w:val="13"/>
              </w:rPr>
            </w:pPr>
            <w:r>
              <w:rPr>
                <w:rFonts w:ascii="Times New Roman"/>
                <w:b/>
                <w:w w:val="95"/>
                <w:sz w:val="13"/>
              </w:rPr>
              <w:t>319,552,196.86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5"/>
                <w:sz w:val="13"/>
              </w:rPr>
              <w:t>65,738,593.50</w:t>
            </w:r>
            <w:r>
              <w:rPr>
                <w:rFonts w:ascii="Times New Roman"/>
                <w:sz w:val="13"/>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3"/>
                <w:szCs w:val="13"/>
              </w:rPr>
            </w:pPr>
            <w:r>
              <w:rPr>
                <w:rFonts w:ascii="Times New Roman"/>
                <w:b/>
                <w:spacing w:val="-1"/>
                <w:sz w:val="13"/>
              </w:rPr>
              <w:t>-1,203,119,467.40</w:t>
            </w:r>
            <w:r>
              <w:rPr>
                <w:rFonts w:ascii="Times New Roman"/>
                <w:spacing w:val="-1"/>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3"/>
                <w:szCs w:val="13"/>
              </w:rPr>
            </w:pPr>
            <w:r>
              <w:rPr>
                <w:rFonts w:ascii="Times New Roman"/>
                <w:b/>
                <w:w w:val="95"/>
                <w:sz w:val="13"/>
              </w:rPr>
              <w:t>-459,855,146.04</w:t>
            </w:r>
            <w:r>
              <w:rPr>
                <w:rFonts w:ascii="Times New Roman"/>
                <w:sz w:val="13"/>
              </w:rPr>
            </w:r>
          </w:p>
        </w:tc>
      </w:tr>
    </w:tbl>
    <w:p>
      <w:pPr>
        <w:spacing w:before="0"/>
        <w:ind w:left="19" w:right="0"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所附附注系本财务报表的组成部分）</w:t>
      </w:r>
    </w:p>
    <w:p>
      <w:pPr>
        <w:spacing w:line="240" w:lineRule="auto" w:before="4"/>
        <w:rPr>
          <w:rFonts w:ascii="宋体" w:hAnsi="宋体" w:cs="宋体" w:eastAsia="宋体" w:hint="default"/>
          <w:sz w:val="18"/>
          <w:szCs w:val="18"/>
        </w:rPr>
      </w:pPr>
    </w:p>
    <w:p>
      <w:pPr>
        <w:tabs>
          <w:tab w:pos="5966" w:val="left" w:leader="none"/>
          <w:tab w:pos="11101" w:val="left" w:leader="none"/>
        </w:tabs>
        <w:spacing w:before="59"/>
        <w:ind w:left="247" w:right="0" w:firstLine="0"/>
        <w:jc w:val="left"/>
        <w:rPr>
          <w:rFonts w:ascii="黑体" w:hAnsi="黑体" w:cs="黑体" w:eastAsia="黑体" w:hint="default"/>
          <w:sz w:val="13"/>
          <w:szCs w:val="13"/>
        </w:rPr>
      </w:pPr>
      <w:r>
        <w:rPr>
          <w:rFonts w:ascii="黑体" w:hAnsi="黑体" w:cs="黑体" w:eastAsia="黑体" w:hint="default"/>
          <w:w w:val="95"/>
          <w:sz w:val="13"/>
          <w:szCs w:val="13"/>
        </w:rPr>
        <w:t>公司法定代表人：晏群</w:t>
        <w:tab/>
        <w:t>主管会计工作负责人：梁侠</w:t>
        <w:tab/>
      </w:r>
      <w:r>
        <w:rPr>
          <w:rFonts w:ascii="黑体" w:hAnsi="黑体" w:cs="黑体" w:eastAsia="黑体" w:hint="default"/>
          <w:sz w:val="13"/>
          <w:szCs w:val="13"/>
        </w:rPr>
        <w:t>会计机构负责人：林小浓</w:t>
      </w:r>
    </w:p>
    <w:p>
      <w:pPr>
        <w:spacing w:after="0"/>
        <w:jc w:val="left"/>
        <w:rPr>
          <w:rFonts w:ascii="黑体" w:hAnsi="黑体" w:cs="黑体" w:eastAsia="黑体" w:hint="default"/>
          <w:sz w:val="13"/>
          <w:szCs w:val="13"/>
        </w:rPr>
        <w:sectPr>
          <w:footerReference w:type="default" r:id="rId35"/>
          <w:pgSz w:w="16840" w:h="11910" w:orient="landscape"/>
          <w:pgMar w:footer="866" w:header="877" w:top="1100" w:bottom="1060" w:left="1300" w:right="1240"/>
        </w:sect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2"/>
          <w:szCs w:val="22"/>
        </w:rPr>
      </w:pPr>
    </w:p>
    <w:p>
      <w:pPr>
        <w:pStyle w:val="BodyText"/>
        <w:spacing w:line="240" w:lineRule="auto" w:before="35"/>
        <w:ind w:right="0"/>
        <w:jc w:val="left"/>
        <w:rPr>
          <w:rFonts w:ascii="黑体" w:hAnsi="黑体" w:cs="黑体" w:eastAsia="黑体" w:hint="default"/>
        </w:rPr>
      </w:pPr>
      <w:r>
        <w:rPr>
          <w:rFonts w:ascii="黑体" w:hAnsi="黑体" w:cs="黑体" w:eastAsia="黑体" w:hint="default"/>
        </w:rPr>
        <w:t>附注一、公司基本情况</w:t>
      </w:r>
    </w:p>
    <w:p>
      <w:pPr>
        <w:spacing w:line="240" w:lineRule="auto" w:before="3"/>
        <w:rPr>
          <w:rFonts w:ascii="黑体" w:hAnsi="黑体" w:cs="黑体" w:eastAsia="黑体" w:hint="default"/>
          <w:sz w:val="20"/>
          <w:szCs w:val="20"/>
        </w:rPr>
      </w:pPr>
    </w:p>
    <w:p>
      <w:pPr>
        <w:pStyle w:val="BodyText"/>
        <w:spacing w:line="240" w:lineRule="auto"/>
        <w:ind w:right="0"/>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一</w:t>
      </w:r>
      <w:r>
        <w:rPr>
          <w:rFonts w:ascii="Times New Roman" w:hAnsi="Times New Roman" w:cs="Times New Roman" w:eastAsia="Times New Roman" w:hint="default"/>
        </w:rPr>
        <w:t>) </w:t>
      </w:r>
      <w:r>
        <w:rPr>
          <w:rFonts w:ascii="Times New Roman" w:hAnsi="Times New Roman" w:cs="Times New Roman" w:eastAsia="Times New Roman" w:hint="default"/>
          <w:spacing w:val="25"/>
        </w:rPr>
        <w:t> </w:t>
      </w:r>
      <w:r>
        <w:rPr>
          <w:rFonts w:ascii="黑体" w:hAnsi="黑体" w:cs="黑体" w:eastAsia="黑体" w:hint="default"/>
        </w:rPr>
        <w:t>公司简介</w:t>
      </w:r>
    </w:p>
    <w:p>
      <w:pPr>
        <w:spacing w:line="240" w:lineRule="auto" w:before="8"/>
        <w:rPr>
          <w:rFonts w:ascii="黑体" w:hAnsi="黑体" w:cs="黑体" w:eastAsia="黑体" w:hint="default"/>
          <w:sz w:val="23"/>
          <w:szCs w:val="23"/>
        </w:rPr>
      </w:pPr>
    </w:p>
    <w:p>
      <w:pPr>
        <w:pStyle w:val="BodyText"/>
        <w:spacing w:line="240" w:lineRule="auto"/>
        <w:ind w:right="0"/>
        <w:jc w:val="left"/>
      </w:pPr>
      <w:r>
        <w:rPr/>
        <w:t>本公司前身为深圳市华宝畜禽联合公司，</w:t>
      </w:r>
      <w:r>
        <w:rPr>
          <w:rFonts w:ascii="Times New Roman" w:hAnsi="Times New Roman" w:cs="Times New Roman" w:eastAsia="Times New Roman" w:hint="default"/>
        </w:rPr>
        <w:t>1981</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t>日经深圳市人民政府以市特府</w:t>
      </w:r>
    </w:p>
    <w:p>
      <w:pPr>
        <w:pStyle w:val="BodyText"/>
        <w:spacing w:line="240" w:lineRule="auto" w:before="130"/>
        <w:ind w:left="141" w:right="0"/>
        <w:jc w:val="left"/>
      </w:pPr>
      <w:r>
        <w:rPr>
          <w:spacing w:val="-7"/>
        </w:rPr>
        <w:t>【</w:t>
      </w:r>
      <w:r>
        <w:rPr>
          <w:rFonts w:ascii="Times New Roman" w:hAnsi="Times New Roman" w:cs="Times New Roman" w:eastAsia="Times New Roman" w:hint="default"/>
          <w:spacing w:val="-7"/>
        </w:rPr>
        <w:t>1981</w:t>
      </w:r>
      <w:r>
        <w:rPr>
          <w:spacing w:val="-7"/>
        </w:rPr>
        <w:t>】</w:t>
      </w:r>
      <w:r>
        <w:rPr>
          <w:rFonts w:ascii="Times New Roman" w:hAnsi="Times New Roman" w:cs="Times New Roman" w:eastAsia="Times New Roman" w:hint="default"/>
          <w:spacing w:val="-7"/>
        </w:rPr>
        <w:t>20</w:t>
      </w:r>
      <w:r>
        <w:rPr>
          <w:rFonts w:ascii="Times New Roman" w:hAnsi="Times New Roman" w:cs="Times New Roman" w:eastAsia="Times New Roman" w:hint="default"/>
          <w:spacing w:val="1"/>
        </w:rPr>
        <w:t> </w:t>
      </w:r>
      <w:r>
        <w:rPr>
          <w:spacing w:val="-6"/>
        </w:rPr>
        <w:t>号文批准成立，并于</w:t>
      </w:r>
      <w:r>
        <w:rPr>
          <w:spacing w:val="-51"/>
        </w:rPr>
        <w:t> </w:t>
      </w:r>
      <w:r>
        <w:rPr>
          <w:rFonts w:ascii="Times New Roman" w:hAnsi="Times New Roman" w:cs="Times New Roman" w:eastAsia="Times New Roman" w:hint="default"/>
        </w:rPr>
        <w:t>1983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8"/>
        </w:rPr>
        <w:t>日经中国牧工商联合总公司以（</w:t>
      </w:r>
      <w:r>
        <w:rPr>
          <w:rFonts w:ascii="Times New Roman" w:hAnsi="Times New Roman" w:cs="Times New Roman" w:eastAsia="Times New Roman" w:hint="default"/>
          <w:spacing w:val="-8"/>
        </w:rPr>
        <w:t>83</w:t>
      </w:r>
      <w:r>
        <w:rPr>
          <w:spacing w:val="-8"/>
        </w:rPr>
        <w:t>）农牧（办）</w:t>
      </w:r>
    </w:p>
    <w:p>
      <w:pPr>
        <w:pStyle w:val="BodyText"/>
        <w:spacing w:line="350" w:lineRule="auto" w:before="129"/>
        <w:ind w:left="141" w:right="93"/>
        <w:jc w:val="left"/>
      </w:pPr>
      <w:r>
        <w:rPr/>
        <w:t>字第</w:t>
      </w:r>
      <w:r>
        <w:rPr>
          <w:spacing w:val="-46"/>
        </w:rPr>
        <w:t> </w:t>
      </w:r>
      <w:r>
        <w:rPr>
          <w:rFonts w:ascii="Times New Roman" w:hAnsi="Times New Roman" w:cs="Times New Roman" w:eastAsia="Times New Roman" w:hint="default"/>
        </w:rPr>
        <w:t>02</w:t>
      </w:r>
      <w:r>
        <w:rPr>
          <w:rFonts w:ascii="Times New Roman" w:hAnsi="Times New Roman" w:cs="Times New Roman" w:eastAsia="Times New Roman" w:hint="default"/>
          <w:spacing w:val="7"/>
        </w:rPr>
        <w:t> </w:t>
      </w:r>
      <w:r>
        <w:rPr/>
        <w:t>号文批准更名为深圳华宝牧工商联合公司。</w:t>
      </w:r>
      <w:r>
        <w:rPr>
          <w:rFonts w:ascii="Times New Roman" w:hAnsi="Times New Roman" w:cs="Times New Roman" w:eastAsia="Times New Roman" w:hint="default"/>
        </w:rPr>
        <w:t>1993</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日经深圳市人民政府以深 </w:t>
      </w:r>
      <w:r>
        <w:rPr>
          <w:spacing w:val="-2"/>
        </w:rPr>
        <w:t>府办复【</w:t>
      </w:r>
      <w:r>
        <w:rPr>
          <w:rFonts w:ascii="Times New Roman" w:hAnsi="Times New Roman" w:cs="Times New Roman" w:eastAsia="Times New Roman" w:hint="default"/>
          <w:spacing w:val="-2"/>
        </w:rPr>
        <w:t>1993</w:t>
      </w:r>
      <w:r>
        <w:rPr>
          <w:spacing w:val="-2"/>
        </w:rPr>
        <w:t>】</w:t>
      </w:r>
      <w:r>
        <w:rPr>
          <w:rFonts w:ascii="Times New Roman" w:hAnsi="Times New Roman" w:cs="Times New Roman" w:eastAsia="Times New Roman" w:hint="default"/>
          <w:spacing w:val="-2"/>
        </w:rPr>
        <w:t>855</w:t>
      </w:r>
      <w:r>
        <w:rPr>
          <w:rFonts w:ascii="Times New Roman" w:hAnsi="Times New Roman" w:cs="Times New Roman" w:eastAsia="Times New Roman" w:hint="default"/>
          <w:spacing w:val="-11"/>
        </w:rPr>
        <w:t> </w:t>
      </w:r>
      <w:r>
        <w:rPr/>
        <w:t>号文批准，由中国牧工商总公司、深圳市宝安区投资管理公司、深圳经济 特区食品贸易（集团）公司三家为发起人，通过改组以社会募集方式设立深圳市华宝（集团） </w:t>
      </w:r>
      <w:r>
        <w:rPr>
          <w:spacing w:val="-7"/>
        </w:rPr>
        <w:t>股份有限公司。于</w:t>
      </w:r>
      <w:r>
        <w:rPr>
          <w:spacing w:val="-51"/>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3"/>
        </w:rPr>
        <w:t>日经深圳市工商行政管理局批准，将公司名称变更为现名称</w:t>
      </w:r>
      <w:r>
        <w:rPr>
          <w:spacing w:val="-99"/>
        </w:rPr>
        <w:t> </w:t>
      </w:r>
      <w:r>
        <w:rPr>
          <w:spacing w:val="-99"/>
        </w:rPr>
      </w:r>
      <w:r>
        <w:rPr>
          <w:spacing w:val="-2"/>
        </w:rPr>
        <w:t>深圳市深信泰丰（集团）股份有限公司（以下简称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）。公司已领取注册号为</w:t>
      </w:r>
      <w:r>
        <w:rPr>
          <w:spacing w:val="-85"/>
        </w:rPr>
        <w:t> </w:t>
      </w:r>
      <w:r>
        <w:rPr>
          <w:spacing w:val="-85"/>
        </w:rPr>
      </w:r>
      <w:r>
        <w:rPr>
          <w:rFonts w:ascii="Times New Roman" w:hAnsi="Times New Roman" w:cs="Times New Roman" w:eastAsia="Times New Roman" w:hint="default"/>
        </w:rPr>
        <w:t>440301103553063</w:t>
      </w:r>
      <w:r>
        <w:rPr>
          <w:rFonts w:ascii="Times New Roman" w:hAnsi="Times New Roman" w:cs="Times New Roman" w:eastAsia="Times New Roman" w:hint="default"/>
          <w:spacing w:val="-8"/>
        </w:rPr>
        <w:t> </w:t>
      </w:r>
      <w:r>
        <w:rPr/>
        <w:t>企业法人营业执照，注册资本为人民币</w:t>
      </w:r>
      <w:r>
        <w:rPr>
          <w:spacing w:val="-61"/>
        </w:rPr>
        <w:t> </w:t>
      </w:r>
      <w:r>
        <w:rPr>
          <w:rFonts w:ascii="Times New Roman" w:hAnsi="Times New Roman" w:cs="Times New Roman" w:eastAsia="Times New Roman" w:hint="default"/>
        </w:rPr>
        <w:t>357,973,531.00</w:t>
      </w:r>
      <w:r>
        <w:rPr>
          <w:rFonts w:ascii="Times New Roman" w:hAnsi="Times New Roman" w:cs="Times New Roman" w:eastAsia="Times New Roman" w:hint="default"/>
          <w:spacing w:val="-9"/>
        </w:rPr>
        <w:t> </w:t>
      </w:r>
      <w:r>
        <w:rPr/>
        <w:t>元。</w:t>
      </w:r>
    </w:p>
    <w:p>
      <w:pPr>
        <w:spacing w:line="240" w:lineRule="auto" w:before="6"/>
        <w:rPr>
          <w:rFonts w:ascii="宋体" w:hAnsi="宋体" w:cs="宋体" w:eastAsia="宋体" w:hint="default"/>
          <w:sz w:val="15"/>
          <w:szCs w:val="15"/>
        </w:rPr>
      </w:pPr>
    </w:p>
    <w:p>
      <w:pPr>
        <w:pStyle w:val="BodyText"/>
        <w:spacing w:line="240" w:lineRule="auto"/>
        <w:ind w:left="562" w:right="0"/>
        <w:jc w:val="left"/>
      </w:pPr>
      <w:r>
        <w:rPr>
          <w:rFonts w:ascii="Times New Roman" w:hAnsi="Times New Roman" w:cs="Times New Roman" w:eastAsia="Times New Roman" w:hint="default"/>
        </w:rPr>
        <w:t>1</w:t>
      </w:r>
      <w:r>
        <w:rPr/>
        <w:t>、股东所持公司的法人股发生的股权转让事宜：</w:t>
      </w:r>
    </w:p>
    <w:p>
      <w:pPr>
        <w:spacing w:line="240" w:lineRule="auto" w:before="8"/>
        <w:rPr>
          <w:rFonts w:ascii="宋体" w:hAnsi="宋体" w:cs="宋体" w:eastAsia="宋体" w:hint="default"/>
          <w:sz w:val="23"/>
          <w:szCs w:val="23"/>
        </w:rPr>
      </w:pPr>
    </w:p>
    <w:p>
      <w:pPr>
        <w:pStyle w:val="BodyText"/>
        <w:spacing w:line="240" w:lineRule="auto"/>
        <w:ind w:left="562" w:right="0"/>
        <w:jc w:val="left"/>
      </w:pPr>
      <w:r>
        <w:rPr/>
        <w:t>（</w:t>
      </w:r>
      <w:r>
        <w:rPr>
          <w:rFonts w:ascii="Times New Roman" w:hAnsi="Times New Roman" w:cs="Times New Roman" w:eastAsia="Times New Roman" w:hint="default"/>
        </w:rPr>
        <w:t>1</w:t>
      </w:r>
      <w:r>
        <w:rPr/>
        <w:t>）深圳市证券管理办公室于</w:t>
      </w:r>
      <w:r>
        <w:rPr>
          <w:spacing w:val="-47"/>
        </w:rPr>
        <w:t> </w:t>
      </w:r>
      <w:r>
        <w:rPr>
          <w:rFonts w:ascii="Times New Roman" w:hAnsi="Times New Roman" w:cs="Times New Roman" w:eastAsia="Times New Roman" w:hint="default"/>
        </w:rPr>
        <w:t>1999</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日以深证办复【</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42</w:t>
      </w:r>
      <w:r>
        <w:rPr>
          <w:rFonts w:ascii="Times New Roman" w:hAnsi="Times New Roman" w:cs="Times New Roman" w:eastAsia="Times New Roman" w:hint="default"/>
          <w:spacing w:val="4"/>
        </w:rPr>
        <w:t> </w:t>
      </w:r>
      <w:r>
        <w:rPr/>
        <w:t>号文批准，以及</w:t>
      </w:r>
    </w:p>
    <w:p>
      <w:pPr>
        <w:pStyle w:val="BodyText"/>
        <w:spacing w:line="240" w:lineRule="auto" w:before="129"/>
        <w:ind w:left="142" w:right="0"/>
        <w:jc w:val="left"/>
      </w:pPr>
      <w:r>
        <w:rPr/>
        <w:t>经财政部于</w:t>
      </w:r>
      <w:r>
        <w:rPr>
          <w:spacing w:val="-46"/>
        </w:rPr>
        <w:t> </w:t>
      </w:r>
      <w:r>
        <w:rPr>
          <w:rFonts w:ascii="Times New Roman" w:hAnsi="Times New Roman" w:cs="Times New Roman" w:eastAsia="Times New Roman" w:hint="default"/>
        </w:rPr>
        <w:t>1999</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日以财管字【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362</w:t>
      </w:r>
      <w:r>
        <w:rPr>
          <w:rFonts w:ascii="Times New Roman" w:hAnsi="Times New Roman" w:cs="Times New Roman" w:eastAsia="Times New Roman" w:hint="default"/>
          <w:spacing w:val="7"/>
        </w:rPr>
        <w:t> </w:t>
      </w:r>
      <w:r>
        <w:rPr/>
        <w:t>号文批准，由深圳国际信托投资有限责</w:t>
      </w:r>
    </w:p>
    <w:p>
      <w:pPr>
        <w:pStyle w:val="BodyText"/>
        <w:spacing w:line="345" w:lineRule="auto" w:before="129"/>
        <w:ind w:left="142" w:right="97"/>
        <w:jc w:val="left"/>
      </w:pPr>
      <w:r>
        <w:rPr/>
        <w:t>任公司受让本公司原股东</w:t>
      </w:r>
      <w:r>
        <w:rPr>
          <w:rFonts w:ascii="Times New Roman" w:hAnsi="Times New Roman" w:cs="Times New Roman" w:eastAsia="Times New Roman" w:hint="default"/>
        </w:rPr>
        <w:t>—</w:t>
      </w:r>
      <w:r>
        <w:rPr/>
        <w:t>中国牧工商（集团）总公司持有的本公司法人股份</w:t>
      </w:r>
      <w:r>
        <w:rPr>
          <w:spacing w:val="-56"/>
        </w:rPr>
        <w:t> </w:t>
      </w:r>
      <w:r>
        <w:rPr>
          <w:rFonts w:ascii="Times New Roman" w:hAnsi="Times New Roman" w:cs="Times New Roman" w:eastAsia="Times New Roman" w:hint="default"/>
        </w:rPr>
        <w:t>77,886,656</w:t>
      </w:r>
      <w:r>
        <w:rPr>
          <w:rFonts w:ascii="Times New Roman" w:hAnsi="Times New Roman" w:cs="Times New Roman" w:eastAsia="Times New Roman" w:hint="default"/>
          <w:spacing w:val="-2"/>
        </w:rPr>
        <w:t> </w:t>
      </w:r>
      <w:r>
        <w:rPr/>
        <w:t>股， 并办妥股权过户手续。转让完成后，中国牧工商（集团）总公司不再持有本公司股权。</w:t>
      </w:r>
    </w:p>
    <w:p>
      <w:pPr>
        <w:spacing w:line="240" w:lineRule="auto" w:before="10"/>
        <w:rPr>
          <w:rFonts w:ascii="宋体" w:hAnsi="宋体" w:cs="宋体" w:eastAsia="宋体" w:hint="default"/>
          <w:sz w:val="17"/>
          <w:szCs w:val="17"/>
        </w:rPr>
      </w:pPr>
    </w:p>
    <w:p>
      <w:pPr>
        <w:pStyle w:val="BodyText"/>
        <w:spacing w:line="240" w:lineRule="auto"/>
        <w:ind w:left="562" w:right="0"/>
        <w:jc w:val="left"/>
      </w:pPr>
      <w:r>
        <w:rPr/>
        <w:t>（</w:t>
      </w:r>
      <w:r>
        <w:rPr>
          <w:rFonts w:ascii="Times New Roman" w:hAnsi="Times New Roman" w:cs="Times New Roman" w:eastAsia="Times New Roman" w:hint="default"/>
        </w:rPr>
        <w:t>2</w:t>
      </w:r>
      <w:r>
        <w:rPr/>
        <w:t>）深圳市宝安区人民政府于</w:t>
      </w:r>
      <w:r>
        <w:rPr>
          <w:spacing w:val="-47"/>
        </w:rPr>
        <w:t> </w:t>
      </w:r>
      <w:r>
        <w:rPr>
          <w:rFonts w:ascii="Times New Roman" w:hAnsi="Times New Roman" w:cs="Times New Roman" w:eastAsia="Times New Roman" w:hint="default"/>
        </w:rPr>
        <w:t>1999</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日以深宝府函【</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号文批准、深圳</w:t>
      </w:r>
    </w:p>
    <w:p>
      <w:pPr>
        <w:pStyle w:val="BodyText"/>
        <w:spacing w:line="240" w:lineRule="auto" w:before="129"/>
        <w:ind w:left="142" w:right="0"/>
        <w:jc w:val="left"/>
      </w:pPr>
      <w:r>
        <w:rPr/>
        <w:t>市国有资产管理办公室于</w:t>
      </w:r>
      <w:r>
        <w:rPr>
          <w:spacing w:val="-57"/>
        </w:rPr>
        <w:t> </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4"/>
        </w:rPr>
        <w:t>日以【</w:t>
      </w:r>
      <w:r>
        <w:rPr>
          <w:rFonts w:ascii="Times New Roman" w:hAnsi="Times New Roman" w:cs="Times New Roman" w:eastAsia="Times New Roman" w:hint="default"/>
          <w:spacing w:val="-4"/>
        </w:rPr>
        <w:t>1999</w:t>
      </w:r>
      <w:r>
        <w:rPr>
          <w:spacing w:val="-4"/>
        </w:rPr>
        <w:t>】</w:t>
      </w:r>
      <w:r>
        <w:rPr>
          <w:rFonts w:ascii="Times New Roman" w:hAnsi="Times New Roman" w:cs="Times New Roman" w:eastAsia="Times New Roman" w:hint="default"/>
          <w:spacing w:val="-4"/>
        </w:rPr>
        <w:t>65 </w:t>
      </w:r>
      <w:r>
        <w:rPr/>
        <w:t>号文批准，以及深圳市证券管理办公</w:t>
      </w:r>
    </w:p>
    <w:p>
      <w:pPr>
        <w:pStyle w:val="BodyText"/>
        <w:spacing w:line="345" w:lineRule="auto" w:before="129"/>
        <w:ind w:left="142" w:right="214"/>
        <w:jc w:val="both"/>
      </w:pPr>
      <w:r>
        <w:rPr/>
        <w:t>室于</w:t>
      </w:r>
      <w:r>
        <w:rPr>
          <w:spacing w:val="-49"/>
        </w:rPr>
        <w:t> </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日以深证办复【</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42</w:t>
      </w:r>
      <w:r>
        <w:rPr>
          <w:rFonts w:ascii="Times New Roman" w:hAnsi="Times New Roman" w:cs="Times New Roman" w:eastAsia="Times New Roman" w:hint="default"/>
          <w:spacing w:val="4"/>
        </w:rPr>
        <w:t> </w:t>
      </w:r>
      <w:r>
        <w:rPr/>
        <w:t>号文批准，以及经财政部于</w:t>
      </w:r>
      <w:r>
        <w:rPr>
          <w:spacing w:val="-49"/>
        </w:rPr>
        <w:t> </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 </w:t>
      </w:r>
      <w:r>
        <w:rPr>
          <w:spacing w:val="-5"/>
        </w:rPr>
        <w:t>以财管字【</w:t>
      </w:r>
      <w:r>
        <w:rPr>
          <w:rFonts w:ascii="Times New Roman" w:hAnsi="Times New Roman" w:cs="Times New Roman" w:eastAsia="Times New Roman" w:hint="default"/>
          <w:spacing w:val="-5"/>
        </w:rPr>
        <w:t>1999</w:t>
      </w:r>
      <w:r>
        <w:rPr>
          <w:spacing w:val="-5"/>
        </w:rPr>
        <w:t>】</w:t>
      </w:r>
      <w:r>
        <w:rPr>
          <w:rFonts w:ascii="Times New Roman" w:hAnsi="Times New Roman" w:cs="Times New Roman" w:eastAsia="Times New Roman" w:hint="default"/>
          <w:spacing w:val="-5"/>
        </w:rPr>
        <w:t>362</w:t>
      </w:r>
      <w:r>
        <w:rPr>
          <w:rFonts w:ascii="Times New Roman" w:hAnsi="Times New Roman" w:cs="Times New Roman" w:eastAsia="Times New Roman" w:hint="default"/>
          <w:spacing w:val="5"/>
        </w:rPr>
        <w:t> </w:t>
      </w:r>
      <w:r>
        <w:rPr/>
        <w:t>号文批准由深圳国际信托投资有限责任公司受让本公司原第一大股东</w:t>
      </w:r>
      <w:r>
        <w:rPr>
          <w:rFonts w:ascii="Times New Roman" w:hAnsi="Times New Roman" w:cs="Times New Roman" w:eastAsia="Times New Roman" w:hint="default"/>
        </w:rPr>
        <w:t>— </w:t>
      </w:r>
      <w:r>
        <w:rPr/>
        <w:t>深圳市宝安区投资管理公司持有的本公司国家股份</w:t>
      </w:r>
      <w:r>
        <w:rPr>
          <w:spacing w:val="-55"/>
        </w:rPr>
        <w:t> </w:t>
      </w:r>
      <w:r>
        <w:rPr>
          <w:rFonts w:ascii="Times New Roman" w:hAnsi="Times New Roman" w:cs="Times New Roman" w:eastAsia="Times New Roman" w:hint="default"/>
        </w:rPr>
        <w:t>71,335,413</w:t>
      </w:r>
      <w:r>
        <w:rPr>
          <w:rFonts w:ascii="Times New Roman" w:hAnsi="Times New Roman" w:cs="Times New Roman" w:eastAsia="Times New Roman" w:hint="default"/>
          <w:spacing w:val="-2"/>
        </w:rPr>
        <w:t> </w:t>
      </w:r>
      <w:r>
        <w:rPr/>
        <w:t>股。</w:t>
      </w:r>
    </w:p>
    <w:p>
      <w:pPr>
        <w:spacing w:line="240" w:lineRule="auto" w:before="11"/>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深圳市宝安区投资管理公司与深圳国际信托投资有限责任公司重新签</w:t>
      </w:r>
    </w:p>
    <w:p>
      <w:pPr>
        <w:pStyle w:val="BodyText"/>
        <w:spacing w:line="240" w:lineRule="auto" w:before="129"/>
        <w:ind w:left="141" w:right="0"/>
        <w:jc w:val="left"/>
      </w:pPr>
      <w:r>
        <w:rPr/>
        <w:t>定</w:t>
      </w:r>
      <w:r>
        <w:rPr>
          <w:spacing w:val="-35"/>
        </w:rPr>
        <w:t>了</w:t>
      </w:r>
      <w:r>
        <w:rPr/>
        <w:t>《股权转让协议书</w:t>
      </w:r>
      <w:r>
        <w:rPr>
          <w:spacing w:val="-105"/>
        </w:rPr>
        <w:t>》</w:t>
      </w:r>
      <w:r>
        <w:rPr>
          <w:spacing w:val="-36"/>
        </w:rPr>
        <w:t>，</w:t>
      </w:r>
      <w:r>
        <w:rPr/>
        <w:t>根据审计后本公司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日净资产</w:t>
      </w:r>
      <w:r>
        <w:rPr>
          <w:spacing w:val="-35"/>
        </w:rPr>
        <w:t>，</w:t>
      </w:r>
      <w:r>
        <w:rPr/>
        <w:t>上述股权转让价格为</w:t>
      </w:r>
    </w:p>
    <w:p>
      <w:pPr>
        <w:pStyle w:val="BodyText"/>
        <w:spacing w:line="345" w:lineRule="auto" w:before="129"/>
        <w:ind w:left="141" w:right="209" w:hanging="1"/>
        <w:jc w:val="left"/>
      </w:pPr>
      <w:r>
        <w:rPr>
          <w:rFonts w:ascii="Times New Roman" w:hAnsi="Times New Roman" w:cs="Times New Roman" w:eastAsia="Times New Roman" w:hint="default"/>
        </w:rPr>
        <w:t>1.16</w:t>
      </w:r>
      <w:r>
        <w:rPr>
          <w:rFonts w:ascii="Times New Roman" w:hAnsi="Times New Roman" w:cs="Times New Roman" w:eastAsia="Times New Roman" w:hint="default"/>
          <w:spacing w:val="-17"/>
        </w:rPr>
        <w:t> </w:t>
      </w:r>
      <w:r>
        <w:rPr/>
        <w:t>元</w:t>
      </w:r>
      <w:r>
        <w:rPr>
          <w:rFonts w:ascii="Times New Roman" w:hAnsi="Times New Roman" w:cs="Times New Roman" w:eastAsia="Times New Roman" w:hint="default"/>
        </w:rPr>
        <w:t>/</w:t>
      </w:r>
      <w:r>
        <w:rPr/>
        <w:t>股，总价款为</w:t>
      </w:r>
      <w:r>
        <w:rPr>
          <w:spacing w:val="-70"/>
        </w:rPr>
        <w:t> </w:t>
      </w:r>
      <w:r>
        <w:rPr>
          <w:rFonts w:ascii="Times New Roman" w:hAnsi="Times New Roman" w:cs="Times New Roman" w:eastAsia="Times New Roman" w:hint="default"/>
        </w:rPr>
        <w:t>82,749,079.08</w:t>
      </w:r>
      <w:r>
        <w:rPr>
          <w:rFonts w:ascii="Times New Roman" w:hAnsi="Times New Roman" w:cs="Times New Roman" w:eastAsia="Times New Roman" w:hint="default"/>
          <w:spacing w:val="-17"/>
        </w:rPr>
        <w:t> </w:t>
      </w:r>
      <w:r>
        <w:rPr/>
        <w:t>元。该事项已获财政部财企【</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64</w:t>
      </w:r>
      <w:r>
        <w:rPr>
          <w:rFonts w:ascii="Times New Roman" w:hAnsi="Times New Roman" w:cs="Times New Roman" w:eastAsia="Times New Roman" w:hint="default"/>
          <w:spacing w:val="-17"/>
        </w:rPr>
        <w:t> </w:t>
      </w:r>
      <w:r>
        <w:rPr/>
        <w:t>号文批复、中国证 监会证监公司字【</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38</w:t>
      </w:r>
      <w:r>
        <w:rPr>
          <w:rFonts w:ascii="Times New Roman" w:hAnsi="Times New Roman" w:cs="Times New Roman" w:eastAsia="Times New Roman" w:hint="default"/>
          <w:spacing w:val="-4"/>
        </w:rPr>
        <w:t> </w:t>
      </w:r>
      <w:r>
        <w:rPr/>
        <w:t>号文批复，并办妥股权过户手续。</w:t>
      </w:r>
    </w:p>
    <w:p>
      <w:pPr>
        <w:spacing w:after="0" w:line="345" w:lineRule="auto"/>
        <w:jc w:val="left"/>
        <w:sectPr>
          <w:headerReference w:type="default" r:id="rId36"/>
          <w:footerReference w:type="default" r:id="rId37"/>
          <w:pgSz w:w="11910" w:h="16840"/>
          <w:pgMar w:header="963" w:footer="893" w:top="1140" w:bottom="1080" w:left="1560" w:right="1480"/>
          <w:pgNumType w:start="55"/>
        </w:sectPr>
      </w:pPr>
    </w:p>
    <w:p>
      <w:pPr>
        <w:spacing w:line="240" w:lineRule="auto" w:before="8"/>
        <w:rPr>
          <w:rFonts w:ascii="宋体" w:hAnsi="宋体" w:cs="宋体" w:eastAsia="宋体" w:hint="default"/>
          <w:sz w:val="27"/>
          <w:szCs w:val="27"/>
        </w:rPr>
      </w:pPr>
    </w:p>
    <w:p>
      <w:pPr>
        <w:pStyle w:val="BodyText"/>
        <w:spacing w:line="379" w:lineRule="auto" w:before="35"/>
        <w:ind w:left="141" w:right="201" w:firstLine="419"/>
        <w:jc w:val="both"/>
      </w:pPr>
      <w:r>
        <w:rPr/>
        <w:t>（</w:t>
      </w:r>
      <w:r>
        <w:rPr>
          <w:rFonts w:ascii="Times New Roman" w:hAnsi="Times New Roman" w:cs="Times New Roman" w:eastAsia="Times New Roman" w:hint="default"/>
        </w:rPr>
        <w:t>3</w:t>
      </w:r>
      <w:r>
        <w:rPr/>
        <w:t>）深圳市宝安区人民政府于</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日以深宝函【</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42</w:t>
      </w:r>
      <w:r>
        <w:rPr>
          <w:rFonts w:ascii="Times New Roman" w:hAnsi="Times New Roman" w:cs="Times New Roman" w:eastAsia="Times New Roman" w:hint="default"/>
          <w:spacing w:val="5"/>
        </w:rPr>
        <w:t> </w:t>
      </w:r>
      <w:r>
        <w:rPr/>
        <w:t>号文批准，由深 </w:t>
      </w:r>
      <w:r>
        <w:rPr>
          <w:spacing w:val="13"/>
        </w:rPr>
        <w:t>圳泰丰电子有限公司受让本公司原股东</w:t>
      </w:r>
      <w:r>
        <w:rPr>
          <w:rFonts w:ascii="Times New Roman" w:hAnsi="Times New Roman" w:cs="Times New Roman" w:eastAsia="Times New Roman" w:hint="default"/>
          <w:spacing w:val="13"/>
        </w:rPr>
        <w:t>—</w:t>
      </w:r>
      <w:r>
        <w:rPr>
          <w:spacing w:val="13"/>
        </w:rPr>
        <w:t>深圳市宝安区投资管理公司持有的公司国家股</w:t>
      </w:r>
      <w:r>
        <w:rPr>
          <w:spacing w:val="-75"/>
        </w:rPr>
        <w:t> </w:t>
      </w:r>
      <w:r>
        <w:rPr>
          <w:spacing w:val="-75"/>
        </w:rPr>
      </w:r>
      <w:r>
        <w:rPr>
          <w:rFonts w:ascii="Times New Roman" w:hAnsi="Times New Roman" w:cs="Times New Roman" w:eastAsia="Times New Roman" w:hint="default"/>
        </w:rPr>
        <w:t>24,891,152</w:t>
      </w:r>
      <w:r>
        <w:rPr>
          <w:rFonts w:ascii="Times New Roman" w:hAnsi="Times New Roman" w:cs="Times New Roman" w:eastAsia="Times New Roman" w:hint="default"/>
          <w:spacing w:val="-8"/>
        </w:rPr>
        <w:t> </w:t>
      </w:r>
      <w:r>
        <w:rPr/>
        <w:t>股。</w:t>
      </w:r>
    </w:p>
    <w:p>
      <w:pPr>
        <w:spacing w:line="240" w:lineRule="auto" w:before="6"/>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5"/>
        </w:rPr>
        <w:t>日，深圳市宝安区投资管理公司与深圳泰丰电子有限公司重新签定了《股</w:t>
      </w:r>
    </w:p>
    <w:p>
      <w:pPr>
        <w:pStyle w:val="BodyText"/>
        <w:spacing w:line="379" w:lineRule="auto" w:before="169"/>
        <w:ind w:left="141" w:right="215"/>
        <w:jc w:val="both"/>
      </w:pPr>
      <w:r>
        <w:rPr>
          <w:spacing w:val="-7"/>
        </w:rPr>
        <w:t>权转让协议书》，根据审计后的本公司</w:t>
      </w:r>
      <w:r>
        <w:rPr/>
        <w:t> </w:t>
      </w:r>
      <w:r>
        <w:rPr>
          <w:rFonts w:ascii="Times New Roman" w:hAnsi="Times New Roman" w:cs="Times New Roman" w:eastAsia="Times New Roman" w:hint="default"/>
          <w:spacing w:val="-1"/>
        </w:rPr>
        <w:t>2001</w:t>
      </w:r>
      <w:r>
        <w:rPr>
          <w:rFonts w:ascii="Times New Roman" w:hAnsi="Times New Roman" w:cs="Times New Roman" w:eastAsia="Times New Roman" w:hint="default"/>
        </w:rPr>
        <w:t> </w:t>
      </w:r>
      <w:r>
        <w:rPr/>
        <w:t>年 </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t>月 </w:t>
      </w:r>
      <w:r>
        <w:rPr>
          <w:rFonts w:ascii="Times New Roman" w:hAnsi="Times New Roman" w:cs="Times New Roman" w:eastAsia="Times New Roman" w:hint="default"/>
        </w:rPr>
        <w:t>31 </w:t>
      </w:r>
      <w:r>
        <w:rPr>
          <w:spacing w:val="-1"/>
        </w:rPr>
        <w:t>日净资产，上述股权转让价格为</w:t>
      </w:r>
      <w:r>
        <w:rPr>
          <w:spacing w:val="-80"/>
        </w:rPr>
        <w:t> </w:t>
      </w:r>
      <w:r>
        <w:rPr>
          <w:rFonts w:ascii="Times New Roman" w:hAnsi="Times New Roman" w:cs="Times New Roman" w:eastAsia="Times New Roman" w:hint="default"/>
        </w:rPr>
        <w:t>1.16 </w:t>
      </w:r>
      <w:r>
        <w:rPr/>
        <w:t>元</w:t>
      </w:r>
      <w:r>
        <w:rPr>
          <w:rFonts w:ascii="Times New Roman" w:hAnsi="Times New Roman" w:cs="Times New Roman" w:eastAsia="Times New Roman" w:hint="default"/>
        </w:rPr>
        <w:t>/</w:t>
      </w:r>
      <w:r>
        <w:rPr/>
        <w:t>股，总价款为</w:t>
      </w:r>
      <w:r>
        <w:rPr>
          <w:spacing w:val="-74"/>
        </w:rPr>
        <w:t> </w:t>
      </w:r>
      <w:r>
        <w:rPr>
          <w:rFonts w:ascii="Times New Roman" w:hAnsi="Times New Roman" w:cs="Times New Roman" w:eastAsia="Times New Roman" w:hint="default"/>
        </w:rPr>
        <w:t>28,873,736.32</w:t>
      </w:r>
      <w:r>
        <w:rPr>
          <w:rFonts w:ascii="Times New Roman" w:hAnsi="Times New Roman" w:cs="Times New Roman" w:eastAsia="Times New Roman" w:hint="default"/>
          <w:spacing w:val="-21"/>
        </w:rPr>
        <w:t> </w:t>
      </w:r>
      <w:r>
        <w:rPr/>
        <w:t>元。该事项已获财政部财企【</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64</w:t>
      </w:r>
      <w:r>
        <w:rPr>
          <w:rFonts w:ascii="Times New Roman" w:hAnsi="Times New Roman" w:cs="Times New Roman" w:eastAsia="Times New Roman" w:hint="default"/>
          <w:spacing w:val="-21"/>
        </w:rPr>
        <w:t> </w:t>
      </w:r>
      <w:r>
        <w:rPr/>
        <w:t>号文批复，并办妥股权 过户手续。</w:t>
      </w:r>
    </w:p>
    <w:p>
      <w:pPr>
        <w:spacing w:line="240" w:lineRule="auto" w:before="8"/>
        <w:rPr>
          <w:rFonts w:ascii="宋体" w:hAnsi="宋体" w:cs="宋体" w:eastAsia="宋体" w:hint="default"/>
          <w:sz w:val="18"/>
          <w:szCs w:val="18"/>
        </w:rPr>
      </w:pPr>
    </w:p>
    <w:p>
      <w:pPr>
        <w:pStyle w:val="BodyText"/>
        <w:spacing w:line="240" w:lineRule="auto"/>
        <w:ind w:right="0"/>
        <w:jc w:val="left"/>
      </w:pPr>
      <w:r>
        <w:rPr/>
        <w:t>此次股权转让后，深圳市宝安区投资管理公司尚持有本公司股份为</w:t>
      </w:r>
      <w:r>
        <w:rPr>
          <w:spacing w:val="-56"/>
        </w:rPr>
        <w:t> </w:t>
      </w:r>
      <w:r>
        <w:rPr>
          <w:rFonts w:ascii="Times New Roman" w:hAnsi="Times New Roman" w:cs="Times New Roman" w:eastAsia="Times New Roman" w:hint="default"/>
        </w:rPr>
        <w:t>37,329,007</w:t>
      </w:r>
      <w:r>
        <w:rPr>
          <w:rFonts w:ascii="Times New Roman" w:hAnsi="Times New Roman" w:cs="Times New Roman" w:eastAsia="Times New Roman" w:hint="default"/>
          <w:spacing w:val="-3"/>
        </w:rPr>
        <w:t> </w:t>
      </w:r>
      <w:r>
        <w:rPr/>
        <w:t>股。</w:t>
      </w:r>
    </w:p>
    <w:p>
      <w:pPr>
        <w:spacing w:line="240" w:lineRule="auto" w:before="9"/>
        <w:rPr>
          <w:rFonts w:ascii="宋体" w:hAnsi="宋体" w:cs="宋体" w:eastAsia="宋体" w:hint="default"/>
          <w:sz w:val="26"/>
          <w:szCs w:val="26"/>
        </w:rPr>
      </w:pPr>
    </w:p>
    <w:p>
      <w:pPr>
        <w:pStyle w:val="BodyText"/>
        <w:spacing w:line="379" w:lineRule="auto"/>
        <w:ind w:left="141" w:right="202" w:firstLine="420"/>
        <w:jc w:val="both"/>
      </w:pPr>
      <w:r>
        <w:rPr/>
        <w:t>（</w:t>
      </w:r>
      <w:r>
        <w:rPr>
          <w:rFonts w:ascii="Times New Roman" w:hAnsi="Times New Roman" w:cs="Times New Roman" w:eastAsia="Times New Roman" w:hint="default"/>
        </w:rPr>
        <w:t>4</w:t>
      </w:r>
      <w:r>
        <w:rPr/>
        <w:t>）深圳市投资管理公司于</w:t>
      </w:r>
      <w:r>
        <w:rPr>
          <w:spacing w:val="-4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日以深投【</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411</w:t>
      </w:r>
      <w:r>
        <w:rPr>
          <w:rFonts w:ascii="Times New Roman" w:hAnsi="Times New Roman" w:cs="Times New Roman" w:eastAsia="Times New Roman" w:hint="default"/>
          <w:spacing w:val="6"/>
        </w:rPr>
        <w:t> </w:t>
      </w:r>
      <w:r>
        <w:rPr/>
        <w:t>号批准，由深圳泰丰 </w:t>
      </w:r>
      <w:r>
        <w:rPr>
          <w:spacing w:val="13"/>
        </w:rPr>
        <w:t>电子有限公司受让公司原股东</w:t>
      </w:r>
      <w:r>
        <w:rPr>
          <w:rFonts w:ascii="Times New Roman" w:hAnsi="Times New Roman" w:cs="Times New Roman" w:eastAsia="Times New Roman" w:hint="default"/>
          <w:spacing w:val="13"/>
        </w:rPr>
        <w:t>—</w:t>
      </w:r>
      <w:r>
        <w:rPr>
          <w:spacing w:val="13"/>
        </w:rPr>
        <w:t>深圳市国际信托投资有限责任公司持有的本公司法人股</w:t>
      </w:r>
      <w:r>
        <w:rPr>
          <w:spacing w:val="-75"/>
        </w:rPr>
        <w:t> </w:t>
      </w:r>
      <w:r>
        <w:rPr>
          <w:spacing w:val="-75"/>
        </w:rPr>
      </w:r>
      <w:r>
        <w:rPr>
          <w:rFonts w:ascii="Times New Roman" w:hAnsi="Times New Roman" w:cs="Times New Roman" w:eastAsia="Times New Roman" w:hint="default"/>
        </w:rPr>
        <w:t>57,560,789</w:t>
      </w:r>
      <w:r>
        <w:rPr>
          <w:rFonts w:ascii="Times New Roman" w:hAnsi="Times New Roman" w:cs="Times New Roman" w:eastAsia="Times New Roman" w:hint="default"/>
          <w:spacing w:val="-6"/>
        </w:rPr>
        <w:t> </w:t>
      </w:r>
      <w:r>
        <w:rPr/>
        <w:t>股，但尚待政府其他部门批准，故尚未办理股权过户手续。</w:t>
      </w:r>
    </w:p>
    <w:p>
      <w:pPr>
        <w:spacing w:line="240" w:lineRule="auto" w:before="5"/>
        <w:rPr>
          <w:rFonts w:ascii="宋体" w:hAnsi="宋体" w:cs="宋体" w:eastAsia="宋体" w:hint="default"/>
          <w:sz w:val="16"/>
          <w:szCs w:val="16"/>
        </w:rPr>
      </w:pPr>
    </w:p>
    <w:p>
      <w:pPr>
        <w:pStyle w:val="BodyText"/>
        <w:spacing w:line="379" w:lineRule="auto"/>
        <w:ind w:left="141" w:right="106" w:firstLine="420"/>
        <w:jc w:val="left"/>
      </w:pPr>
      <w:r>
        <w:rPr>
          <w:spacing w:val="-3"/>
        </w:rPr>
        <w:t>（</w:t>
      </w:r>
      <w:r>
        <w:rPr>
          <w:rFonts w:ascii="Times New Roman" w:hAnsi="Times New Roman" w:cs="Times New Roman" w:eastAsia="Times New Roman" w:hint="default"/>
          <w:spacing w:val="-3"/>
        </w:rPr>
        <w:t>5</w:t>
      </w:r>
      <w:r>
        <w:rPr>
          <w:spacing w:val="-3"/>
        </w:rPr>
        <w:t>）国务院国有资产监督管理委员会于</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8"/>
        </w:rPr>
        <w:t>日以国资产权【</w:t>
      </w:r>
      <w:r>
        <w:rPr>
          <w:rFonts w:ascii="Times New Roman" w:hAnsi="Times New Roman" w:cs="Times New Roman" w:eastAsia="Times New Roman" w:hint="default"/>
          <w:spacing w:val="-8"/>
        </w:rPr>
        <w:t>2006</w:t>
      </w:r>
      <w:r>
        <w:rPr>
          <w:spacing w:val="-8"/>
        </w:rPr>
        <w:t>】</w:t>
      </w:r>
      <w:r>
        <w:rPr>
          <w:rFonts w:ascii="Times New Roman" w:hAnsi="Times New Roman" w:cs="Times New Roman" w:eastAsia="Times New Roman" w:hint="default"/>
          <w:spacing w:val="-8"/>
        </w:rPr>
        <w:t>106</w:t>
      </w:r>
      <w:r>
        <w:rPr>
          <w:rFonts w:ascii="Times New Roman" w:hAnsi="Times New Roman" w:cs="Times New Roman" w:eastAsia="Times New Roman" w:hint="default"/>
          <w:spacing w:val="1"/>
        </w:rPr>
        <w:t> </w:t>
      </w:r>
      <w:r>
        <w:rPr/>
        <w:t>号批准， </w:t>
      </w:r>
      <w:r>
        <w:rPr>
          <w:spacing w:val="2"/>
        </w:rPr>
        <w:t>由中国希格玛有限公司受让公司原股东</w:t>
      </w:r>
      <w:r>
        <w:rPr>
          <w:rFonts w:ascii="Times New Roman" w:hAnsi="Times New Roman" w:cs="Times New Roman" w:eastAsia="Times New Roman" w:hint="default"/>
          <w:spacing w:val="2"/>
        </w:rPr>
        <w:t>—</w:t>
      </w:r>
      <w:r>
        <w:rPr>
          <w:spacing w:val="2"/>
        </w:rPr>
        <w:t>深圳市国际信托投资有限责任公司持有的本公司国</w:t>
      </w:r>
      <w:r>
        <w:rPr>
          <w:spacing w:val="-100"/>
        </w:rPr>
        <w:t> </w:t>
      </w:r>
      <w:r>
        <w:rPr>
          <w:spacing w:val="-100"/>
        </w:rPr>
      </w:r>
      <w:r>
        <w:rPr/>
        <w:t>有股</w:t>
      </w:r>
      <w:r>
        <w:rPr>
          <w:spacing w:val="-56"/>
        </w:rPr>
        <w:t> </w:t>
      </w:r>
      <w:r>
        <w:rPr>
          <w:rFonts w:ascii="Times New Roman" w:hAnsi="Times New Roman" w:cs="Times New Roman" w:eastAsia="Times New Roman" w:hint="default"/>
        </w:rPr>
        <w:t>91,661,280</w:t>
      </w:r>
      <w:r>
        <w:rPr>
          <w:rFonts w:ascii="Times New Roman" w:hAnsi="Times New Roman" w:cs="Times New Roman" w:eastAsia="Times New Roman" w:hint="default"/>
          <w:spacing w:val="-3"/>
        </w:rPr>
        <w:t> </w:t>
      </w:r>
      <w:r>
        <w:rPr/>
        <w:t>股，并办妥股权过户手续。</w:t>
      </w:r>
    </w:p>
    <w:p>
      <w:pPr>
        <w:spacing w:line="240" w:lineRule="auto" w:before="5"/>
        <w:rPr>
          <w:rFonts w:ascii="宋体" w:hAnsi="宋体" w:cs="宋体" w:eastAsia="宋体" w:hint="default"/>
          <w:sz w:val="16"/>
          <w:szCs w:val="16"/>
        </w:rPr>
      </w:pPr>
    </w:p>
    <w:p>
      <w:pPr>
        <w:pStyle w:val="BodyText"/>
        <w:spacing w:line="240" w:lineRule="auto"/>
        <w:ind w:left="560" w:right="0"/>
        <w:jc w:val="left"/>
      </w:pPr>
      <w:r>
        <w:rPr/>
        <w:t>（</w:t>
      </w:r>
      <w:r>
        <w:rPr>
          <w:rFonts w:ascii="Times New Roman" w:hAnsi="Times New Roman" w:cs="Times New Roman" w:eastAsia="Times New Roman" w:hint="default"/>
        </w:rPr>
        <w:t>6</w:t>
      </w:r>
      <w:r>
        <w:rPr/>
        <w:t>）由于深圳泰丰电子有限公司持有的本公司</w:t>
      </w:r>
      <w:r>
        <w:rPr>
          <w:spacing w:val="-55"/>
        </w:rPr>
        <w:t> </w:t>
      </w:r>
      <w:r>
        <w:rPr>
          <w:rFonts w:ascii="Times New Roman" w:hAnsi="Times New Roman" w:cs="Times New Roman" w:eastAsia="Times New Roman" w:hint="default"/>
        </w:rPr>
        <w:t>24,891,152</w:t>
      </w:r>
      <w:r>
        <w:rPr>
          <w:rFonts w:ascii="Times New Roman" w:hAnsi="Times New Roman" w:cs="Times New Roman" w:eastAsia="Times New Roman" w:hint="default"/>
          <w:spacing w:val="-2"/>
        </w:rPr>
        <w:t> </w:t>
      </w:r>
      <w:r>
        <w:rPr/>
        <w:t>股法人股被北京市第一中级人</w:t>
      </w:r>
    </w:p>
    <w:p>
      <w:pPr>
        <w:pStyle w:val="BodyText"/>
        <w:spacing w:line="240" w:lineRule="auto" w:before="170"/>
        <w:ind w:left="140" w:right="0"/>
        <w:jc w:val="both"/>
      </w:pPr>
      <w:r>
        <w:rPr/>
        <w:t>民法院于</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4"/>
        </w:rPr>
        <w:t>日公开拍卖。上海灵竹投资咨询有限公司、上海美佳商贸有限公司以</w:t>
      </w:r>
    </w:p>
    <w:p>
      <w:pPr>
        <w:pStyle w:val="BodyText"/>
        <w:spacing w:line="240" w:lineRule="auto" w:before="169"/>
        <w:ind w:left="140" w:right="0"/>
        <w:jc w:val="both"/>
      </w:pPr>
      <w:r>
        <w:rPr/>
        <w:t>联合竞拍方式各得</w:t>
      </w:r>
      <w:r>
        <w:rPr>
          <w:spacing w:val="-57"/>
        </w:rPr>
        <w:t> </w:t>
      </w:r>
      <w:r>
        <w:rPr>
          <w:rFonts w:ascii="Times New Roman" w:hAnsi="Times New Roman" w:cs="Times New Roman" w:eastAsia="Times New Roman" w:hint="default"/>
        </w:rPr>
        <w:t>12,445,576</w:t>
      </w:r>
      <w:r>
        <w:rPr>
          <w:rFonts w:ascii="Times New Roman" w:hAnsi="Times New Roman" w:cs="Times New Roman" w:eastAsia="Times New Roman" w:hint="default"/>
          <w:spacing w:val="-3"/>
        </w:rPr>
        <w:t> </w:t>
      </w:r>
      <w:r>
        <w:rPr/>
        <w:t>股，并于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年办妥股权过户手续。</w:t>
      </w:r>
    </w:p>
    <w:p>
      <w:pPr>
        <w:spacing w:line="240" w:lineRule="auto" w:before="9"/>
        <w:rPr>
          <w:rFonts w:ascii="宋体" w:hAnsi="宋体" w:cs="宋体" w:eastAsia="宋体" w:hint="default"/>
          <w:sz w:val="26"/>
          <w:szCs w:val="26"/>
        </w:rPr>
      </w:pPr>
    </w:p>
    <w:p>
      <w:pPr>
        <w:pStyle w:val="BodyText"/>
        <w:spacing w:line="386" w:lineRule="auto"/>
        <w:ind w:left="140" w:right="216" w:firstLine="420"/>
        <w:jc w:val="both"/>
      </w:pPr>
      <w:r>
        <w:rPr>
          <w:spacing w:val="-6"/>
        </w:rPr>
        <w:t>（</w:t>
      </w:r>
      <w:r>
        <w:rPr>
          <w:rFonts w:ascii="Times New Roman" w:hAnsi="Times New Roman" w:cs="Times New Roman" w:eastAsia="Times New Roman" w:hint="default"/>
          <w:spacing w:val="-6"/>
        </w:rPr>
        <w:t>7</w:t>
      </w:r>
      <w:r>
        <w:rPr>
          <w:spacing w:val="-6"/>
        </w:rPr>
        <w:t>）由于深圳泰丰电子有限公司持有的本公司</w:t>
      </w:r>
      <w:r>
        <w:rPr/>
        <w:t> </w:t>
      </w:r>
      <w:r>
        <w:rPr>
          <w:rFonts w:ascii="Times New Roman" w:hAnsi="Times New Roman" w:cs="Times New Roman" w:eastAsia="Times New Roman" w:hint="default"/>
          <w:spacing w:val="-1"/>
        </w:rPr>
        <w:t>6,000,000</w:t>
      </w:r>
      <w:r>
        <w:rPr>
          <w:rFonts w:ascii="Times New Roman" w:hAnsi="Times New Roman" w:cs="Times New Roman" w:eastAsia="Times New Roman" w:hint="default"/>
          <w:spacing w:val="-21"/>
        </w:rPr>
        <w:t> </w:t>
      </w:r>
      <w:r>
        <w:rPr>
          <w:spacing w:val="-1"/>
        </w:rPr>
        <w:t>股法人股被广东省河源市中级人</w:t>
      </w:r>
      <w:r>
        <w:rPr/>
        <w:t> </w:t>
      </w:r>
      <w:r>
        <w:rPr>
          <w:spacing w:val="-3"/>
        </w:rPr>
        <w:t>民法院公开拍卖。竞买人杨跃烽、郝琳、谢雯、张丽程以联合竞拍方式竞得。具体为：杨跃烽</w:t>
      </w:r>
      <w:r>
        <w:rPr>
          <w:spacing w:val="-93"/>
        </w:rPr>
        <w:t> </w:t>
      </w:r>
      <w:r>
        <w:rPr>
          <w:spacing w:val="-93"/>
        </w:rPr>
      </w:r>
      <w:r>
        <w:rPr/>
        <w:t>拥有 </w:t>
      </w:r>
      <w:r>
        <w:rPr>
          <w:rFonts w:ascii="Times New Roman" w:hAnsi="Times New Roman" w:cs="Times New Roman" w:eastAsia="Times New Roman" w:hint="default"/>
        </w:rPr>
        <w:t>300 </w:t>
      </w:r>
      <w:r>
        <w:rPr/>
        <w:t>万股、郝琳拥有 </w:t>
      </w:r>
      <w:r>
        <w:rPr>
          <w:rFonts w:ascii="Times New Roman" w:hAnsi="Times New Roman" w:cs="Times New Roman" w:eastAsia="Times New Roman" w:hint="default"/>
        </w:rPr>
        <w:t>100 </w:t>
      </w:r>
      <w:r>
        <w:rPr/>
        <w:t>万股、谢雯拥有 </w:t>
      </w:r>
      <w:r>
        <w:rPr>
          <w:rFonts w:ascii="Times New Roman" w:hAnsi="Times New Roman" w:cs="Times New Roman" w:eastAsia="Times New Roman" w:hint="default"/>
        </w:rPr>
        <w:t>100 </w:t>
      </w:r>
      <w:r>
        <w:rPr/>
        <w:t>万股、张丽程拥有 </w:t>
      </w:r>
      <w:r>
        <w:rPr>
          <w:rFonts w:ascii="Times New Roman" w:hAnsi="Times New Roman" w:cs="Times New Roman" w:eastAsia="Times New Roman" w:hint="default"/>
        </w:rPr>
        <w:t>100 </w:t>
      </w:r>
      <w:r>
        <w:rPr/>
        <w:t>万股，并于</w:t>
      </w:r>
      <w:r>
        <w:rPr>
          <w:spacing w:val="-12"/>
        </w:rPr>
        <w:t> </w:t>
      </w:r>
      <w:r>
        <w:rPr>
          <w:rFonts w:ascii="Times New Roman" w:hAnsi="Times New Roman" w:cs="Times New Roman" w:eastAsia="Times New Roman" w:hint="default"/>
        </w:rPr>
        <w:t>2008 </w:t>
      </w:r>
      <w:r>
        <w:rPr/>
        <w:t>年办妥股权过户手续。</w:t>
      </w:r>
    </w:p>
    <w:p>
      <w:pPr>
        <w:spacing w:line="240" w:lineRule="auto" w:before="2"/>
        <w:rPr>
          <w:rFonts w:ascii="宋体" w:hAnsi="宋体" w:cs="宋体" w:eastAsia="宋体" w:hint="default"/>
          <w:sz w:val="18"/>
          <w:szCs w:val="18"/>
        </w:rPr>
      </w:pPr>
    </w:p>
    <w:p>
      <w:pPr>
        <w:pStyle w:val="BodyText"/>
        <w:spacing w:line="379" w:lineRule="auto"/>
        <w:ind w:left="140" w:right="217" w:firstLine="420"/>
        <w:jc w:val="both"/>
      </w:pPr>
      <w:r>
        <w:rPr>
          <w:spacing w:val="-5"/>
        </w:rPr>
        <w:t>（</w:t>
      </w:r>
      <w:r>
        <w:rPr>
          <w:rFonts w:ascii="Times New Roman" w:hAnsi="Times New Roman" w:cs="Times New Roman" w:eastAsia="Times New Roman" w:hint="default"/>
          <w:spacing w:val="-5"/>
        </w:rPr>
        <w:t>8</w:t>
      </w:r>
      <w:r>
        <w:rPr>
          <w:spacing w:val="-5"/>
        </w:rPr>
        <w:t>）</w:t>
      </w:r>
      <w:r>
        <w:rPr>
          <w:rFonts w:ascii="Times New Roman" w:hAnsi="Times New Roman" w:cs="Times New Roman" w:eastAsia="Times New Roman" w:hint="default"/>
          <w:spacing w:val="-5"/>
        </w:rPr>
        <w:t>2009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日，深圳泰丰电子有限公司持有的公司</w:t>
      </w:r>
      <w:r>
        <w:rPr>
          <w:spacing w:val="-57"/>
        </w:rPr>
        <w:t> </w:t>
      </w:r>
      <w:r>
        <w:rPr>
          <w:rFonts w:ascii="Times New Roman" w:hAnsi="Times New Roman" w:cs="Times New Roman" w:eastAsia="Times New Roman" w:hint="default"/>
        </w:rPr>
        <w:t>3050</w:t>
      </w:r>
      <w:r>
        <w:rPr>
          <w:rFonts w:ascii="Times New Roman" w:hAnsi="Times New Roman" w:cs="Times New Roman" w:eastAsia="Times New Roman" w:hint="default"/>
          <w:spacing w:val="-4"/>
        </w:rPr>
        <w:t> </w:t>
      </w:r>
      <w:r>
        <w:rPr/>
        <w:t>万股股权被北京市第一 中级人民法院公开拍卖，由重庆润江基础设施投资有限公司竞得，并已办妥股权过户手续。</w:t>
      </w:r>
    </w:p>
    <w:p>
      <w:pPr>
        <w:spacing w:line="240" w:lineRule="auto" w:before="8"/>
        <w:rPr>
          <w:rFonts w:ascii="宋体" w:hAnsi="宋体" w:cs="宋体" w:eastAsia="宋体" w:hint="default"/>
          <w:sz w:val="18"/>
          <w:szCs w:val="18"/>
        </w:rPr>
      </w:pPr>
    </w:p>
    <w:p>
      <w:pPr>
        <w:pStyle w:val="BodyText"/>
        <w:spacing w:line="240" w:lineRule="auto"/>
        <w:ind w:left="560" w:right="0"/>
        <w:jc w:val="left"/>
      </w:pPr>
      <w:r>
        <w:rPr>
          <w:rFonts w:ascii="Times New Roman" w:hAnsi="Times New Roman" w:cs="Times New Roman" w:eastAsia="Times New Roman" w:hint="default"/>
        </w:rPr>
        <w:t>2</w:t>
      </w:r>
      <w:r>
        <w:rPr/>
        <w:t>、股权分置改革情况</w:t>
      </w:r>
    </w:p>
    <w:p>
      <w:pPr>
        <w:spacing w:line="240" w:lineRule="auto" w:before="10"/>
        <w:rPr>
          <w:rFonts w:ascii="宋体" w:hAnsi="宋体" w:cs="宋体" w:eastAsia="宋体" w:hint="default"/>
          <w:sz w:val="26"/>
          <w:szCs w:val="26"/>
        </w:rPr>
      </w:pPr>
    </w:p>
    <w:p>
      <w:pPr>
        <w:pStyle w:val="BodyText"/>
        <w:spacing w:line="240" w:lineRule="auto"/>
        <w:ind w:left="560" w:right="0"/>
        <w:jc w:val="left"/>
      </w:pPr>
      <w:r>
        <w:rPr/>
        <w:t>本公司于</w:t>
      </w:r>
      <w:r>
        <w:rPr>
          <w:spacing w:val="-53"/>
        </w:rPr>
        <w:t> </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4"/>
        </w:rPr>
        <w:t>日召开股权分置改革相关股东会议，审议通过《深圳市深信泰丰</w:t>
      </w:r>
    </w:p>
    <w:p>
      <w:pPr>
        <w:pStyle w:val="BodyText"/>
        <w:spacing w:line="240" w:lineRule="auto" w:before="169"/>
        <w:ind w:left="140" w:right="0"/>
        <w:jc w:val="both"/>
      </w:pPr>
      <w:r>
        <w:rPr/>
        <w:t>（集团）股份有限公司股权分置改革方案</w:t>
      </w:r>
      <w:r>
        <w:rPr>
          <w:spacing w:val="-105"/>
        </w:rPr>
        <w:t>》</w:t>
      </w:r>
      <w:r>
        <w:rPr/>
        <w:t>。</w:t>
      </w:r>
      <w:r>
        <w:rPr>
          <w:spacing w:val="-2"/>
        </w:rPr>
        <w:t>根</w:t>
      </w:r>
      <w:r>
        <w:rPr/>
        <w:t>据股权分置改革方案，公司申请增加注册资本</w:t>
      </w:r>
    </w:p>
    <w:p>
      <w:pPr>
        <w:spacing w:after="0" w:line="240" w:lineRule="auto"/>
        <w:jc w:val="both"/>
        <w:sectPr>
          <w:pgSz w:w="11910" w:h="16840"/>
          <w:pgMar w:header="963" w:footer="893" w:top="1200" w:bottom="1080" w:left="1560" w:right="1480"/>
        </w:sectPr>
      </w:pPr>
    </w:p>
    <w:p>
      <w:pPr>
        <w:spacing w:line="240" w:lineRule="auto" w:before="5"/>
        <w:rPr>
          <w:rFonts w:ascii="宋体" w:hAnsi="宋体" w:cs="宋体" w:eastAsia="宋体" w:hint="default"/>
          <w:sz w:val="23"/>
          <w:szCs w:val="23"/>
        </w:rPr>
      </w:pPr>
    </w:p>
    <w:p>
      <w:pPr>
        <w:pStyle w:val="BodyText"/>
        <w:spacing w:line="240" w:lineRule="auto" w:before="35"/>
        <w:ind w:left="141" w:right="0"/>
        <w:jc w:val="both"/>
      </w:pPr>
      <w:r>
        <w:rPr/>
        <w:t>人民币</w:t>
      </w:r>
      <w:r>
        <w:rPr>
          <w:spacing w:val="-54"/>
        </w:rPr>
        <w:t> </w:t>
      </w:r>
      <w:r>
        <w:rPr>
          <w:rFonts w:ascii="Times New Roman" w:hAnsi="Times New Roman" w:cs="Times New Roman" w:eastAsia="Times New Roman" w:hint="default"/>
        </w:rPr>
        <w:t>46,834,131.00</w:t>
      </w:r>
      <w:r>
        <w:rPr>
          <w:rFonts w:ascii="Times New Roman" w:hAnsi="Times New Roman" w:cs="Times New Roman" w:eastAsia="Times New Roman" w:hint="default"/>
          <w:spacing w:val="-1"/>
        </w:rPr>
        <w:t> </w:t>
      </w:r>
      <w:r>
        <w:rPr/>
        <w:t>元，以截止</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日的可流通股本</w:t>
      </w:r>
      <w:r>
        <w:rPr>
          <w:spacing w:val="-54"/>
        </w:rPr>
        <w:t> </w:t>
      </w:r>
      <w:r>
        <w:rPr>
          <w:rFonts w:ascii="Times New Roman" w:hAnsi="Times New Roman" w:cs="Times New Roman" w:eastAsia="Times New Roman" w:hint="default"/>
        </w:rPr>
        <w:t>84,658,866</w:t>
      </w:r>
      <w:r>
        <w:rPr>
          <w:rFonts w:ascii="Times New Roman" w:hAnsi="Times New Roman" w:cs="Times New Roman" w:eastAsia="Times New Roman" w:hint="default"/>
          <w:spacing w:val="50"/>
        </w:rPr>
        <w:t> </w:t>
      </w:r>
      <w:r>
        <w:rPr/>
        <w:t>股为基数，用资</w:t>
      </w:r>
    </w:p>
    <w:p>
      <w:pPr>
        <w:pStyle w:val="BodyText"/>
        <w:spacing w:line="240" w:lineRule="auto" w:before="169"/>
        <w:ind w:left="141" w:right="0"/>
        <w:jc w:val="both"/>
      </w:pPr>
      <w:r>
        <w:rPr/>
        <w:t>本公积金向截止</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日在册的全体流通股股东转增股本，流通股股东获得每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t>股</w:t>
      </w:r>
    </w:p>
    <w:p>
      <w:pPr>
        <w:pStyle w:val="BodyText"/>
        <w:spacing w:line="240" w:lineRule="auto" w:before="169"/>
        <w:ind w:left="140" w:right="0"/>
        <w:jc w:val="both"/>
      </w:pPr>
      <w:r>
        <w:rPr/>
        <w:t>转增</w:t>
      </w:r>
      <w:r>
        <w:rPr>
          <w:spacing w:val="-55"/>
        </w:rPr>
        <w:t> </w:t>
      </w:r>
      <w:r>
        <w:rPr>
          <w:rFonts w:ascii="Times New Roman" w:hAnsi="Times New Roman" w:cs="Times New Roman" w:eastAsia="Times New Roman" w:hint="default"/>
        </w:rPr>
        <w:t>5.5321</w:t>
      </w:r>
      <w:r>
        <w:rPr>
          <w:rFonts w:ascii="Times New Roman" w:hAnsi="Times New Roman" w:cs="Times New Roman" w:eastAsia="Times New Roman" w:hint="default"/>
          <w:spacing w:val="48"/>
        </w:rPr>
        <w:t> </w:t>
      </w:r>
      <w:r>
        <w:rPr/>
        <w:t>股的股份，即</w:t>
      </w:r>
      <w:r>
        <w:rPr>
          <w:spacing w:val="-55"/>
        </w:rPr>
        <w:t> </w:t>
      </w:r>
      <w:r>
        <w:rPr>
          <w:rFonts w:ascii="Times New Roman" w:hAnsi="Times New Roman" w:cs="Times New Roman" w:eastAsia="Times New Roman" w:hint="default"/>
        </w:rPr>
        <w:t>46,834,131</w:t>
      </w:r>
      <w:r>
        <w:rPr>
          <w:rFonts w:ascii="Times New Roman" w:hAnsi="Times New Roman" w:cs="Times New Roman" w:eastAsia="Times New Roman" w:hint="default"/>
          <w:spacing w:val="-1"/>
        </w:rPr>
        <w:t> </w:t>
      </w:r>
      <w:r>
        <w:rPr/>
        <w:t>股，面值每股人民币</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元；上述对价水平若换算为非流</w:t>
      </w:r>
    </w:p>
    <w:p>
      <w:pPr>
        <w:pStyle w:val="BodyText"/>
        <w:spacing w:line="240" w:lineRule="auto" w:before="170"/>
        <w:ind w:left="140" w:right="0"/>
        <w:jc w:val="both"/>
        <w:rPr>
          <w:rFonts w:ascii="Times New Roman" w:hAnsi="Times New Roman" w:cs="Times New Roman" w:eastAsia="Times New Roman" w:hint="default"/>
        </w:rPr>
      </w:pPr>
      <w:r>
        <w:rPr>
          <w:spacing w:val="-3"/>
        </w:rPr>
        <w:t>通股股东送股方案，相当于流通股股东每 </w:t>
      </w:r>
      <w:r>
        <w:rPr>
          <w:rFonts w:ascii="Times New Roman" w:hAnsi="Times New Roman" w:cs="Times New Roman" w:eastAsia="Times New Roman" w:hint="default"/>
        </w:rPr>
        <w:t>10 </w:t>
      </w:r>
      <w:r>
        <w:rPr/>
        <w:t>股获送 </w:t>
      </w:r>
      <w:r>
        <w:rPr>
          <w:rFonts w:ascii="Times New Roman" w:hAnsi="Times New Roman" w:cs="Times New Roman" w:eastAsia="Times New Roman" w:hint="default"/>
        </w:rPr>
        <w:t>3.5 </w:t>
      </w:r>
      <w:r>
        <w:rPr>
          <w:spacing w:val="-5"/>
        </w:rPr>
        <w:t>股，公司总股本将增加至</w:t>
      </w:r>
      <w:r>
        <w:rPr>
          <w:spacing w:val="-56"/>
        </w:rPr>
        <w:t> </w:t>
      </w:r>
      <w:r>
        <w:rPr>
          <w:rFonts w:ascii="Times New Roman" w:hAnsi="Times New Roman" w:cs="Times New Roman" w:eastAsia="Times New Roman" w:hint="default"/>
        </w:rPr>
        <w:t>357,973,531</w:t>
      </w:r>
    </w:p>
    <w:p>
      <w:pPr>
        <w:pStyle w:val="BodyText"/>
        <w:spacing w:line="240" w:lineRule="auto" w:before="169"/>
        <w:ind w:left="140" w:right="0"/>
        <w:jc w:val="both"/>
      </w:pPr>
      <w:r>
        <w:rPr/>
        <w:t>股。转增完成后，公司的注册资本增加人民币 </w:t>
      </w:r>
      <w:r>
        <w:rPr>
          <w:rFonts w:ascii="Times New Roman" w:hAnsi="Times New Roman" w:cs="Times New Roman" w:eastAsia="Times New Roman" w:hint="default"/>
        </w:rPr>
        <w:t>46,834,131.00</w:t>
      </w:r>
      <w:r>
        <w:rPr>
          <w:rFonts w:ascii="Times New Roman" w:hAnsi="Times New Roman" w:cs="Times New Roman" w:eastAsia="Times New Roman" w:hint="default"/>
          <w:spacing w:val="-7"/>
        </w:rPr>
        <w:t> </w:t>
      </w:r>
      <w:r>
        <w:rPr/>
        <w:t>元，变更后的注册资本为人民币</w:t>
      </w:r>
    </w:p>
    <w:p>
      <w:pPr>
        <w:pStyle w:val="BodyText"/>
        <w:spacing w:line="240" w:lineRule="auto" w:before="169"/>
        <w:ind w:left="140" w:right="0"/>
        <w:jc w:val="both"/>
      </w:pPr>
      <w:r>
        <w:rPr>
          <w:rFonts w:ascii="Times New Roman" w:hAnsi="Times New Roman" w:cs="Times New Roman" w:eastAsia="Times New Roman" w:hint="default"/>
        </w:rPr>
        <w:t>357,973,531.00</w:t>
      </w:r>
      <w:r>
        <w:rPr>
          <w:rFonts w:ascii="Times New Roman" w:hAnsi="Times New Roman" w:cs="Times New Roman" w:eastAsia="Times New Roman" w:hint="default"/>
          <w:spacing w:val="-5"/>
        </w:rPr>
        <w:t> </w:t>
      </w:r>
      <w:r>
        <w:rPr/>
        <w:t>元。</w:t>
      </w:r>
    </w:p>
    <w:p>
      <w:pPr>
        <w:pStyle w:val="BodyText"/>
        <w:spacing w:line="620" w:lineRule="atLeast" w:before="20"/>
        <w:ind w:left="560" w:right="211"/>
        <w:jc w:val="left"/>
      </w:pPr>
      <w:r>
        <w:rPr>
          <w:rFonts w:ascii="Times New Roman" w:hAnsi="Times New Roman" w:cs="Times New Roman" w:eastAsia="Times New Roman" w:hint="default"/>
        </w:rPr>
        <w:t>3</w:t>
      </w:r>
      <w:r>
        <w:rPr/>
        <w:t>、公司重整事项中股东权益调整事项： </w:t>
      </w:r>
      <w:r>
        <w:rPr>
          <w:spacing w:val="-3"/>
        </w:rPr>
        <w:t>根据深圳市中级人民法院批准的重整计划，公司全体限售流通股股东，即中国希格玛有限</w:t>
      </w:r>
    </w:p>
    <w:p>
      <w:pPr>
        <w:spacing w:line="240" w:lineRule="auto" w:before="2"/>
        <w:rPr>
          <w:rFonts w:ascii="宋体" w:hAnsi="宋体" w:cs="宋体" w:eastAsia="宋体" w:hint="default"/>
          <w:sz w:val="14"/>
          <w:szCs w:val="14"/>
        </w:rPr>
      </w:pPr>
    </w:p>
    <w:p>
      <w:pPr>
        <w:pStyle w:val="BodyText"/>
        <w:spacing w:line="386" w:lineRule="auto"/>
        <w:ind w:left="140" w:right="216"/>
        <w:jc w:val="both"/>
      </w:pPr>
      <w:r>
        <w:rPr>
          <w:spacing w:val="-3"/>
        </w:rPr>
        <w:t>公司、深圳市宝安区投资管理公司、重庆润江基础设施投资有限公司、深圳国际信托投资有限</w:t>
      </w:r>
      <w:r>
        <w:rPr>
          <w:spacing w:val="-87"/>
        </w:rPr>
        <w:t> </w:t>
      </w:r>
      <w:r>
        <w:rPr>
          <w:spacing w:val="-87"/>
        </w:rPr>
      </w:r>
      <w:r>
        <w:rPr/>
        <w:t>责任公司各无偿让渡所持有的限售流通股的 </w:t>
      </w:r>
      <w:r>
        <w:rPr>
          <w:rFonts w:ascii="Times New Roman" w:hAnsi="Times New Roman" w:cs="Times New Roman" w:eastAsia="Times New Roman" w:hint="default"/>
        </w:rPr>
        <w:t>15%</w:t>
      </w:r>
      <w:r>
        <w:rPr/>
        <w:t>，合计让渡限售流通股 </w:t>
      </w:r>
      <w:r>
        <w:rPr>
          <w:rFonts w:ascii="Times New Roman" w:hAnsi="Times New Roman" w:cs="Times New Roman" w:eastAsia="Times New Roman" w:hint="default"/>
        </w:rPr>
        <w:t>25,415,516</w:t>
      </w:r>
      <w:r>
        <w:rPr>
          <w:rFonts w:ascii="Times New Roman" w:hAnsi="Times New Roman" w:cs="Times New Roman" w:eastAsia="Times New Roman" w:hint="default"/>
          <w:spacing w:val="-25"/>
        </w:rPr>
        <w:t> </w:t>
      </w:r>
      <w:r>
        <w:rPr/>
        <w:t>股；全体 流通股股东各无偿让渡所持有的流通股的 </w:t>
      </w:r>
      <w:r>
        <w:rPr>
          <w:rFonts w:ascii="Times New Roman" w:hAnsi="Times New Roman" w:cs="Times New Roman" w:eastAsia="Times New Roman" w:hint="default"/>
        </w:rPr>
        <w:t>10%</w:t>
      </w:r>
      <w:r>
        <w:rPr/>
        <w:t>，合计让渡流通股 </w:t>
      </w:r>
      <w:r>
        <w:rPr>
          <w:rFonts w:ascii="Times New Roman" w:hAnsi="Times New Roman" w:cs="Times New Roman" w:eastAsia="Times New Roman" w:hint="default"/>
        </w:rPr>
        <w:t>18,849,303</w:t>
      </w:r>
      <w:r>
        <w:rPr>
          <w:rFonts w:ascii="Times New Roman" w:hAnsi="Times New Roman" w:cs="Times New Roman" w:eastAsia="Times New Roman" w:hint="default"/>
          <w:spacing w:val="-25"/>
        </w:rPr>
        <w:t> </w:t>
      </w:r>
      <w:r>
        <w:rPr/>
        <w:t>股。以上合计让 渡公司股票 </w:t>
      </w:r>
      <w:r>
        <w:rPr>
          <w:rFonts w:ascii="Times New Roman" w:hAnsi="Times New Roman" w:cs="Times New Roman" w:eastAsia="Times New Roman" w:hint="default"/>
        </w:rPr>
        <w:t>44,264,819 </w:t>
      </w:r>
      <w:r>
        <w:rPr/>
        <w:t>股，占公司总股本的</w:t>
      </w:r>
      <w:r>
        <w:rPr>
          <w:spacing w:val="-81"/>
        </w:rPr>
        <w:t> </w:t>
      </w:r>
      <w:r>
        <w:rPr>
          <w:rFonts w:ascii="Times New Roman" w:hAnsi="Times New Roman" w:cs="Times New Roman" w:eastAsia="Times New Roman" w:hint="default"/>
        </w:rPr>
        <w:t>12.37%</w:t>
      </w:r>
      <w:r>
        <w:rPr/>
        <w:t>。该等股票用于支付公司重整费用和共益 债务、清偿普通债权、保全主要子公司经营性资产。</w:t>
      </w:r>
    </w:p>
    <w:p>
      <w:pPr>
        <w:spacing w:line="240" w:lineRule="auto" w:before="1"/>
        <w:rPr>
          <w:rFonts w:ascii="宋体" w:hAnsi="宋体" w:cs="宋体" w:eastAsia="宋体" w:hint="default"/>
          <w:sz w:val="18"/>
          <w:szCs w:val="18"/>
        </w:rPr>
      </w:pPr>
    </w:p>
    <w:p>
      <w:pPr>
        <w:pStyle w:val="BodyText"/>
        <w:spacing w:line="240" w:lineRule="auto"/>
        <w:ind w:left="560" w:right="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日，中国证券登记结算有限责任公司深圳分公司将公司股东让渡的股份</w:t>
      </w:r>
    </w:p>
    <w:p>
      <w:pPr>
        <w:pStyle w:val="BodyText"/>
        <w:spacing w:line="391" w:lineRule="auto" w:before="169"/>
        <w:ind w:left="140" w:right="216"/>
        <w:jc w:val="both"/>
      </w:pPr>
      <w:r>
        <w:rPr>
          <w:rFonts w:ascii="Times New Roman" w:hAnsi="Times New Roman" w:cs="Times New Roman" w:eastAsia="Times New Roman" w:hint="default"/>
        </w:rPr>
        <w:t>44,262,285</w:t>
      </w:r>
      <w:r>
        <w:rPr>
          <w:rFonts w:ascii="Times New Roman" w:hAnsi="Times New Roman" w:cs="Times New Roman" w:eastAsia="Times New Roman" w:hint="default"/>
          <w:spacing w:val="-2"/>
        </w:rPr>
        <w:t> </w:t>
      </w:r>
      <w:r>
        <w:rPr/>
        <w:t>股过户至公司重整管理人名下，因有</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个账户共</w:t>
      </w:r>
      <w:r>
        <w:rPr>
          <w:spacing w:val="-56"/>
        </w:rPr>
        <w:t> </w:t>
      </w:r>
      <w:r>
        <w:rPr>
          <w:rFonts w:ascii="Times New Roman" w:hAnsi="Times New Roman" w:cs="Times New Roman" w:eastAsia="Times New Roman" w:hint="default"/>
        </w:rPr>
        <w:t>2,534</w:t>
      </w:r>
      <w:r>
        <w:rPr>
          <w:rFonts w:ascii="Times New Roman" w:hAnsi="Times New Roman" w:cs="Times New Roman" w:eastAsia="Times New Roman" w:hint="default"/>
          <w:spacing w:val="-2"/>
        </w:rPr>
        <w:t> </w:t>
      </w:r>
      <w:r>
        <w:rPr/>
        <w:t>股股东被冻结或账户受到限 </w:t>
      </w:r>
      <w:r>
        <w:rPr>
          <w:spacing w:val="-3"/>
        </w:rPr>
        <w:t>制等原因暂无法过户。本次权益变动发生前，公司重整管理人未持有公司股份。本次权益变动</w:t>
      </w:r>
      <w:r>
        <w:rPr>
          <w:spacing w:val="-87"/>
        </w:rPr>
        <w:t> </w:t>
      </w:r>
      <w:r>
        <w:rPr>
          <w:spacing w:val="-87"/>
        </w:rPr>
      </w:r>
      <w:r>
        <w:rPr/>
        <w:t>完成后，公司重整管理人持有公司股份</w:t>
      </w:r>
      <w:r>
        <w:rPr>
          <w:spacing w:val="-57"/>
        </w:rPr>
        <w:t> </w:t>
      </w:r>
      <w:r>
        <w:rPr>
          <w:rFonts w:ascii="Times New Roman" w:hAnsi="Times New Roman" w:cs="Times New Roman" w:eastAsia="Times New Roman" w:hint="default"/>
        </w:rPr>
        <w:t>44,262,285</w:t>
      </w:r>
      <w:r>
        <w:rPr>
          <w:rFonts w:ascii="Times New Roman" w:hAnsi="Times New Roman" w:cs="Times New Roman" w:eastAsia="Times New Roman" w:hint="default"/>
          <w:spacing w:val="-4"/>
        </w:rPr>
        <w:t> </w:t>
      </w:r>
      <w:r>
        <w:rPr/>
        <w:t>股，占总股本的</w:t>
      </w:r>
      <w:r>
        <w:rPr>
          <w:spacing w:val="-57"/>
        </w:rPr>
        <w:t> </w:t>
      </w:r>
      <w:r>
        <w:rPr>
          <w:rFonts w:ascii="Times New Roman" w:hAnsi="Times New Roman" w:cs="Times New Roman" w:eastAsia="Times New Roman" w:hint="default"/>
        </w:rPr>
        <w:t>12.36%</w:t>
      </w:r>
      <w:r>
        <w:rPr/>
        <w:t>。</w:t>
      </w:r>
    </w:p>
    <w:p>
      <w:pPr>
        <w:spacing w:line="240" w:lineRule="auto" w:before="6"/>
        <w:rPr>
          <w:rFonts w:ascii="宋体" w:hAnsi="宋体" w:cs="宋体" w:eastAsia="宋体" w:hint="default"/>
          <w:sz w:val="15"/>
          <w:szCs w:val="15"/>
        </w:rPr>
      </w:pPr>
    </w:p>
    <w:p>
      <w:pPr>
        <w:pStyle w:val="BodyText"/>
        <w:spacing w:line="240" w:lineRule="auto"/>
        <w:ind w:left="56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日，中国证券登记结算有限责任公司深圳分公司将公司重整管理人名下的</w:t>
      </w:r>
    </w:p>
    <w:p>
      <w:pPr>
        <w:pStyle w:val="BodyText"/>
        <w:spacing w:line="384" w:lineRule="auto" w:before="170"/>
        <w:ind w:left="140" w:right="99"/>
        <w:jc w:val="left"/>
      </w:pPr>
      <w:r>
        <w:rPr>
          <w:rFonts w:ascii="Times New Roman" w:hAnsi="Times New Roman" w:cs="Times New Roman" w:eastAsia="Times New Roman" w:hint="default"/>
        </w:rPr>
        <w:t>34,146,662</w:t>
      </w:r>
      <w:r>
        <w:rPr>
          <w:rFonts w:ascii="Times New Roman" w:hAnsi="Times New Roman" w:cs="Times New Roman" w:eastAsia="Times New Roman" w:hint="default"/>
          <w:spacing w:val="-12"/>
        </w:rPr>
        <w:t> </w:t>
      </w:r>
      <w:r>
        <w:rPr/>
        <w:t>股股票过户至各债权人名下，以清偿普通债权。剩余股份</w:t>
      </w:r>
      <w:r>
        <w:rPr>
          <w:spacing w:val="-65"/>
        </w:rPr>
        <w:t> </w:t>
      </w:r>
      <w:r>
        <w:rPr>
          <w:rFonts w:ascii="Times New Roman" w:hAnsi="Times New Roman" w:cs="Times New Roman" w:eastAsia="Times New Roman" w:hint="default"/>
        </w:rPr>
        <w:t>10,115,623</w:t>
      </w:r>
      <w:r>
        <w:rPr>
          <w:rFonts w:ascii="Times New Roman" w:hAnsi="Times New Roman" w:cs="Times New Roman" w:eastAsia="Times New Roman" w:hint="default"/>
          <w:spacing w:val="-12"/>
        </w:rPr>
        <w:t> </w:t>
      </w:r>
      <w:r>
        <w:rPr/>
        <w:t>股仍保留在公 </w:t>
      </w:r>
      <w:r>
        <w:rPr>
          <w:spacing w:val="-3"/>
        </w:rPr>
        <w:t>司重整管理人名下。该部分股票用于提存预计债权、债权人不受领分配股票、支付重整管理人</w:t>
      </w:r>
      <w:r>
        <w:rPr>
          <w:spacing w:val="-87"/>
        </w:rPr>
        <w:t> </w:t>
      </w:r>
      <w:r>
        <w:rPr>
          <w:spacing w:val="-87"/>
        </w:rPr>
      </w:r>
      <w:r>
        <w:rPr/>
        <w:t>报酬以及支付重整费用。本次权益变动发生前，公司重整管理人持有公司股份</w:t>
      </w:r>
      <w:r>
        <w:rPr>
          <w:spacing w:val="-56"/>
        </w:rPr>
        <w:t> </w:t>
      </w:r>
      <w:r>
        <w:rPr>
          <w:rFonts w:ascii="Times New Roman" w:hAnsi="Times New Roman" w:cs="Times New Roman" w:eastAsia="Times New Roman" w:hint="default"/>
        </w:rPr>
        <w:t>44,262,285</w:t>
      </w:r>
      <w:r>
        <w:rPr>
          <w:rFonts w:ascii="Times New Roman" w:hAnsi="Times New Roman" w:cs="Times New Roman" w:eastAsia="Times New Roman" w:hint="default"/>
          <w:spacing w:val="-2"/>
        </w:rPr>
        <w:t> </w:t>
      </w:r>
      <w:r>
        <w:rPr/>
        <w:t>股， 占总股本的</w:t>
      </w:r>
      <w:r>
        <w:rPr>
          <w:spacing w:val="-42"/>
        </w:rPr>
        <w:t> </w:t>
      </w:r>
      <w:r>
        <w:rPr>
          <w:rFonts w:ascii="Times New Roman" w:hAnsi="Times New Roman" w:cs="Times New Roman" w:eastAsia="Times New Roman" w:hint="default"/>
        </w:rPr>
        <w:t>12.36%</w:t>
      </w:r>
      <w:r>
        <w:rPr/>
        <w:t>。本次权益变动完成后，公司重整管理人持有公司股份</w:t>
      </w:r>
      <w:r>
        <w:rPr>
          <w:spacing w:val="-42"/>
        </w:rPr>
        <w:t> </w:t>
      </w:r>
      <w:r>
        <w:rPr>
          <w:rFonts w:ascii="Times New Roman" w:hAnsi="Times New Roman" w:cs="Times New Roman" w:eastAsia="Times New Roman" w:hint="default"/>
        </w:rPr>
        <w:t>10,115,623</w:t>
      </w:r>
      <w:r>
        <w:rPr>
          <w:rFonts w:ascii="Times New Roman" w:hAnsi="Times New Roman" w:cs="Times New Roman" w:eastAsia="Times New Roman" w:hint="default"/>
          <w:spacing w:val="11"/>
        </w:rPr>
        <w:t> </w:t>
      </w:r>
      <w:r>
        <w:rPr/>
        <w:t>股，占 总股本的</w:t>
      </w:r>
      <w:r>
        <w:rPr>
          <w:spacing w:val="-54"/>
        </w:rPr>
        <w:t> </w:t>
      </w:r>
      <w:r>
        <w:rPr>
          <w:rFonts w:ascii="Times New Roman" w:hAnsi="Times New Roman" w:cs="Times New Roman" w:eastAsia="Times New Roman" w:hint="default"/>
          <w:spacing w:val="-3"/>
        </w:rPr>
        <w:t>2.82%</w:t>
      </w:r>
      <w:r>
        <w:rPr>
          <w:spacing w:val="-3"/>
        </w:rPr>
        <w:t>。该部分股份中有</w:t>
      </w:r>
      <w:r>
        <w:rPr>
          <w:spacing w:val="-54"/>
        </w:rPr>
        <w:t> </w:t>
      </w:r>
      <w:r>
        <w:rPr>
          <w:rFonts w:ascii="Times New Roman" w:hAnsi="Times New Roman" w:cs="Times New Roman" w:eastAsia="Times New Roman" w:hint="default"/>
        </w:rPr>
        <w:t>2,547,870</w:t>
      </w:r>
      <w:r>
        <w:rPr>
          <w:rFonts w:ascii="Times New Roman" w:hAnsi="Times New Roman" w:cs="Times New Roman" w:eastAsia="Times New Roman" w:hint="default"/>
          <w:spacing w:val="-1"/>
        </w:rPr>
        <w:t> </w:t>
      </w:r>
      <w:r>
        <w:rPr>
          <w:spacing w:val="-3"/>
        </w:rPr>
        <w:t>股为有限售条件的流通股，其余</w:t>
      </w:r>
      <w:r>
        <w:rPr>
          <w:spacing w:val="-54"/>
        </w:rPr>
        <w:t> </w:t>
      </w:r>
      <w:r>
        <w:rPr>
          <w:rFonts w:ascii="Times New Roman" w:hAnsi="Times New Roman" w:cs="Times New Roman" w:eastAsia="Times New Roman" w:hint="default"/>
        </w:rPr>
        <w:t>7,567,753</w:t>
      </w:r>
      <w:r>
        <w:rPr>
          <w:rFonts w:ascii="Times New Roman" w:hAnsi="Times New Roman" w:cs="Times New Roman" w:eastAsia="Times New Roman" w:hint="default"/>
          <w:spacing w:val="-2"/>
        </w:rPr>
        <w:t> </w:t>
      </w:r>
      <w:r>
        <w:rPr/>
        <w:t>股为流 通股。</w:t>
      </w:r>
    </w:p>
    <w:p>
      <w:pPr>
        <w:spacing w:line="240" w:lineRule="auto" w:before="10"/>
        <w:rPr>
          <w:rFonts w:ascii="宋体" w:hAnsi="宋体" w:cs="宋体" w:eastAsia="宋体" w:hint="default"/>
          <w:sz w:val="13"/>
          <w:szCs w:val="13"/>
        </w:rPr>
      </w:pPr>
    </w:p>
    <w:p>
      <w:pPr>
        <w:pStyle w:val="BodyText"/>
        <w:spacing w:line="391" w:lineRule="auto"/>
        <w:ind w:left="140" w:right="107" w:firstLine="420"/>
        <w:jc w:val="left"/>
      </w:pPr>
      <w:r>
        <w:rPr/>
        <w:t>截止</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日，公司重整管理人持有公司流通股股份</w:t>
      </w:r>
      <w:r>
        <w:rPr>
          <w:spacing w:val="-54"/>
        </w:rPr>
        <w:t> </w:t>
      </w:r>
      <w:r>
        <w:rPr>
          <w:rFonts w:ascii="Times New Roman" w:hAnsi="Times New Roman" w:cs="Times New Roman" w:eastAsia="Times New Roman" w:hint="default"/>
        </w:rPr>
        <w:t>7,567,753</w:t>
      </w:r>
      <w:r>
        <w:rPr>
          <w:rFonts w:ascii="Times New Roman" w:hAnsi="Times New Roman" w:cs="Times New Roman" w:eastAsia="Times New Roman" w:hint="default"/>
          <w:spacing w:val="-2"/>
        </w:rPr>
        <w:t> </w:t>
      </w:r>
      <w:r>
        <w:rPr/>
        <w:t>股已全部变现， </w:t>
      </w:r>
      <w:r>
        <w:rPr>
          <w:spacing w:val="-3"/>
        </w:rPr>
        <w:t>用于提存预计债权、债权人不受领分配股票、支付重整管理人报酬以及支付重整费用等。另公</w:t>
      </w:r>
      <w:r>
        <w:rPr>
          <w:spacing w:val="-87"/>
        </w:rPr>
        <w:t> </w:t>
      </w:r>
      <w:r>
        <w:rPr>
          <w:spacing w:val="-87"/>
        </w:rPr>
      </w:r>
      <w:r>
        <w:rPr/>
        <w:t>司重整管理人仍持有公司股票数为</w:t>
      </w:r>
      <w:r>
        <w:rPr>
          <w:spacing w:val="-56"/>
        </w:rPr>
        <w:t> </w:t>
      </w:r>
      <w:r>
        <w:rPr>
          <w:rFonts w:ascii="Times New Roman" w:hAnsi="Times New Roman" w:cs="Times New Roman" w:eastAsia="Times New Roman" w:hint="default"/>
        </w:rPr>
        <w:t>2,547,870</w:t>
      </w:r>
      <w:r>
        <w:rPr>
          <w:rFonts w:ascii="Times New Roman" w:hAnsi="Times New Roman" w:cs="Times New Roman" w:eastAsia="Times New Roman" w:hint="default"/>
          <w:spacing w:val="-3"/>
        </w:rPr>
        <w:t> </w:t>
      </w:r>
      <w:r>
        <w:rPr/>
        <w:t>股，均为限售股。公司重整管理人持有的限售股</w:t>
      </w:r>
    </w:p>
    <w:p>
      <w:pPr>
        <w:pStyle w:val="BodyText"/>
        <w:spacing w:line="240" w:lineRule="auto" w:before="23"/>
        <w:ind w:left="140" w:right="0"/>
        <w:jc w:val="both"/>
      </w:pPr>
      <w:r>
        <w:rPr/>
        <w:t>份将于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14 </w:t>
      </w:r>
      <w:r>
        <w:rPr/>
        <w:t>日达到解除限售条件。</w:t>
      </w:r>
    </w:p>
    <w:p>
      <w:pPr>
        <w:spacing w:after="0" w:line="240" w:lineRule="auto"/>
        <w:jc w:val="both"/>
        <w:sectPr>
          <w:pgSz w:w="11910" w:h="16840"/>
          <w:pgMar w:header="963" w:footer="893" w:top="1200" w:bottom="1080" w:left="1560" w:right="1480"/>
        </w:sectPr>
      </w:pPr>
    </w:p>
    <w:p>
      <w:pPr>
        <w:spacing w:line="240" w:lineRule="auto" w:before="5"/>
        <w:rPr>
          <w:rFonts w:ascii="宋体" w:hAnsi="宋体" w:cs="宋体" w:eastAsia="宋体" w:hint="default"/>
          <w:sz w:val="23"/>
          <w:szCs w:val="23"/>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二</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rFonts w:ascii="黑体" w:hAnsi="黑体" w:cs="黑体" w:eastAsia="黑体" w:hint="default"/>
        </w:rPr>
        <w:t>公司的经营范围</w:t>
      </w:r>
    </w:p>
    <w:p>
      <w:pPr>
        <w:spacing w:line="240" w:lineRule="auto" w:before="1"/>
        <w:rPr>
          <w:rFonts w:ascii="黑体" w:hAnsi="黑体" w:cs="黑体" w:eastAsia="黑体" w:hint="default"/>
          <w:sz w:val="22"/>
          <w:szCs w:val="22"/>
        </w:rPr>
      </w:pPr>
    </w:p>
    <w:p>
      <w:pPr>
        <w:pStyle w:val="BodyText"/>
        <w:spacing w:line="400" w:lineRule="auto"/>
        <w:ind w:left="141" w:right="294" w:firstLine="420"/>
        <w:jc w:val="both"/>
      </w:pPr>
      <w:r>
        <w:rPr>
          <w:spacing w:val="-6"/>
        </w:rPr>
        <w:t>本公司及本公司之子公司主要的经营业务包括：（1）通讯服务运营、数据与语音服务、通</w:t>
      </w:r>
      <w:r>
        <w:rPr/>
        <w:t> </w:t>
      </w:r>
      <w:r>
        <w:rPr>
          <w:spacing w:val="-8"/>
        </w:rPr>
        <w:t>讯设备的研制、开发、生产与销售、软件开发；（2）经营国内商业、物资代销业；（3）进出口</w:t>
      </w:r>
      <w:r>
        <w:rPr>
          <w:spacing w:val="-81"/>
        </w:rPr>
        <w:t> </w:t>
      </w:r>
      <w:r>
        <w:rPr>
          <w:spacing w:val="-81"/>
        </w:rPr>
      </w:r>
      <w:r>
        <w:rPr>
          <w:spacing w:val="-10"/>
        </w:rPr>
        <w:t>贸易；（4）食用动物养殖及相应的肉类加工、饲料生产和销售；（5）果树种植；（6）房地产投</w:t>
      </w:r>
      <w:r>
        <w:rPr>
          <w:spacing w:val="-91"/>
        </w:rPr>
        <w:t> </w:t>
      </w:r>
      <w:r>
        <w:rPr>
          <w:spacing w:val="-91"/>
        </w:rPr>
      </w:r>
      <w:r>
        <w:rPr/>
        <w:t>资与开发。</w:t>
      </w:r>
    </w:p>
    <w:p>
      <w:pPr>
        <w:pStyle w:val="BodyText"/>
        <w:spacing w:line="240" w:lineRule="auto" w:before="164"/>
        <w:ind w:right="0"/>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三</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rFonts w:ascii="黑体" w:hAnsi="黑体" w:cs="黑体" w:eastAsia="黑体" w:hint="default"/>
        </w:rPr>
        <w:t>公司的基本组织架构</w:t>
      </w: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6"/>
        <w:rPr>
          <w:rFonts w:ascii="黑体" w:hAnsi="黑体" w:cs="黑体" w:eastAsia="黑体" w:hint="default"/>
          <w:sz w:val="22"/>
          <w:szCs w:val="22"/>
        </w:rPr>
      </w:pPr>
    </w:p>
    <w:p>
      <w:pPr>
        <w:pStyle w:val="BodyText"/>
        <w:spacing w:line="240" w:lineRule="auto"/>
        <w:ind w:right="0"/>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四</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rFonts w:ascii="黑体" w:hAnsi="黑体" w:cs="黑体" w:eastAsia="黑体" w:hint="default"/>
        </w:rPr>
        <w:t>公司的基本组织架构</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1"/>
          <w:szCs w:val="21"/>
        </w:rPr>
      </w:pPr>
    </w:p>
    <w:p>
      <w:pPr>
        <w:spacing w:line="5033" w:lineRule="exact"/>
        <w:ind w:left="140" w:right="0" w:firstLine="0"/>
        <w:rPr>
          <w:rFonts w:ascii="黑体" w:hAnsi="黑体" w:cs="黑体" w:eastAsia="黑体" w:hint="default"/>
          <w:sz w:val="20"/>
          <w:szCs w:val="20"/>
        </w:rPr>
      </w:pPr>
      <w:r>
        <w:rPr>
          <w:rFonts w:ascii="黑体" w:hAnsi="黑体" w:cs="黑体" w:eastAsia="黑体" w:hint="default"/>
          <w:position w:val="-100"/>
          <w:sz w:val="20"/>
          <w:szCs w:val="20"/>
        </w:rPr>
        <w:pict>
          <v:group style="width:434.85pt;height:251.7pt;mso-position-horizontal-relative:char;mso-position-vertical-relative:line" coordorigin="0,0" coordsize="8697,5034">
            <v:group style="position:absolute;left:170;top:8;width:8519;height:5019" coordorigin="170,8" coordsize="8519,5019">
              <v:shape style="position:absolute;left:170;top:8;width:8519;height:5019" coordorigin="170,8" coordsize="8519,5019" path="m170,5026l8689,5026,8689,8,170,8,170,5026xe" filled="true" fillcolor="#ffffff" stroked="false">
                <v:path arrowok="t"/>
                <v:fill type="solid"/>
              </v:shape>
            </v:group>
            <v:group style="position:absolute;left:170;top:8;width:8519;height:5019" coordorigin="170,8" coordsize="8519,5019">
              <v:shape style="position:absolute;left:170;top:8;width:8519;height:5019" coordorigin="170,8" coordsize="8519,5019" path="m8689,8l170,8,170,5026,8689,5026,8689,8xe" filled="false" stroked="true" strokeweight=".75pt" strokecolor="#000000">
                <v:path arrowok="t"/>
              </v:shape>
            </v:group>
            <v:group style="position:absolute;left:2162;top:106;width:1985;height:369" coordorigin="2162,106" coordsize="1985,369">
              <v:shape style="position:absolute;left:2162;top:106;width:1985;height:369" coordorigin="2162,106" coordsize="1985,369" path="m2162,474l4147,474,4147,106,2162,106,2162,474xe" filled="true" fillcolor="#ffffff" stroked="false">
                <v:path arrowok="t"/>
                <v:fill type="solid"/>
              </v:shape>
            </v:group>
            <v:group style="position:absolute;left:2162;top:106;width:1985;height:369" coordorigin="2162,106" coordsize="1985,369">
              <v:shape style="position:absolute;left:2162;top:106;width:1985;height:369" coordorigin="2162,106" coordsize="1985,369" path="m4147,106l2162,106,2162,474,4147,474,4147,106xe" filled="false" stroked="true" strokeweight=".75pt" strokecolor="#000000">
                <v:path arrowok="t"/>
              </v:shape>
            </v:group>
            <v:group style="position:absolute;left:2162;top:2685;width:1985;height:370" coordorigin="2162,2685" coordsize="1985,370">
              <v:shape style="position:absolute;left:2162;top:2685;width:1985;height:370" coordorigin="2162,2685" coordsize="1985,370" path="m2162,3054l4147,3054,4147,2685,2162,2685,2162,3054xe" filled="true" fillcolor="#ffffff" stroked="false">
                <v:path arrowok="t"/>
                <v:fill type="solid"/>
              </v:shape>
            </v:group>
            <v:group style="position:absolute;left:4147;top:228;width:1842;height:2" coordorigin="4147,228" coordsize="1842,2">
              <v:shape style="position:absolute;left:4147;top:228;width:1842;height:2" coordorigin="4147,228" coordsize="1842,0" path="m4147,228l5989,228e" filled="false" stroked="true" strokeweight=".75pt" strokecolor="#000000">
                <v:path arrowok="t"/>
              </v:shape>
              <v:shape style="position:absolute;left:5930;top:221;width:120;height:252" type="#_x0000_t75" stroked="false">
                <v:imagedata r:id="rId38" o:title=""/>
              </v:shape>
            </v:group>
            <v:group style="position:absolute;left:5281;top:473;width:1134;height:370" coordorigin="5281,473" coordsize="1134,370">
              <v:shape style="position:absolute;left:5281;top:473;width:1134;height:370" coordorigin="5281,473" coordsize="1134,370" path="m5281,843l6415,843,6415,473,5281,473,5281,843xe" filled="true" fillcolor="#ffffff" stroked="false">
                <v:path arrowok="t"/>
                <v:fill type="solid"/>
              </v:shape>
            </v:group>
            <v:group style="position:absolute;left:2162;top:1211;width:1985;height:369" coordorigin="2162,1211" coordsize="1985,369">
              <v:shape style="position:absolute;left:2162;top:1211;width:1985;height:369" coordorigin="2162,1211" coordsize="1985,369" path="m2162,1580l4147,1580,4147,1211,2162,1211,2162,1580xe" filled="true" fillcolor="#ffffff" stroked="false">
                <v:path arrowok="t"/>
                <v:fill type="solid"/>
              </v:shape>
            </v:group>
            <v:group style="position:absolute;left:2162;top:1210;width:1985;height:370" coordorigin="2162,1210" coordsize="1985,370">
              <v:shape style="position:absolute;left:2162;top:1210;width:1985;height:370" coordorigin="2162,1210" coordsize="1985,370" path="m4147,1210l2162,1210,2162,1579,4147,1579,4147,1210xe" filled="false" stroked="true" strokeweight=".75pt" strokecolor="#000000">
                <v:path arrowok="t"/>
              </v:shape>
            </v:group>
            <v:group style="position:absolute;left:3096;top:466;width:120;height:744" coordorigin="3096,466" coordsize="120,744">
              <v:shape style="position:absolute;left:3096;top:466;width:120;height:744" coordorigin="3096,466" coordsize="120,744" path="m3147,1091l3096,1091,3156,1210,3202,1117,3156,1117,3150,1116,3147,1110,3147,1091xe" filled="true" fillcolor="#000000" stroked="false">
                <v:path arrowok="t"/>
                <v:fill type="solid"/>
              </v:shape>
              <v:shape style="position:absolute;left:3096;top:466;width:120;height:744" coordorigin="3096,466" coordsize="120,744" path="m3163,1090l3147,1091,3147,1110,3150,1116,3156,1117,3160,1116,3163,1110,3163,1090xe" filled="true" fillcolor="#000000" stroked="false">
                <v:path arrowok="t"/>
                <v:fill type="solid"/>
              </v:shape>
              <v:shape style="position:absolute;left:3096;top:466;width:120;height:744" coordorigin="3096,466" coordsize="120,744" path="m3216,1090l3163,1090,3163,1110,3160,1116,3156,1117,3202,1117,3216,1090xe" filled="true" fillcolor="#000000" stroked="false">
                <v:path arrowok="t"/>
                <v:fill type="solid"/>
              </v:shape>
              <v:shape style="position:absolute;left:3096;top:466;width:120;height:744" coordorigin="3096,466" coordsize="120,744" path="m3154,466l3148,468,3147,473,3147,1091,3163,1090,3162,473,3159,468,3154,466xe" filled="true" fillcolor="#000000" stroked="false">
                <v:path arrowok="t"/>
                <v:fill type="solid"/>
              </v:shape>
            </v:group>
            <v:group style="position:absolute;left:4371;top:1326;width:120;height:498" coordorigin="4371,1326" coordsize="120,498">
              <v:shape style="position:absolute;left:4371;top:1326;width:120;height:498" coordorigin="4371,1326" coordsize="120,498" path="m4424,1704l4371,1704,4431,1824,4477,1732,4431,1732,4425,1730,4424,1725,4424,1704xe" filled="true" fillcolor="#000000" stroked="false">
                <v:path arrowok="t"/>
                <v:fill type="solid"/>
              </v:shape>
              <v:shape style="position:absolute;left:4371;top:1326;width:120;height:498" coordorigin="4371,1326" coordsize="120,498" path="m4430,1326l4425,1329,4423,1334,4424,1725,4425,1730,4431,1732,4436,1730,4438,1725,4437,1334,4436,1329,4430,1326xe" filled="true" fillcolor="#000000" stroked="false">
                <v:path arrowok="t"/>
                <v:fill type="solid"/>
              </v:shape>
              <v:shape style="position:absolute;left:4371;top:1326;width:120;height:498" coordorigin="4371,1326" coordsize="120,498" path="m4491,1704l4438,1704,4438,1725,4436,1730,4431,1732,4477,1732,4491,1704xe" filled="true" fillcolor="#000000" stroked="false">
                <v:path arrowok="t"/>
                <v:fill type="solid"/>
              </v:shape>
            </v:group>
            <v:group style="position:absolute;left:5505;top:1326;width:120;height:498" coordorigin="5505,1326" coordsize="120,498">
              <v:shape style="position:absolute;left:5505;top:1326;width:120;height:498" coordorigin="5505,1326" coordsize="120,498" path="m5558,1704l5505,1704,5565,1824,5611,1732,5565,1732,5559,1730,5558,1725,5558,1704xe" filled="true" fillcolor="#000000" stroked="false">
                <v:path arrowok="t"/>
                <v:fill type="solid"/>
              </v:shape>
              <v:shape style="position:absolute;left:5505;top:1326;width:120;height:498" coordorigin="5505,1326" coordsize="120,498" path="m5564,1326l5559,1329,5557,1334,5558,1725,5559,1730,5565,1732,5570,1730,5572,1725,5571,1334,5570,1329,5564,1326xe" filled="true" fillcolor="#000000" stroked="false">
                <v:path arrowok="t"/>
                <v:fill type="solid"/>
              </v:shape>
              <v:shape style="position:absolute;left:5505;top:1326;width:120;height:498" coordorigin="5505,1326" coordsize="120,498" path="m5625,1704l5572,1704,5572,1725,5570,1730,5565,1732,5611,1732,5625,1704xe" filled="true" fillcolor="#000000" stroked="false">
                <v:path arrowok="t"/>
                <v:fill type="solid"/>
              </v:shape>
            </v:group>
            <v:group style="position:absolute;left:4005;top:1824;width:971;height:688" coordorigin="4005,1824" coordsize="971,688">
              <v:shape style="position:absolute;left:4005;top:1824;width:971;height:688" coordorigin="4005,1824" coordsize="971,688" path="m4005,2512l4976,2512,4976,1824,4005,1824,4005,2512xe" filled="true" fillcolor="#ffffff" stroked="false">
                <v:path arrowok="t"/>
                <v:fill type="solid"/>
              </v:shape>
            </v:group>
            <v:group style="position:absolute;left:3096;top:1572;width:120;height:1113" coordorigin="3096,1572" coordsize="120,1113">
              <v:shape style="position:absolute;left:3096;top:1572;width:120;height:1113" coordorigin="3096,1572" coordsize="120,1113" path="m3147,2565l3096,2565,3156,2685,3202,2592,3156,2592,3150,2590,3147,2584,3147,2565xe" filled="true" fillcolor="#000000" stroked="false">
                <v:path arrowok="t"/>
                <v:fill type="solid"/>
              </v:shape>
              <v:shape style="position:absolute;left:3096;top:1572;width:120;height:1113" coordorigin="3096,1572" coordsize="120,1113" path="m3154,1572l3148,1575,3147,1580,3147,2584,3150,2590,3156,2592,3160,2590,3163,2584,3162,1580,3159,1575,3154,1572xe" filled="true" fillcolor="#000000" stroked="false">
                <v:path arrowok="t"/>
                <v:fill type="solid"/>
              </v:shape>
              <v:shape style="position:absolute;left:3096;top:1572;width:120;height:1113" coordorigin="3096,1572" coordsize="120,1113" path="m3216,2565l3163,2565,3163,2584,3160,2590,3156,2592,3202,2592,3216,2565xe" filled="true" fillcolor="#000000" stroked="false">
                <v:path arrowok="t"/>
                <v:fill type="solid"/>
              </v:shape>
            </v:group>
            <v:group style="position:absolute;left:5139;top:1824;width:971;height:688" coordorigin="5139,1824" coordsize="971,688">
              <v:shape style="position:absolute;left:5139;top:1824;width:971;height:688" coordorigin="5139,1824" coordsize="971,688" path="m5139,2512l6110,2512,6110,1824,5139,1824,5139,2512xe" filled="true" fillcolor="#ffffff" stroked="false">
                <v:path arrowok="t"/>
                <v:fill type="solid"/>
              </v:shape>
            </v:group>
            <v:group style="position:absolute;left:1170;top:1334;width:993;height:2" coordorigin="1170,1334" coordsize="993,2">
              <v:shape style="position:absolute;left:1170;top:1334;width:993;height:2" coordorigin="1170,1334" coordsize="993,2" path="m2162,1334l1170,1335e" filled="false" stroked="true" strokeweight=".75pt" strokecolor="#000000">
                <v:path arrowok="t"/>
              </v:shape>
            </v:group>
            <v:group style="position:absolute;left:4796;top:3414;width:120;height:500" coordorigin="4796,3414" coordsize="120,500">
              <v:shape style="position:absolute;left:4796;top:3414;width:120;height:500" coordorigin="4796,3414" coordsize="120,500" path="m4849,3793l4796,3793,4856,3913,4902,3821,4856,3821,4851,3819,4849,3814,4849,3793xe" filled="true" fillcolor="#000000" stroked="false">
                <v:path arrowok="t"/>
                <v:fill type="solid"/>
              </v:shape>
              <v:shape style="position:absolute;left:4796;top:3414;width:120;height:500" coordorigin="4796,3414" coordsize="120,500" path="m4855,3414l4850,3417,4848,3421,4849,3814,4851,3819,4856,3821,4861,3819,4863,3814,4863,3421,4861,3417,4855,3414xe" filled="true" fillcolor="#000000" stroked="false">
                <v:path arrowok="t"/>
                <v:fill type="solid"/>
              </v:shape>
              <v:shape style="position:absolute;left:4796;top:3414;width:120;height:500" coordorigin="4796,3414" coordsize="120,500" path="m4916,3793l4863,3793,4863,3814,4861,3819,4856,3821,4902,3821,4916,3793xe" filled="true" fillcolor="#000000" stroked="false">
                <v:path arrowok="t"/>
                <v:fill type="solid"/>
              </v:shape>
            </v:group>
            <v:group style="position:absolute;left:7489;top:3414;width:120;height:500" coordorigin="7489,3414" coordsize="120,500">
              <v:shape style="position:absolute;left:7489;top:3414;width:120;height:500" coordorigin="7489,3414" coordsize="120,500" path="m7542,3793l7489,3793,7549,3913,7595,3821,7549,3821,7544,3819,7542,3814,7542,3793xe" filled="true" fillcolor="#000000" stroked="false">
                <v:path arrowok="t"/>
                <v:fill type="solid"/>
              </v:shape>
              <v:shape style="position:absolute;left:7489;top:3414;width:120;height:500" coordorigin="7489,3414" coordsize="120,500" path="m7548,3414l7543,3417,7540,3421,7542,3814,7544,3819,7549,3821,7555,3819,7556,3814,7556,3421,7554,3417,7548,3414xe" filled="true" fillcolor="#000000" stroked="false">
                <v:path arrowok="t"/>
                <v:fill type="solid"/>
              </v:shape>
              <v:shape style="position:absolute;left:7489;top:3414;width:120;height:500" coordorigin="7489,3414" coordsize="120,500" path="m7609,3793l7556,3793,7556,3814,7555,3819,7549,3821,7595,3821,7609,3793xe" filled="true" fillcolor="#000000" stroked="false">
                <v:path arrowok="t"/>
                <v:fill type="solid"/>
              </v:shape>
            </v:group>
            <v:group style="position:absolute;left:1170;top:3421;width:6378;height:2" coordorigin="1170,3421" coordsize="6378,2">
              <v:shape style="position:absolute;left:1170;top:3421;width:6378;height:2" coordorigin="1170,3421" coordsize="6378,2" path="m1170,3421l7548,3423e" filled="false" stroked="true" strokeweight=".75pt" strokecolor="#000000">
                <v:path arrowok="t"/>
              </v:shape>
            </v:group>
            <v:group style="position:absolute;left:6273;top:1824;width:970;height:688" coordorigin="6273,1824" coordsize="970,688">
              <v:shape style="position:absolute;left:6273;top:1824;width:970;height:688" coordorigin="6273,1824" coordsize="970,688" path="m6273,2512l7243,2512,7243,1824,6273,1824,6273,2512xe" filled="true" fillcolor="#ffffff" stroked="false">
                <v:path arrowok="t"/>
                <v:fill type="solid"/>
              </v:shape>
              <v:shape style="position:absolute;left:1111;top:1326;width:120;height:376" type="#_x0000_t75" stroked="false">
                <v:imagedata r:id="rId39" o:title=""/>
              </v:shape>
            </v:group>
            <v:group style="position:absolute;left:4147;top:1334;width:3827;height:2" coordorigin="4147,1334" coordsize="3827,2">
              <v:shape style="position:absolute;left:4147;top:1334;width:3827;height:2" coordorigin="4147,1334" coordsize="3827,2" path="m4147,1334l7974,1335e" filled="false" stroked="true" strokeweight=".75pt" strokecolor="#000000">
                <v:path arrowok="t"/>
              </v:shape>
            </v:group>
            <v:group style="position:absolute;left:6639;top:1326;width:120;height:498" coordorigin="6639,1326" coordsize="120,498">
              <v:shape style="position:absolute;left:6639;top:1326;width:120;height:498" coordorigin="6639,1326" coordsize="120,498" path="m6692,1704l6639,1704,6699,1824,6745,1732,6699,1732,6693,1730,6692,1725,6692,1704xe" filled="true" fillcolor="#000000" stroked="false">
                <v:path arrowok="t"/>
                <v:fill type="solid"/>
              </v:shape>
              <v:shape style="position:absolute;left:6639;top:1326;width:120;height:498" coordorigin="6639,1326" coordsize="120,498" path="m6698,1326l6693,1329,6691,1334,6692,1725,6693,1730,6699,1732,6704,1730,6706,1725,6705,1334,6704,1329,6698,1326xe" filled="true" fillcolor="#000000" stroked="false">
                <v:path arrowok="t"/>
                <v:fill type="solid"/>
              </v:shape>
              <v:shape style="position:absolute;left:6639;top:1326;width:120;height:498" coordorigin="6639,1326" coordsize="120,498" path="m6759,1704l6706,1704,6706,1725,6704,1730,6699,1732,6745,1732,6759,1704xe" filled="true" fillcolor="#000000" stroked="false">
                <v:path arrowok="t"/>
                <v:fill type="solid"/>
              </v:shape>
            </v:group>
            <v:group style="position:absolute;left:1111;top:3414;width:120;height:500" coordorigin="1111,3414" coordsize="120,500">
              <v:shape style="position:absolute;left:1111;top:3414;width:120;height:500" coordorigin="1111,3414" coordsize="120,500" path="m1164,3793l1111,3793,1171,3913,1217,3821,1171,3821,1166,3819,1164,3814,1164,3793xe" filled="true" fillcolor="#000000" stroked="false">
                <v:path arrowok="t"/>
                <v:fill type="solid"/>
              </v:shape>
              <v:shape style="position:absolute;left:1111;top:3414;width:120;height:500" coordorigin="1111,3414" coordsize="120,500" path="m1170,3414l1165,3417,1162,3421,1164,3814,1166,3819,1171,3821,1177,3819,1178,3814,1178,3421,1176,3417,1170,3414xe" filled="true" fillcolor="#000000" stroked="false">
                <v:path arrowok="t"/>
                <v:fill type="solid"/>
              </v:shape>
              <v:shape style="position:absolute;left:1111;top:3414;width:120;height:500" coordorigin="1111,3414" coordsize="120,500" path="m1231,3793l1178,3793,1178,3814,1177,3819,1171,3821,1217,3821,1231,3793xe" filled="true" fillcolor="#000000" stroked="false">
                <v:path arrowok="t"/>
                <v:fill type="solid"/>
              </v:shape>
            </v:group>
            <v:group style="position:absolute;left:4288;top:3914;width:1134;height:627" coordorigin="4288,3914" coordsize="1134,627">
              <v:shape style="position:absolute;left:4288;top:3914;width:1134;height:627" coordorigin="4288,3914" coordsize="1134,627" path="m4288,4540l5422,4540,5422,3914,4288,3914,4288,4540xe" filled="true" fillcolor="#ffffff" stroked="false">
                <v:path arrowok="t"/>
                <v:fill type="solid"/>
              </v:shape>
            </v:group>
            <v:group style="position:absolute;left:3094;top:3046;width:120;height:1359" coordorigin="3094,3046" coordsize="120,1359">
              <v:shape style="position:absolute;left:3094;top:3046;width:120;height:1359" coordorigin="3094,3046" coordsize="120,1359" path="m3147,4284l3094,4284,3154,4404,3201,4312,3154,4312,3148,4309,3147,4305,3147,4284xe" filled="true" fillcolor="#000000" stroked="false">
                <v:path arrowok="t"/>
                <v:fill type="solid"/>
              </v:shape>
              <v:shape style="position:absolute;left:3094;top:3046;width:120;height:1359" coordorigin="3094,3046" coordsize="120,1359" path="m3156,3046l3150,3048,3147,3053,3147,4305,3148,4309,3154,4312,3159,4309,3162,4305,3163,3053,3160,3048,3156,3046xe" filled="true" fillcolor="#000000" stroked="false">
                <v:path arrowok="t"/>
                <v:fill type="solid"/>
              </v:shape>
              <v:shape style="position:absolute;left:3094;top:3046;width:120;height:1359" coordorigin="3094,3046" coordsize="120,1359" path="m3214,4284l3162,4284,3162,4305,3159,4309,3154,4312,3201,4312,3214,4284xe" filled="true" fillcolor="#000000" stroked="false">
                <v:path arrowok="t"/>
                <v:fill type="solid"/>
              </v:shape>
            </v:group>
            <v:group style="position:absolute;left:2446;top:4404;width:1692;height:369" coordorigin="2446,4404" coordsize="1692,369">
              <v:shape style="position:absolute;left:2446;top:4404;width:1692;height:369" coordorigin="2446,4404" coordsize="1692,369" path="m2446,4773l4138,4773,4138,4404,2446,4404,2446,4773xe" filled="true" fillcolor="#ffffff" stroked="false">
                <v:path arrowok="t"/>
                <v:fill type="solid"/>
              </v:shape>
            </v:group>
            <v:group style="position:absolute;left:7351;top:1865;width:1108;height:647" coordorigin="7351,1865" coordsize="1108,647">
              <v:shape style="position:absolute;left:7351;top:1865;width:1108;height:647" coordorigin="7351,1865" coordsize="1108,647" path="m7351,2512l8458,2512,8458,1865,7351,1865,7351,2512xe" filled="true" fillcolor="#ffffff" stroked="false">
                <v:path arrowok="t"/>
                <v:fill type="solid"/>
              </v:shape>
            </v:group>
            <v:group style="position:absolute;left:7914;top:1326;width:120;height:543" coordorigin="7914,1326" coordsize="120,543">
              <v:shape style="position:absolute;left:7914;top:1326;width:120;height:543" coordorigin="7914,1326" coordsize="120,543" path="m7966,1749l7914,1749,7974,1869,8020,1776,7974,1776,7969,1774,7966,1769,7966,1749xe" filled="true" fillcolor="#000000" stroked="false">
                <v:path arrowok="t"/>
                <v:fill type="solid"/>
              </v:shape>
              <v:shape style="position:absolute;left:7914;top:1326;width:120;height:543" coordorigin="7914,1326" coordsize="120,543" path="m7974,1326l7968,1329,7965,1334,7966,1769,7969,1774,7974,1776,7980,1774,7982,1768,7981,1334,7978,1329,7974,1326xe" filled="true" fillcolor="#000000" stroked="false">
                <v:path arrowok="t"/>
                <v:fill type="solid"/>
              </v:shape>
              <v:shape style="position:absolute;left:7914;top:1326;width:120;height:543" coordorigin="7914,1326" coordsize="120,543" path="m8034,1749l7982,1749,7982,1768,7980,1774,7974,1776,8020,1776,8034,1749xe" filled="true" fillcolor="#000000" stroked="false">
                <v:path arrowok="t"/>
                <v:fill type="solid"/>
              </v:shape>
            </v:group>
            <v:group style="position:absolute;left:548;top:1679;width:1134;height:677" coordorigin="548,1679" coordsize="1134,677">
              <v:shape style="position:absolute;left:548;top:1679;width:1134;height:677" coordorigin="548,1679" coordsize="1134,677" path="m548,2356l1682,2356,1682,1679,548,1679,548,2356xe" filled="true" fillcolor="#ffffff" stroked="false">
                <v:path arrowok="t"/>
                <v:fill type="solid"/>
              </v:shape>
            </v:group>
            <v:group style="position:absolute;left:603;top:3914;width:1140;height:627" coordorigin="603,3914" coordsize="1140,627">
              <v:shape style="position:absolute;left:603;top:3914;width:1140;height:627" coordorigin="603,3914" coordsize="1140,627" path="m603,4540l1743,4540,1743,3914,603,3914,603,4540xe" filled="true" fillcolor="#ffffff" stroked="false">
                <v:path arrowok="t"/>
                <v:fill type="solid"/>
              </v:shape>
            </v:group>
            <v:group style="position:absolute;left:5707;top:3914;width:1133;height:627" coordorigin="5707,3914" coordsize="1133,627">
              <v:shape style="position:absolute;left:5707;top:3914;width:1133;height:627" coordorigin="5707,3914" coordsize="1133,627" path="m5707,4540l6840,4540,6840,3914,5707,3914,5707,4540xe" filled="true" fillcolor="#ffffff" stroked="false">
                <v:path arrowok="t"/>
                <v:fill type="solid"/>
              </v:shape>
            </v:group>
            <v:group style="position:absolute;left:7123;top:3914;width:999;height:369" coordorigin="7123,3914" coordsize="999,369">
              <v:shape style="position:absolute;left:7123;top:3914;width:999;height:369" coordorigin="7123,3914" coordsize="999,369" path="m7123,4282l8121,4282,8121,3914,7123,3914,7123,4282xe" filled="true" fillcolor="#ffffff" stroked="false">
                <v:path arrowok="t"/>
                <v:fill type="solid"/>
              </v:shape>
            </v:group>
            <v:group style="position:absolute;left:6213;top:3414;width:120;height:500" coordorigin="6213,3414" coordsize="120,500">
              <v:shape style="position:absolute;left:6213;top:3414;width:120;height:500" coordorigin="6213,3414" coordsize="120,500" path="m6266,3793l6213,3793,6273,3913,6319,3821,6273,3821,6268,3819,6266,3814,6266,3793xe" filled="true" fillcolor="#000000" stroked="false">
                <v:path arrowok="t"/>
                <v:fill type="solid"/>
              </v:shape>
              <v:shape style="position:absolute;left:6213;top:3414;width:120;height:500" coordorigin="6213,3414" coordsize="120,500" path="m6273,3414l6268,3417,6266,3421,6266,3814,6268,3819,6273,3821,6278,3819,6280,3814,6280,3421,6278,3417,6273,3414xe" filled="true" fillcolor="#000000" stroked="false">
                <v:path arrowok="t"/>
                <v:fill type="solid"/>
              </v:shape>
              <v:shape style="position:absolute;left:6213;top:3414;width:120;height:500" coordorigin="6213,3414" coordsize="120,500" path="m6333,3793l6280,3793,6280,3814,6278,3819,6273,3821,6319,3821,6333,3793xe" filled="true" fillcolor="#000000" stroked="false">
                <v:path arrowok="t"/>
                <v:fill type="solid"/>
              </v:shape>
              <v:shape style="position:absolute;left:2162;top:106;width:1985;height:369" type="#_x0000_t202" filled="false" stroked="false">
                <v:textbox inset="0,0,0,0">
                  <w:txbxContent>
                    <w:p>
                      <w:pPr>
                        <w:spacing w:before="44"/>
                        <w:ind w:left="632" w:right="0" w:firstLine="0"/>
                        <w:jc w:val="left"/>
                        <w:rPr>
                          <w:rFonts w:ascii="宋体" w:hAnsi="宋体" w:cs="宋体" w:eastAsia="宋体" w:hint="default"/>
                          <w:sz w:val="18"/>
                          <w:szCs w:val="18"/>
                        </w:rPr>
                      </w:pPr>
                      <w:r>
                        <w:rPr>
                          <w:rFonts w:ascii="宋体" w:hAnsi="宋体" w:cs="宋体" w:eastAsia="宋体" w:hint="default"/>
                          <w:sz w:val="18"/>
                          <w:szCs w:val="18"/>
                        </w:rPr>
                        <w:t>股东大会</w:t>
                      </w:r>
                    </w:p>
                  </w:txbxContent>
                </v:textbox>
                <w10:wrap type="none"/>
              </v:shape>
              <v:shape style="position:absolute;left:2162;top:1210;width:1985;height:370" type="#_x0000_t202" filled="false" stroked="false">
                <v:textbox inset="0,0,0,0">
                  <w:txbxContent>
                    <w:p>
                      <w:pPr>
                        <w:spacing w:before="45"/>
                        <w:ind w:left="0" w:right="0" w:firstLine="0"/>
                        <w:jc w:val="center"/>
                        <w:rPr>
                          <w:rFonts w:ascii="宋体" w:hAnsi="宋体" w:cs="宋体" w:eastAsia="宋体" w:hint="default"/>
                          <w:sz w:val="18"/>
                          <w:szCs w:val="18"/>
                        </w:rPr>
                      </w:pPr>
                      <w:r>
                        <w:rPr>
                          <w:rFonts w:ascii="宋体" w:hAnsi="宋体" w:cs="宋体" w:eastAsia="宋体" w:hint="default"/>
                          <w:sz w:val="18"/>
                          <w:szCs w:val="18"/>
                        </w:rPr>
                        <w:t>董事会</w:t>
                      </w:r>
                    </w:p>
                  </w:txbxContent>
                </v:textbox>
                <w10:wrap type="none"/>
              </v:shape>
              <v:shape style="position:absolute;left:0;top:4704;width:213;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企</w:t>
                      </w:r>
                      <w:r>
                        <w:rPr>
                          <w:rFonts w:ascii="宋体" w:hAnsi="宋体" w:cs="宋体" w:eastAsia="宋体" w:hint="default"/>
                          <w:sz w:val="21"/>
                          <w:szCs w:val="21"/>
                        </w:rPr>
                      </w:r>
                    </w:p>
                  </w:txbxContent>
                </v:textbox>
                <w10:wrap type="none"/>
              </v:shape>
              <v:shape style="position:absolute;left:5280;top:473;width:1134;height:370" type="#_x0000_t202" filled="false" stroked="true" strokeweight=".75pt" strokecolor="#000000">
                <v:textbox inset="0,0,0,0">
                  <w:txbxContent>
                    <w:p>
                      <w:pPr>
                        <w:spacing w:before="38"/>
                        <w:ind w:left="290" w:right="0" w:firstLine="0"/>
                        <w:jc w:val="left"/>
                        <w:rPr>
                          <w:rFonts w:ascii="宋体" w:hAnsi="宋体" w:cs="宋体" w:eastAsia="宋体" w:hint="default"/>
                          <w:sz w:val="18"/>
                          <w:szCs w:val="18"/>
                        </w:rPr>
                      </w:pPr>
                      <w:r>
                        <w:rPr>
                          <w:rFonts w:ascii="宋体" w:hAnsi="宋体" w:cs="宋体" w:eastAsia="宋体" w:hint="default"/>
                          <w:sz w:val="18"/>
                          <w:szCs w:val="18"/>
                        </w:rPr>
                        <w:t>监事会</w:t>
                      </w:r>
                    </w:p>
                  </w:txbxContent>
                </v:textbox>
                <w10:wrap type="none"/>
              </v:shape>
              <v:shape style="position:absolute;left:548;top:1679;width:1134;height:677" type="#_x0000_t202" filled="false" stroked="true" strokeweight=".75pt" strokecolor="#000000">
                <v:textbox inset="0,0,0,0">
                  <w:txbxContent>
                    <w:p>
                      <w:pPr>
                        <w:spacing w:line="242" w:lineRule="auto" w:before="39"/>
                        <w:ind w:left="113" w:right="52" w:firstLine="0"/>
                        <w:jc w:val="left"/>
                        <w:rPr>
                          <w:rFonts w:ascii="宋体" w:hAnsi="宋体" w:cs="宋体" w:eastAsia="宋体" w:hint="default"/>
                          <w:sz w:val="18"/>
                          <w:szCs w:val="18"/>
                        </w:rPr>
                      </w:pPr>
                      <w:r>
                        <w:rPr>
                          <w:rFonts w:ascii="宋体" w:hAnsi="宋体" w:cs="宋体" w:eastAsia="宋体" w:hint="default"/>
                          <w:spacing w:val="42"/>
                          <w:sz w:val="18"/>
                          <w:szCs w:val="18"/>
                        </w:rPr>
                        <w:t>董事会秘</w:t>
                      </w:r>
                      <w:r>
                        <w:rPr>
                          <w:rFonts w:ascii="宋体" w:hAnsi="宋体" w:cs="宋体" w:eastAsia="宋体" w:hint="default"/>
                          <w:spacing w:val="-88"/>
                          <w:sz w:val="18"/>
                          <w:szCs w:val="18"/>
                        </w:rPr>
                        <w:t> </w:t>
                      </w:r>
                      <w:r>
                        <w:rPr>
                          <w:rFonts w:ascii="宋体" w:hAnsi="宋体" w:cs="宋体" w:eastAsia="宋体" w:hint="default"/>
                          <w:sz w:val="18"/>
                          <w:szCs w:val="18"/>
                        </w:rPr>
                        <w:t>书处</w:t>
                      </w:r>
                    </w:p>
                  </w:txbxContent>
                </v:textbox>
                <w10:wrap type="none"/>
              </v:shape>
              <v:shape style="position:absolute;left:4005;top:1824;width:971;height:688" type="#_x0000_t202" filled="false" stroked="true" strokeweight=".75pt" strokecolor="#000000">
                <v:textbox inset="0,0,0,0">
                  <w:txbxContent>
                    <w:p>
                      <w:pPr>
                        <w:spacing w:line="244" w:lineRule="auto" w:before="39"/>
                        <w:ind w:left="113" w:right="105" w:firstLine="0"/>
                        <w:jc w:val="left"/>
                        <w:rPr>
                          <w:rFonts w:ascii="宋体" w:hAnsi="宋体" w:cs="宋体" w:eastAsia="宋体" w:hint="default"/>
                          <w:sz w:val="18"/>
                          <w:szCs w:val="18"/>
                        </w:rPr>
                      </w:pPr>
                      <w:r>
                        <w:rPr>
                          <w:rFonts w:ascii="宋体" w:hAnsi="宋体" w:cs="宋体" w:eastAsia="宋体" w:hint="default"/>
                          <w:spacing w:val="3"/>
                          <w:sz w:val="18"/>
                          <w:szCs w:val="18"/>
                        </w:rPr>
                        <w:t>审计委员 </w:t>
                      </w:r>
                      <w:r>
                        <w:rPr>
                          <w:rFonts w:ascii="宋体" w:hAnsi="宋体" w:cs="宋体" w:eastAsia="宋体" w:hint="default"/>
                          <w:sz w:val="18"/>
                          <w:szCs w:val="18"/>
                        </w:rPr>
                        <w:t>会</w:t>
                      </w:r>
                    </w:p>
                  </w:txbxContent>
                </v:textbox>
                <w10:wrap type="none"/>
              </v:shape>
              <v:shape style="position:absolute;left:5139;top:1824;width:971;height:688" type="#_x0000_t202" filled="false" stroked="true" strokeweight=".75pt" strokecolor="#000000">
                <v:textbox inset="0,0,0,0">
                  <w:txbxContent>
                    <w:p>
                      <w:pPr>
                        <w:spacing w:line="244" w:lineRule="auto" w:before="39"/>
                        <w:ind w:left="113" w:right="105" w:firstLine="0"/>
                        <w:jc w:val="left"/>
                        <w:rPr>
                          <w:rFonts w:ascii="宋体" w:hAnsi="宋体" w:cs="宋体" w:eastAsia="宋体" w:hint="default"/>
                          <w:sz w:val="18"/>
                          <w:szCs w:val="18"/>
                        </w:rPr>
                      </w:pPr>
                      <w:r>
                        <w:rPr>
                          <w:rFonts w:ascii="宋体" w:hAnsi="宋体" w:cs="宋体" w:eastAsia="宋体" w:hint="default"/>
                          <w:spacing w:val="3"/>
                          <w:sz w:val="18"/>
                          <w:szCs w:val="18"/>
                        </w:rPr>
                        <w:t>提名委员 </w:t>
                      </w:r>
                      <w:r>
                        <w:rPr>
                          <w:rFonts w:ascii="宋体" w:hAnsi="宋体" w:cs="宋体" w:eastAsia="宋体" w:hint="default"/>
                          <w:sz w:val="18"/>
                          <w:szCs w:val="18"/>
                        </w:rPr>
                        <w:t>会</w:t>
                      </w:r>
                    </w:p>
                  </w:txbxContent>
                </v:textbox>
                <w10:wrap type="none"/>
              </v:shape>
              <v:shape style="position:absolute;left:6273;top:1824;width:970;height:688" type="#_x0000_t202" filled="false" stroked="true" strokeweight=".75pt" strokecolor="#000000">
                <v:textbox inset="0,0,0,0">
                  <w:txbxContent>
                    <w:p>
                      <w:pPr>
                        <w:spacing w:line="244" w:lineRule="auto" w:before="39"/>
                        <w:ind w:left="113" w:right="108" w:firstLine="0"/>
                        <w:jc w:val="left"/>
                        <w:rPr>
                          <w:rFonts w:ascii="宋体" w:hAnsi="宋体" w:cs="宋体" w:eastAsia="宋体" w:hint="default"/>
                          <w:sz w:val="18"/>
                          <w:szCs w:val="18"/>
                        </w:rPr>
                      </w:pPr>
                      <w:r>
                        <w:rPr>
                          <w:rFonts w:ascii="宋体" w:hAnsi="宋体" w:cs="宋体" w:eastAsia="宋体" w:hint="default"/>
                          <w:sz w:val="18"/>
                          <w:szCs w:val="18"/>
                        </w:rPr>
                        <w:t>绩效与薪</w:t>
                      </w:r>
                      <w:r>
                        <w:rPr>
                          <w:rFonts w:ascii="宋体" w:hAnsi="宋体" w:cs="宋体" w:eastAsia="宋体" w:hint="default"/>
                          <w:spacing w:val="-83"/>
                          <w:sz w:val="18"/>
                          <w:szCs w:val="18"/>
                        </w:rPr>
                        <w:t> </w:t>
                      </w:r>
                      <w:r>
                        <w:rPr>
                          <w:rFonts w:ascii="宋体" w:hAnsi="宋体" w:cs="宋体" w:eastAsia="宋体" w:hint="default"/>
                          <w:sz w:val="18"/>
                          <w:szCs w:val="18"/>
                        </w:rPr>
                        <w:t>酬委员会</w:t>
                      </w:r>
                    </w:p>
                  </w:txbxContent>
                </v:textbox>
                <w10:wrap type="none"/>
              </v:shape>
              <v:shape style="position:absolute;left:7351;top:1864;width:1108;height:648" type="#_x0000_t202" filled="false" stroked="true" strokeweight=".75pt" strokecolor="#000000">
                <v:textbox inset="0,0,0,0">
                  <w:txbxContent>
                    <w:p>
                      <w:pPr>
                        <w:spacing w:line="244" w:lineRule="auto" w:before="39"/>
                        <w:ind w:left="113" w:right="60" w:firstLine="0"/>
                        <w:jc w:val="left"/>
                        <w:rPr>
                          <w:rFonts w:ascii="宋体" w:hAnsi="宋体" w:cs="宋体" w:eastAsia="宋体" w:hint="default"/>
                          <w:sz w:val="18"/>
                          <w:szCs w:val="18"/>
                        </w:rPr>
                      </w:pPr>
                      <w:r>
                        <w:rPr>
                          <w:rFonts w:ascii="宋体" w:hAnsi="宋体" w:cs="宋体" w:eastAsia="宋体" w:hint="default"/>
                          <w:spacing w:val="36"/>
                          <w:sz w:val="18"/>
                          <w:szCs w:val="18"/>
                        </w:rPr>
                        <w:t>战略与投</w:t>
                      </w:r>
                      <w:r>
                        <w:rPr>
                          <w:rFonts w:ascii="宋体" w:hAnsi="宋体" w:cs="宋体" w:eastAsia="宋体" w:hint="default"/>
                          <w:spacing w:val="-88"/>
                          <w:sz w:val="18"/>
                          <w:szCs w:val="18"/>
                        </w:rPr>
                        <w:t> </w:t>
                      </w:r>
                      <w:r>
                        <w:rPr>
                          <w:rFonts w:ascii="宋体" w:hAnsi="宋体" w:cs="宋体" w:eastAsia="宋体" w:hint="default"/>
                          <w:sz w:val="18"/>
                          <w:szCs w:val="18"/>
                        </w:rPr>
                        <w:t>资委员会</w:t>
                      </w:r>
                    </w:p>
                  </w:txbxContent>
                </v:textbox>
                <w10:wrap type="none"/>
              </v:shape>
              <v:shape style="position:absolute;left:2162;top:2685;width:1985;height:370" type="#_x0000_t202" filled="false" stroked="true" strokeweight=".75pt" strokecolor="#000000">
                <v:textbox inset="0,0,0,0">
                  <w:txbxContent>
                    <w:p>
                      <w:pPr>
                        <w:spacing w:before="36"/>
                        <w:ind w:left="624" w:right="0" w:firstLine="0"/>
                        <w:jc w:val="left"/>
                        <w:rPr>
                          <w:rFonts w:ascii="宋体" w:hAnsi="宋体" w:cs="宋体" w:eastAsia="宋体" w:hint="default"/>
                          <w:sz w:val="18"/>
                          <w:szCs w:val="18"/>
                        </w:rPr>
                      </w:pPr>
                      <w:r>
                        <w:rPr>
                          <w:rFonts w:ascii="宋体" w:hAnsi="宋体" w:cs="宋体" w:eastAsia="宋体" w:hint="default"/>
                          <w:sz w:val="18"/>
                          <w:szCs w:val="18"/>
                        </w:rPr>
                        <w:t>经营班子</w:t>
                      </w:r>
                    </w:p>
                  </w:txbxContent>
                </v:textbox>
                <w10:wrap type="none"/>
              </v:shape>
              <v:shape style="position:absolute;left:603;top:3914;width:1140;height:627" type="#_x0000_t202" filled="false" stroked="true" strokeweight=".75pt" strokecolor="#000000">
                <v:textbox inset="0,0,0,0">
                  <w:txbxContent>
                    <w:p>
                      <w:pPr>
                        <w:spacing w:line="242" w:lineRule="auto" w:before="38"/>
                        <w:ind w:left="113" w:right="49" w:firstLine="0"/>
                        <w:jc w:val="left"/>
                        <w:rPr>
                          <w:rFonts w:ascii="宋体" w:hAnsi="宋体" w:cs="宋体" w:eastAsia="宋体" w:hint="default"/>
                          <w:sz w:val="18"/>
                          <w:szCs w:val="18"/>
                        </w:rPr>
                      </w:pPr>
                      <w:r>
                        <w:rPr>
                          <w:rFonts w:ascii="宋体" w:hAnsi="宋体" w:cs="宋体" w:eastAsia="宋体" w:hint="default"/>
                          <w:spacing w:val="45"/>
                          <w:sz w:val="18"/>
                          <w:szCs w:val="18"/>
                        </w:rPr>
                        <w:t>行政人事</w:t>
                      </w:r>
                      <w:r>
                        <w:rPr>
                          <w:rFonts w:ascii="宋体" w:hAnsi="宋体" w:cs="宋体" w:eastAsia="宋体" w:hint="default"/>
                          <w:spacing w:val="-30"/>
                          <w:sz w:val="18"/>
                          <w:szCs w:val="18"/>
                        </w:rPr>
                        <w:t> </w:t>
                      </w:r>
                      <w:r>
                        <w:rPr>
                          <w:rFonts w:ascii="宋体" w:hAnsi="宋体" w:cs="宋体" w:eastAsia="宋体" w:hint="default"/>
                          <w:sz w:val="18"/>
                          <w:szCs w:val="18"/>
                        </w:rPr>
                        <w:t>部</w:t>
                      </w:r>
                    </w:p>
                  </w:txbxContent>
                </v:textbox>
                <w10:wrap type="none"/>
              </v:shape>
              <v:shape style="position:absolute;left:4288;top:3914;width:1134;height:627" type="#_x0000_t202" filled="false" stroked="true" strokeweight=".75pt" strokecolor="#000000">
                <v:textbox inset="0,0,0,0">
                  <w:txbxContent>
                    <w:p>
                      <w:pPr>
                        <w:spacing w:line="242" w:lineRule="auto" w:before="38"/>
                        <w:ind w:left="113" w:right="52" w:firstLine="0"/>
                        <w:jc w:val="left"/>
                        <w:rPr>
                          <w:rFonts w:ascii="宋体" w:hAnsi="宋体" w:cs="宋体" w:eastAsia="宋体" w:hint="default"/>
                          <w:sz w:val="18"/>
                          <w:szCs w:val="18"/>
                        </w:rPr>
                      </w:pPr>
                      <w:r>
                        <w:rPr>
                          <w:rFonts w:ascii="宋体" w:hAnsi="宋体" w:cs="宋体" w:eastAsia="宋体" w:hint="default"/>
                          <w:spacing w:val="42"/>
                          <w:sz w:val="18"/>
                          <w:szCs w:val="18"/>
                        </w:rPr>
                        <w:t>投资管理</w:t>
                      </w:r>
                      <w:r>
                        <w:rPr>
                          <w:rFonts w:ascii="宋体" w:hAnsi="宋体" w:cs="宋体" w:eastAsia="宋体" w:hint="default"/>
                          <w:spacing w:val="-88"/>
                          <w:sz w:val="18"/>
                          <w:szCs w:val="18"/>
                        </w:rPr>
                        <w:t> </w:t>
                      </w:r>
                      <w:r>
                        <w:rPr>
                          <w:rFonts w:ascii="宋体" w:hAnsi="宋体" w:cs="宋体" w:eastAsia="宋体" w:hint="default"/>
                          <w:sz w:val="18"/>
                          <w:szCs w:val="18"/>
                        </w:rPr>
                        <w:t>部</w:t>
                      </w:r>
                    </w:p>
                  </w:txbxContent>
                </v:textbox>
                <w10:wrap type="none"/>
              </v:shape>
              <v:shape style="position:absolute;left:5706;top:3914;width:1134;height:627" type="#_x0000_t202" filled="false" stroked="true" strokeweight=".75pt" strokecolor="#000000">
                <v:textbox inset="0,0,0,0">
                  <w:txbxContent>
                    <w:p>
                      <w:pPr>
                        <w:spacing w:line="242" w:lineRule="auto" w:before="38"/>
                        <w:ind w:left="113" w:right="52" w:firstLine="0"/>
                        <w:jc w:val="left"/>
                        <w:rPr>
                          <w:rFonts w:ascii="宋体" w:hAnsi="宋体" w:cs="宋体" w:eastAsia="宋体" w:hint="default"/>
                          <w:sz w:val="18"/>
                          <w:szCs w:val="18"/>
                        </w:rPr>
                      </w:pPr>
                      <w:r>
                        <w:rPr>
                          <w:rFonts w:ascii="宋体" w:hAnsi="宋体" w:cs="宋体" w:eastAsia="宋体" w:hint="default"/>
                          <w:spacing w:val="42"/>
                          <w:sz w:val="18"/>
                          <w:szCs w:val="18"/>
                        </w:rPr>
                        <w:t>资金财务</w:t>
                      </w:r>
                      <w:r>
                        <w:rPr>
                          <w:rFonts w:ascii="宋体" w:hAnsi="宋体" w:cs="宋体" w:eastAsia="宋体" w:hint="default"/>
                          <w:spacing w:val="-88"/>
                          <w:sz w:val="18"/>
                          <w:szCs w:val="18"/>
                        </w:rPr>
                        <w:t> </w:t>
                      </w:r>
                      <w:r>
                        <w:rPr>
                          <w:rFonts w:ascii="宋体" w:hAnsi="宋体" w:cs="宋体" w:eastAsia="宋体" w:hint="default"/>
                          <w:sz w:val="18"/>
                          <w:szCs w:val="18"/>
                        </w:rPr>
                        <w:t>部</w:t>
                      </w:r>
                    </w:p>
                  </w:txbxContent>
                </v:textbox>
                <w10:wrap type="none"/>
              </v:shape>
              <v:shape style="position:absolute;left:7123;top:3914;width:999;height:369" type="#_x0000_t202" filled="false" stroked="true" strokeweight=".75pt" strokecolor="#000000">
                <v:textbox inset="0,0,0,0">
                  <w:txbxContent>
                    <w:p>
                      <w:pPr>
                        <w:spacing w:before="38"/>
                        <w:ind w:left="113" w:right="0" w:firstLine="0"/>
                        <w:jc w:val="left"/>
                        <w:rPr>
                          <w:rFonts w:ascii="宋体" w:hAnsi="宋体" w:cs="宋体" w:eastAsia="宋体" w:hint="default"/>
                          <w:sz w:val="18"/>
                          <w:szCs w:val="18"/>
                        </w:rPr>
                      </w:pPr>
                      <w:r>
                        <w:rPr>
                          <w:rFonts w:ascii="宋体" w:hAnsi="宋体" w:cs="宋体" w:eastAsia="宋体" w:hint="default"/>
                          <w:sz w:val="18"/>
                          <w:szCs w:val="18"/>
                        </w:rPr>
                        <w:t>稽核部</w:t>
                      </w:r>
                    </w:p>
                  </w:txbxContent>
                </v:textbox>
                <w10:wrap type="none"/>
              </v:shape>
              <v:shape style="position:absolute;left:2446;top:4404;width:1692;height:369" type="#_x0000_t202" filled="false" stroked="true" strokeweight=".75pt" strokecolor="#000000">
                <v:textbox inset="0,0,0,0">
                  <w:txbxContent>
                    <w:p>
                      <w:pPr>
                        <w:spacing w:before="39"/>
                        <w:ind w:left="113" w:right="0" w:firstLine="0"/>
                        <w:jc w:val="left"/>
                        <w:rPr>
                          <w:rFonts w:ascii="宋体" w:hAnsi="宋体" w:cs="宋体" w:eastAsia="宋体" w:hint="default"/>
                          <w:sz w:val="18"/>
                          <w:szCs w:val="18"/>
                        </w:rPr>
                      </w:pPr>
                      <w:r>
                        <w:rPr>
                          <w:rFonts w:ascii="宋体" w:hAnsi="宋体" w:cs="宋体" w:eastAsia="宋体" w:hint="default"/>
                          <w:sz w:val="18"/>
                          <w:szCs w:val="18"/>
                        </w:rPr>
                        <w:t>下属控股参股公司</w:t>
                      </w:r>
                    </w:p>
                  </w:txbxContent>
                </v:textbox>
                <w10:wrap type="none"/>
              </v:shape>
            </v:group>
          </v:group>
        </w:pict>
      </w:r>
      <w:r>
        <w:rPr>
          <w:rFonts w:ascii="黑体" w:hAnsi="黑体" w:cs="黑体" w:eastAsia="黑体" w:hint="default"/>
          <w:position w:val="-100"/>
          <w:sz w:val="20"/>
          <w:szCs w:val="20"/>
        </w:rPr>
      </w:r>
    </w:p>
    <w:p>
      <w:pPr>
        <w:pStyle w:val="BodyText"/>
        <w:spacing w:line="240" w:lineRule="auto" w:before="66"/>
        <w:ind w:left="140" w:right="0"/>
        <w:jc w:val="left"/>
      </w:pPr>
      <w:r>
        <w:rPr/>
        <w:pict>
          <v:shape style="position:absolute;margin-left:93.540001pt;margin-top:-251.272522pt;width:425.95pt;height:250.95pt;mso-position-horizontal-relative:page;mso-position-vertical-relative:paragraph;z-index:-727720" type="#_x0000_t202" filled="false" stroked="false">
            <v:textbox inset="0,0,0,0">
              <w:txbxContent>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2"/>
                      <w:szCs w:val="32"/>
                    </w:rPr>
                  </w:pPr>
                </w:p>
                <w:p>
                  <w:pPr>
                    <w:pStyle w:val="BodyText"/>
                    <w:tabs>
                      <w:tab w:pos="1090" w:val="left" w:leader="none"/>
                    </w:tabs>
                    <w:spacing w:line="240" w:lineRule="auto"/>
                    <w:ind w:left="370" w:right="0"/>
                    <w:jc w:val="left"/>
                    <w:rPr>
                      <w:rFonts w:ascii="黑体" w:hAnsi="黑体" w:cs="黑体" w:eastAsia="黑体" w:hint="default"/>
                    </w:rPr>
                  </w:pPr>
                  <w:r>
                    <w:rPr>
                      <w:rFonts w:ascii="Times New Roman" w:hAnsi="Times New Roman" w:cs="Times New Roman" w:eastAsia="Times New Roman" w:hint="default"/>
                      <w:spacing w:val="-1"/>
                    </w:rPr>
                    <w:t>(</w:t>
                  </w:r>
                  <w:r>
                    <w:rPr>
                      <w:rFonts w:ascii="黑体" w:hAnsi="黑体" w:cs="黑体" w:eastAsia="黑体" w:hint="default"/>
                      <w:spacing w:val="-1"/>
                    </w:rPr>
                    <w:t>四</w:t>
                  </w:r>
                  <w:r>
                    <w:rPr>
                      <w:rFonts w:ascii="Times New Roman" w:hAnsi="Times New Roman" w:cs="Times New Roman" w:eastAsia="Times New Roman" w:hint="default"/>
                      <w:spacing w:val="-1"/>
                    </w:rPr>
                    <w:t>)</w:t>
                    <w:tab/>
                  </w:r>
                  <w:r>
                    <w:rPr>
                      <w:rFonts w:ascii="黑体" w:hAnsi="黑体" w:cs="黑体" w:eastAsia="黑体" w:hint="default"/>
                    </w:rPr>
                    <w:t>财务报告的批准报出者和财务报告批准报出日</w:t>
                  </w:r>
                </w:p>
                <w:p>
                  <w:pPr>
                    <w:spacing w:line="240" w:lineRule="auto" w:before="10"/>
                    <w:rPr>
                      <w:rFonts w:ascii="宋体" w:hAnsi="宋体" w:cs="宋体" w:eastAsia="宋体" w:hint="default"/>
                      <w:sz w:val="16"/>
                      <w:szCs w:val="16"/>
                    </w:rPr>
                  </w:pPr>
                </w:p>
                <w:p>
                  <w:pPr>
                    <w:pStyle w:val="BodyText"/>
                    <w:spacing w:line="240" w:lineRule="auto"/>
                    <w:ind w:left="250" w:right="0"/>
                    <w:jc w:val="left"/>
                  </w:pPr>
                  <w:r>
                    <w:rPr/>
                    <w:t>本公司财务报告由本公司董事会</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日批准报出。</w:t>
                  </w:r>
                </w:p>
                <w:p>
                  <w:pPr>
                    <w:spacing w:line="240" w:lineRule="auto" w:before="3"/>
                    <w:rPr>
                      <w:rFonts w:ascii="宋体" w:hAnsi="宋体" w:cs="宋体" w:eastAsia="宋体" w:hint="default"/>
                      <w:sz w:val="31"/>
                      <w:szCs w:val="31"/>
                    </w:rPr>
                  </w:pPr>
                </w:p>
                <w:p>
                  <w:pPr>
                    <w:pStyle w:val="BodyText"/>
                    <w:spacing w:line="240" w:lineRule="auto"/>
                    <w:ind w:left="249" w:right="0"/>
                    <w:jc w:val="left"/>
                    <w:rPr>
                      <w:rFonts w:ascii="黑体" w:hAnsi="黑体" w:cs="黑体" w:eastAsia="黑体" w:hint="default"/>
                    </w:rPr>
                  </w:pPr>
                  <w:r>
                    <w:rPr>
                      <w:rFonts w:ascii="黑体" w:hAnsi="黑体" w:cs="黑体" w:eastAsia="黑体" w:hint="default"/>
                    </w:rPr>
                    <w:t>附注二、公司主要会计政策、会计估计和前期差错</w:t>
                  </w:r>
                </w:p>
                <w:p>
                  <w:pPr>
                    <w:spacing w:line="240" w:lineRule="auto" w:before="4"/>
                    <w:rPr>
                      <w:rFonts w:ascii="宋体" w:hAnsi="宋体" w:cs="宋体" w:eastAsia="宋体" w:hint="default"/>
                      <w:sz w:val="23"/>
                      <w:szCs w:val="23"/>
                    </w:rPr>
                  </w:pPr>
                </w:p>
                <w:p>
                  <w:pPr>
                    <w:pStyle w:val="BodyText"/>
                    <w:spacing w:line="240" w:lineRule="auto"/>
                    <w:ind w:left="249" w:right="0"/>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75"/>
                    </w:rPr>
                    <w:t> </w:t>
                  </w:r>
                  <w:r>
                    <w:rPr>
                      <w:rFonts w:ascii="黑体" w:hAnsi="黑体" w:cs="黑体" w:eastAsia="黑体" w:hint="default"/>
                    </w:rPr>
                    <w:t>财务报表的编制基础</w:t>
                  </w:r>
                </w:p>
                <w:p>
                  <w:pPr>
                    <w:spacing w:line="240" w:lineRule="auto" w:before="1"/>
                    <w:rPr>
                      <w:rFonts w:ascii="宋体" w:hAnsi="宋体" w:cs="宋体" w:eastAsia="宋体" w:hint="default"/>
                      <w:sz w:val="18"/>
                      <w:szCs w:val="18"/>
                    </w:rPr>
                  </w:pPr>
                </w:p>
                <w:p>
                  <w:pPr>
                    <w:pStyle w:val="BodyText"/>
                    <w:spacing w:line="240" w:lineRule="auto"/>
                    <w:ind w:left="249" w:right="0"/>
                    <w:jc w:val="left"/>
                  </w:pPr>
                  <w:r>
                    <w:rPr/>
                    <w:t>本公司以持续经营为基础，根据实际发生的交易和事项，按照权责发生制编制财务报表。</w:t>
                  </w:r>
                </w:p>
                <w:p>
                  <w:pPr>
                    <w:spacing w:line="240" w:lineRule="auto" w:before="4"/>
                    <w:rPr>
                      <w:rFonts w:ascii="宋体" w:hAnsi="宋体" w:cs="宋体" w:eastAsia="宋体" w:hint="default"/>
                      <w:sz w:val="23"/>
                      <w:szCs w:val="23"/>
                    </w:rPr>
                  </w:pPr>
                </w:p>
                <w:p>
                  <w:pPr>
                    <w:pStyle w:val="BodyText"/>
                    <w:spacing w:line="240" w:lineRule="auto"/>
                    <w:ind w:left="249" w:right="0"/>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75"/>
                    </w:rPr>
                    <w:t> </w:t>
                  </w:r>
                  <w:r>
                    <w:rPr>
                      <w:rFonts w:ascii="黑体" w:hAnsi="黑体" w:cs="黑体" w:eastAsia="黑体" w:hint="default"/>
                    </w:rPr>
                    <w:t>遵循企业会计准则的声明</w:t>
                  </w:r>
                </w:p>
                <w:p>
                  <w:pPr>
                    <w:pStyle w:val="BodyText"/>
                    <w:spacing w:line="460" w:lineRule="atLeast" w:before="135"/>
                    <w:ind w:left="42" w:right="178" w:firstLine="207"/>
                    <w:jc w:val="left"/>
                  </w:pPr>
                  <w:r>
                    <w:rPr/>
                    <w:t>本公司编制的 </w:t>
                  </w:r>
                  <w:r>
                    <w:rPr>
                      <w:rFonts w:ascii="Times New Roman" w:hAnsi="Times New Roman" w:cs="Times New Roman" w:eastAsia="Times New Roman" w:hint="default"/>
                    </w:rPr>
                    <w:t>2010</w:t>
                  </w:r>
                  <w:r>
                    <w:rPr>
                      <w:rFonts w:ascii="Times New Roman" w:hAnsi="Times New Roman" w:cs="Times New Roman" w:eastAsia="Times New Roman" w:hint="default"/>
                      <w:spacing w:val="36"/>
                    </w:rPr>
                    <w:t> </w:t>
                  </w:r>
                  <w:r>
                    <w:rPr/>
                    <w:t>年度财务报表符合中华人民共和国财政部</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财政部</w:t>
                  </w:r>
                  <w:r>
                    <w:rPr>
                      <w:rFonts w:ascii="Times New Roman" w:hAnsi="Times New Roman" w:cs="Times New Roman" w:eastAsia="Times New Roman" w:hint="default"/>
                    </w:rPr>
                    <w:t>”)</w:t>
                  </w:r>
                  <w:r>
                    <w:rPr/>
                    <w:t>颁布的 业会计准则</w:t>
                  </w:r>
                  <w:r>
                    <w:rPr>
                      <w:rFonts w:ascii="Times New Roman" w:hAnsi="Times New Roman" w:cs="Times New Roman" w:eastAsia="Times New Roman" w:hint="default"/>
                    </w:rPr>
                    <w:t>(2006)  </w:t>
                  </w:r>
                  <w:r>
                    <w:rPr>
                      <w:rFonts w:ascii="Times New Roman" w:hAnsi="Times New Roman" w:cs="Times New Roman" w:eastAsia="Times New Roman" w:hint="default"/>
                      <w:spacing w:val="6"/>
                    </w:rPr>
                    <w:t> </w:t>
                  </w:r>
                  <w:r>
                    <w:rPr/>
                    <w:t>的要求，真实、完整地反映了本公司财务状况、经营成果和现金流量等</w:t>
                  </w:r>
                </w:p>
              </w:txbxContent>
            </v:textbox>
            <w10:wrap type="none"/>
          </v:shape>
        </w:pict>
      </w:r>
      <w:r>
        <w:rPr/>
        <w:t>有关信息。</w:t>
      </w:r>
    </w:p>
    <w:p>
      <w:pPr>
        <w:spacing w:after="0" w:line="240" w:lineRule="auto"/>
        <w:jc w:val="left"/>
        <w:sectPr>
          <w:pgSz w:w="11910" w:h="16840"/>
          <w:pgMar w:header="963" w:footer="893" w:top="1200" w:bottom="1080" w:left="1560" w:right="1400"/>
        </w:sectPr>
      </w:pPr>
    </w:p>
    <w:p>
      <w:pPr>
        <w:spacing w:line="240" w:lineRule="auto" w:before="4"/>
        <w:rPr>
          <w:rFonts w:ascii="宋体" w:hAnsi="宋体" w:cs="宋体" w:eastAsia="宋体" w:hint="default"/>
          <w:sz w:val="23"/>
          <w:szCs w:val="23"/>
        </w:rPr>
      </w:pPr>
    </w:p>
    <w:p>
      <w:pPr>
        <w:pStyle w:val="BodyText"/>
        <w:spacing w:line="379" w:lineRule="auto" w:before="35"/>
        <w:ind w:left="141" w:right="214" w:firstLine="420"/>
        <w:jc w:val="both"/>
      </w:pPr>
      <w:r>
        <w:rPr/>
        <w:t>本公司的</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年度财务</w:t>
      </w:r>
      <w:r>
        <w:rPr>
          <w:spacing w:val="-2"/>
        </w:rPr>
        <w:t>报</w:t>
      </w:r>
      <w:r>
        <w:rPr/>
        <w:t>表同时符</w:t>
      </w:r>
      <w:r>
        <w:rPr>
          <w:spacing w:val="-105"/>
        </w:rPr>
        <w:t>合</w:t>
      </w:r>
      <w:r>
        <w:rPr>
          <w:spacing w:val="-2"/>
        </w:rPr>
        <w:t>《</w:t>
      </w:r>
      <w:r>
        <w:rPr/>
        <w:t>公开发行证券的公司信息披露编报规则第</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 </w:t>
      </w:r>
      <w:r>
        <w:rPr/>
        <w:t>财务报告的一般规定</w:t>
      </w:r>
      <w:r>
        <w:rPr>
          <w:spacing w:val="-123"/>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t>年修</w:t>
      </w:r>
      <w:r>
        <w:rPr>
          <w:spacing w:val="-2"/>
        </w:rPr>
        <w:t>订</w:t>
      </w:r>
      <w:r>
        <w:rPr>
          <w:spacing w:val="-19"/>
        </w:rPr>
        <w:t>）和</w:t>
      </w:r>
      <w:r>
        <w:rPr/>
        <w:t>《公开</w:t>
      </w:r>
      <w:r>
        <w:rPr>
          <w:spacing w:val="1"/>
        </w:rPr>
        <w:t>发</w:t>
      </w:r>
      <w:r>
        <w:rPr/>
        <w:t>行证券的公司信息披露编报规则第</w:t>
      </w:r>
      <w:r>
        <w:rPr>
          <w:spacing w:val="-53"/>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净 资产收益率和每股收益的计算及披露</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spacing w:val="-2"/>
        </w:rPr>
        <w:t>年</w:t>
      </w:r>
      <w:r>
        <w:rPr/>
        <w:t>修订）有关财务报表及其附注的披露要求。</w:t>
      </w:r>
    </w:p>
    <w:p>
      <w:pPr>
        <w:pStyle w:val="BodyText"/>
        <w:spacing w:line="240" w:lineRule="auto" w:before="154"/>
        <w:ind w:right="0"/>
        <w:jc w:val="left"/>
        <w:rPr>
          <w:rFonts w:ascii="黑体" w:hAnsi="黑体" w:cs="黑体" w:eastAsia="黑体" w:hint="default"/>
        </w:rPr>
      </w:pPr>
      <w:r>
        <w:rPr>
          <w:rFonts w:ascii="黑体" w:hAnsi="黑体" w:cs="黑体" w:eastAsia="黑体" w:hint="default"/>
        </w:rPr>
        <w:t>（三）</w:t>
      </w:r>
      <w:r>
        <w:rPr>
          <w:rFonts w:ascii="黑体" w:hAnsi="黑体" w:cs="黑体" w:eastAsia="黑体" w:hint="default"/>
          <w:spacing w:val="-75"/>
        </w:rPr>
        <w:t> </w:t>
      </w:r>
      <w:r>
        <w:rPr>
          <w:rFonts w:ascii="黑体" w:hAnsi="黑体" w:cs="黑体" w:eastAsia="黑体" w:hint="default"/>
        </w:rPr>
        <w:t>会计期间</w:t>
      </w:r>
    </w:p>
    <w:p>
      <w:pPr>
        <w:spacing w:line="240" w:lineRule="auto" w:before="1"/>
        <w:rPr>
          <w:rFonts w:ascii="黑体" w:hAnsi="黑体" w:cs="黑体" w:eastAsia="黑体" w:hint="default"/>
          <w:sz w:val="18"/>
          <w:szCs w:val="18"/>
        </w:rPr>
      </w:pPr>
    </w:p>
    <w:p>
      <w:pPr>
        <w:pStyle w:val="BodyText"/>
        <w:spacing w:line="240" w:lineRule="auto"/>
        <w:ind w:right="0"/>
        <w:jc w:val="left"/>
      </w:pPr>
      <w:r>
        <w:rPr/>
        <w:t>会计年度为公历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1"/>
        <w:rPr>
          <w:rFonts w:ascii="宋体" w:hAnsi="宋体" w:cs="宋体" w:eastAsia="宋体" w:hint="default"/>
          <w:sz w:val="22"/>
          <w:szCs w:val="22"/>
        </w:rPr>
      </w:pPr>
    </w:p>
    <w:p>
      <w:pPr>
        <w:pStyle w:val="BodyText"/>
        <w:spacing w:line="240" w:lineRule="auto"/>
        <w:ind w:left="560"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75"/>
        </w:rPr>
        <w:t> </w:t>
      </w:r>
      <w:r>
        <w:rPr>
          <w:rFonts w:ascii="黑体" w:hAnsi="黑体" w:cs="黑体" w:eastAsia="黑体" w:hint="default"/>
        </w:rPr>
        <w:t>记账本位币</w:t>
      </w:r>
    </w:p>
    <w:p>
      <w:pPr>
        <w:spacing w:line="240" w:lineRule="auto" w:before="13"/>
        <w:rPr>
          <w:rFonts w:ascii="黑体" w:hAnsi="黑体" w:cs="黑体" w:eastAsia="黑体" w:hint="default"/>
          <w:sz w:val="17"/>
          <w:szCs w:val="17"/>
        </w:rPr>
      </w:pPr>
    </w:p>
    <w:p>
      <w:pPr>
        <w:pStyle w:val="BodyText"/>
        <w:spacing w:line="240" w:lineRule="auto"/>
        <w:ind w:left="560" w:right="0"/>
        <w:jc w:val="left"/>
      </w:pPr>
      <w:r>
        <w:rPr/>
        <w:t>以人民币为记账本位币。</w:t>
      </w:r>
    </w:p>
    <w:p>
      <w:pPr>
        <w:spacing w:line="240" w:lineRule="auto" w:before="4"/>
        <w:rPr>
          <w:rFonts w:ascii="宋体" w:hAnsi="宋体" w:cs="宋体" w:eastAsia="宋体" w:hint="default"/>
          <w:sz w:val="23"/>
          <w:szCs w:val="23"/>
        </w:rPr>
      </w:pPr>
    </w:p>
    <w:p>
      <w:pPr>
        <w:pStyle w:val="BodyText"/>
        <w:spacing w:line="240" w:lineRule="auto"/>
        <w:ind w:left="560"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75"/>
        </w:rPr>
        <w:t> </w:t>
      </w:r>
      <w:r>
        <w:rPr>
          <w:rFonts w:ascii="黑体" w:hAnsi="黑体" w:cs="黑体" w:eastAsia="黑体" w:hint="default"/>
        </w:rPr>
        <w:t>同一控制下和非同一控制下企业合并的会计处理方法</w:t>
      </w:r>
    </w:p>
    <w:p>
      <w:pPr>
        <w:spacing w:line="240" w:lineRule="auto" w:before="13"/>
        <w:rPr>
          <w:rFonts w:ascii="黑体" w:hAnsi="黑体" w:cs="黑体" w:eastAsia="黑体" w:hint="default"/>
          <w:sz w:val="17"/>
          <w:szCs w:val="17"/>
        </w:rPr>
      </w:pPr>
    </w:p>
    <w:p>
      <w:pPr>
        <w:pStyle w:val="BodyText"/>
        <w:spacing w:line="403" w:lineRule="auto"/>
        <w:ind w:left="140" w:right="217" w:firstLine="420"/>
        <w:jc w:val="both"/>
      </w:pPr>
      <w:r>
        <w:rPr>
          <w:spacing w:val="-3"/>
        </w:rPr>
        <w:t>企业合并，是指将两个或者两个以上单独的企业合并形成一个报告主体的交易或事项。企</w:t>
      </w:r>
      <w:r>
        <w:rPr/>
        <w:t> 业合并包括同一控制下的企业合并和非同一控制下的企业合并两种类型。</w:t>
      </w:r>
    </w:p>
    <w:p>
      <w:pPr>
        <w:pStyle w:val="BodyText"/>
        <w:spacing w:line="240" w:lineRule="auto" w:before="92"/>
        <w:ind w:left="560" w:right="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．同一控制下的企业合并</w:t>
      </w:r>
    </w:p>
    <w:p>
      <w:pPr>
        <w:spacing w:line="240" w:lineRule="auto" w:before="10"/>
        <w:rPr>
          <w:rFonts w:ascii="黑体" w:hAnsi="黑体" w:cs="黑体" w:eastAsia="黑体" w:hint="default"/>
          <w:sz w:val="16"/>
          <w:szCs w:val="16"/>
        </w:rPr>
      </w:pPr>
    </w:p>
    <w:p>
      <w:pPr>
        <w:pStyle w:val="BodyText"/>
        <w:spacing w:line="400" w:lineRule="auto"/>
        <w:ind w:left="140" w:right="216" w:firstLine="420"/>
        <w:jc w:val="both"/>
      </w:pPr>
      <w:r>
        <w:rPr>
          <w:spacing w:val="-3"/>
        </w:rPr>
        <w:t>参与合并的企业合并前后均受同一方或相同多方最终控制且该控制并非暂时性的，为同一</w:t>
      </w:r>
      <w:r>
        <w:rPr/>
        <w:t> </w:t>
      </w:r>
      <w:r>
        <w:rPr>
          <w:spacing w:val="-3"/>
        </w:rPr>
        <w:t>控制下的企业合并。合并方在企业合并中取得的资产和负债，按照合并日在被合并方的账面价</w:t>
      </w:r>
      <w:r>
        <w:rPr>
          <w:spacing w:val="-88"/>
        </w:rPr>
        <w:t> </w:t>
      </w:r>
      <w:r>
        <w:rPr>
          <w:spacing w:val="-88"/>
        </w:rPr>
      </w:r>
      <w:r>
        <w:rPr>
          <w:spacing w:val="-3"/>
        </w:rPr>
        <w:t>值计量。合并方取得的净资产账面价值与支付的合并对价账面价值（或发行股份面值总额）的</w:t>
      </w:r>
      <w:r>
        <w:rPr>
          <w:spacing w:val="-87"/>
        </w:rPr>
        <w:t> </w:t>
      </w:r>
      <w:r>
        <w:rPr>
          <w:spacing w:val="-87"/>
        </w:rPr>
      </w:r>
      <w:r>
        <w:rPr>
          <w:spacing w:val="-3"/>
        </w:rPr>
        <w:t>差额，调整资本公积中的股本溢价（或资本溢价）；资本公积中的股本溢价（或资本溢价）不</w:t>
      </w:r>
      <w:r>
        <w:rPr>
          <w:spacing w:val="-93"/>
        </w:rPr>
        <w:t> </w:t>
      </w:r>
      <w:r>
        <w:rPr>
          <w:spacing w:val="-93"/>
        </w:rPr>
      </w:r>
      <w:r>
        <w:rPr/>
        <w:t>足冲减的，调整留存收益。</w:t>
      </w:r>
    </w:p>
    <w:p>
      <w:pPr>
        <w:pStyle w:val="BodyText"/>
        <w:spacing w:line="400" w:lineRule="auto" w:before="94"/>
        <w:ind w:left="140" w:right="213" w:firstLine="420"/>
        <w:jc w:val="both"/>
      </w:pPr>
      <w:r>
        <w:rPr>
          <w:spacing w:val="2"/>
        </w:rPr>
        <w:t>合并方为进行企业合并发生的各项直接相关费用，包括为进行企业合并而支付的审计费 </w:t>
      </w:r>
      <w:r>
        <w:rPr>
          <w:spacing w:val="-3"/>
        </w:rPr>
        <w:t>用、评估费用、法律服务费用等，于发生时计入当期损益。为企业合并发行的债券或承担其他</w:t>
      </w:r>
      <w:r>
        <w:rPr>
          <w:spacing w:val="-90"/>
        </w:rPr>
        <w:t> </w:t>
      </w:r>
      <w:r>
        <w:rPr>
          <w:spacing w:val="-90"/>
        </w:rPr>
      </w:r>
      <w:r>
        <w:rPr>
          <w:spacing w:val="-3"/>
        </w:rPr>
        <w:t>债务支付的手续费、佣金等，计入所发行债券及其他债务的初始计量金额。企业合并中发行权</w:t>
      </w:r>
      <w:r>
        <w:rPr>
          <w:spacing w:val="-87"/>
        </w:rPr>
        <w:t> </w:t>
      </w:r>
      <w:r>
        <w:rPr>
          <w:spacing w:val="-87"/>
        </w:rPr>
      </w:r>
      <w:r>
        <w:rPr>
          <w:spacing w:val="-3"/>
        </w:rPr>
        <w:t>益性证券发生的手续费、佣金等费用，抵减权益性证券溢价收入，溢价收入不足冲减的，冲减</w:t>
      </w:r>
      <w:r>
        <w:rPr>
          <w:spacing w:val="-90"/>
        </w:rPr>
        <w:t> </w:t>
      </w:r>
      <w:r>
        <w:rPr>
          <w:spacing w:val="-90"/>
        </w:rPr>
      </w:r>
      <w:r>
        <w:rPr/>
        <w:t>留存收益。合并日为合并方实际取得对被合并方控制权的日期。</w:t>
      </w:r>
    </w:p>
    <w:p>
      <w:pPr>
        <w:pStyle w:val="BodyText"/>
        <w:spacing w:line="240" w:lineRule="auto" w:before="94"/>
        <w:ind w:left="560" w:right="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．非同一控制下企业合并</w:t>
      </w:r>
    </w:p>
    <w:p>
      <w:pPr>
        <w:spacing w:line="240" w:lineRule="auto" w:before="10"/>
        <w:rPr>
          <w:rFonts w:ascii="黑体" w:hAnsi="黑体" w:cs="黑体" w:eastAsia="黑体" w:hint="default"/>
          <w:sz w:val="16"/>
          <w:szCs w:val="16"/>
        </w:rPr>
      </w:pPr>
    </w:p>
    <w:p>
      <w:pPr>
        <w:pStyle w:val="BodyText"/>
        <w:spacing w:line="400" w:lineRule="auto"/>
        <w:ind w:left="140" w:right="94" w:firstLine="420"/>
        <w:jc w:val="left"/>
      </w:pPr>
      <w:r>
        <w:rPr>
          <w:spacing w:val="2"/>
        </w:rPr>
        <w:t>参与合并的各方在合并前后不受同一方或相同的多方最终控制，为非同一控制下企业合 </w:t>
      </w:r>
      <w:r>
        <w:rPr>
          <w:spacing w:val="-3"/>
        </w:rPr>
        <w:t>并。购买方支付的合并成本为进行企业合并支付的现金或非现金资产、发生或承担的负债、发</w:t>
      </w:r>
      <w:r>
        <w:rPr>
          <w:spacing w:val="-87"/>
        </w:rPr>
        <w:t> </w:t>
      </w:r>
      <w:r>
        <w:rPr>
          <w:spacing w:val="-87"/>
        </w:rPr>
      </w:r>
      <w:r>
        <w:rPr/>
        <w:t>行的权益性证券等在购买日的公允价值。支付的非现金资产的公允价值与其账面价值的差额， 计入当期损益。</w:t>
      </w:r>
    </w:p>
    <w:p>
      <w:pPr>
        <w:pStyle w:val="BodyText"/>
        <w:spacing w:line="403" w:lineRule="auto" w:before="94"/>
        <w:ind w:left="140" w:right="217" w:firstLine="420"/>
        <w:jc w:val="both"/>
      </w:pPr>
      <w:r>
        <w:rPr>
          <w:spacing w:val="-3"/>
        </w:rPr>
        <w:t>合并成本大于合并中取得的被购买方于购买日可辨认净资产公允价值份额的差额，确认为</w:t>
      </w:r>
      <w:r>
        <w:rPr/>
        <w:t> </w:t>
      </w:r>
      <w:r>
        <w:rPr>
          <w:spacing w:val="-3"/>
        </w:rPr>
        <w:t>商誉；合并成本小于合并中取得的被购买方可辨认净资产公允价值份额的差额时，对取得的被</w:t>
      </w:r>
    </w:p>
    <w:p>
      <w:pPr>
        <w:spacing w:after="0" w:line="403" w:lineRule="auto"/>
        <w:jc w:val="both"/>
        <w:sectPr>
          <w:pgSz w:w="11910" w:h="16840"/>
          <w:pgMar w:header="963" w:footer="893" w:top="1200" w:bottom="1080" w:left="1560" w:right="1480"/>
        </w:sectPr>
      </w:pPr>
    </w:p>
    <w:p>
      <w:pPr>
        <w:spacing w:line="240" w:lineRule="auto" w:before="5"/>
        <w:rPr>
          <w:rFonts w:ascii="宋体" w:hAnsi="宋体" w:cs="宋体" w:eastAsia="宋体" w:hint="default"/>
          <w:sz w:val="23"/>
          <w:szCs w:val="23"/>
        </w:rPr>
      </w:pPr>
    </w:p>
    <w:p>
      <w:pPr>
        <w:pStyle w:val="BodyText"/>
        <w:spacing w:line="400" w:lineRule="auto" w:before="35"/>
        <w:ind w:left="141" w:right="93"/>
        <w:jc w:val="left"/>
      </w:pPr>
      <w:r>
        <w:rPr>
          <w:spacing w:val="-3"/>
        </w:rPr>
        <w:t>购买方各项可辨认资产、负债及或有负债的公允价值以及合并成本的计量进行复核；经复核后</w:t>
      </w:r>
      <w:r>
        <w:rPr>
          <w:spacing w:val="-88"/>
        </w:rPr>
        <w:t> </w:t>
      </w:r>
      <w:r>
        <w:rPr>
          <w:spacing w:val="-88"/>
        </w:rPr>
      </w:r>
      <w:r>
        <w:rPr/>
        <w:t>合并成本仍小于合并中取得的被购买方可辨认净资产公允价值份额的，其差额计入当期损益。</w:t>
      </w:r>
    </w:p>
    <w:p>
      <w:pPr>
        <w:pStyle w:val="BodyText"/>
        <w:spacing w:line="400" w:lineRule="auto" w:before="94"/>
        <w:ind w:left="141" w:right="215" w:firstLine="420"/>
        <w:jc w:val="both"/>
      </w:pPr>
      <w:r>
        <w:rPr>
          <w:spacing w:val="-3"/>
        </w:rPr>
        <w:t>非同一控制下的企业合并中，购买方为企业合并发生的审计、法律服务、评估咨询等中介</w:t>
      </w:r>
      <w:r>
        <w:rPr/>
        <w:t> </w:t>
      </w:r>
      <w:r>
        <w:rPr>
          <w:spacing w:val="-3"/>
        </w:rPr>
        <w:t>费用以及其他相关管理费用，于发生时计入当期损益；购买方作为合并对价发行的权益性证券</w:t>
      </w:r>
      <w:r>
        <w:rPr>
          <w:spacing w:val="-88"/>
        </w:rPr>
        <w:t> </w:t>
      </w:r>
      <w:r>
        <w:rPr>
          <w:spacing w:val="-88"/>
        </w:rPr>
      </w:r>
      <w:r>
        <w:rPr/>
        <w:t>或债务性证券的交易费用，计入权益性证券或债务性证券的初始确认金额。</w:t>
      </w:r>
    </w:p>
    <w:p>
      <w:pPr>
        <w:pStyle w:val="BodyText"/>
        <w:spacing w:line="400" w:lineRule="auto" w:before="94"/>
        <w:ind w:left="141" w:right="212" w:firstLine="420"/>
        <w:jc w:val="both"/>
      </w:pPr>
      <w:r>
        <w:rPr>
          <w:spacing w:val="2"/>
        </w:rPr>
        <w:t>购买日为购买方实际取得对被购买方控制权的日期。购买方在购买日对合并成本进行分 </w:t>
      </w:r>
      <w:r>
        <w:rPr/>
        <w:t>配，确认所取得的被购买方各项可辨认资产、负债及或有负债。</w:t>
      </w:r>
    </w:p>
    <w:p>
      <w:pPr>
        <w:pStyle w:val="BodyText"/>
        <w:spacing w:line="240" w:lineRule="auto" w:before="94"/>
        <w:ind w:right="0"/>
        <w:jc w:val="left"/>
      </w:pPr>
      <w:r>
        <w:rPr/>
        <w:t>业务合并按相同的方法处理。</w:t>
      </w:r>
    </w:p>
    <w:p>
      <w:pPr>
        <w:spacing w:line="240" w:lineRule="auto" w:before="4"/>
        <w:rPr>
          <w:rFonts w:ascii="宋体" w:hAnsi="宋体" w:cs="宋体" w:eastAsia="宋体" w:hint="default"/>
          <w:sz w:val="23"/>
          <w:szCs w:val="23"/>
        </w:rPr>
      </w:pPr>
    </w:p>
    <w:p>
      <w:pPr>
        <w:pStyle w:val="BodyText"/>
        <w:spacing w:line="240" w:lineRule="auto"/>
        <w:ind w:right="0"/>
        <w:jc w:val="left"/>
        <w:rPr>
          <w:rFonts w:ascii="黑体" w:hAnsi="黑体" w:cs="黑体" w:eastAsia="黑体" w:hint="default"/>
        </w:rPr>
      </w:pPr>
      <w:r>
        <w:rPr>
          <w:rFonts w:ascii="黑体" w:hAnsi="黑体" w:cs="黑体" w:eastAsia="黑体" w:hint="default"/>
        </w:rPr>
        <w:t>（六）</w:t>
      </w:r>
      <w:r>
        <w:rPr>
          <w:rFonts w:ascii="黑体" w:hAnsi="黑体" w:cs="黑体" w:eastAsia="黑体" w:hint="default"/>
          <w:spacing w:val="-75"/>
        </w:rPr>
        <w:t> </w:t>
      </w:r>
      <w:r>
        <w:rPr>
          <w:rFonts w:ascii="黑体" w:hAnsi="黑体" w:cs="黑体" w:eastAsia="黑体" w:hint="default"/>
        </w:rPr>
        <w:t>合并财务报表的编制方法</w:t>
      </w:r>
    </w:p>
    <w:p>
      <w:pPr>
        <w:spacing w:line="240" w:lineRule="auto" w:before="13"/>
        <w:rPr>
          <w:rFonts w:ascii="黑体" w:hAnsi="黑体" w:cs="黑体" w:eastAsia="黑体" w:hint="default"/>
          <w:sz w:val="17"/>
          <w:szCs w:val="17"/>
        </w:rPr>
      </w:pPr>
    </w:p>
    <w:p>
      <w:pPr>
        <w:pStyle w:val="BodyText"/>
        <w:spacing w:line="403" w:lineRule="auto"/>
        <w:ind w:left="141" w:right="216" w:firstLine="420"/>
        <w:jc w:val="both"/>
      </w:pPr>
      <w:r>
        <w:rPr>
          <w:spacing w:val="-3"/>
        </w:rPr>
        <w:t>合并财务报表的合并范围包括本公司及本公司的子公司。控制是指有权决定一个公司的财</w:t>
      </w:r>
      <w:r>
        <w:rPr/>
        <w:t> 务和经营政策，并能据以从该公司的经营活动中获取利益。</w:t>
      </w:r>
    </w:p>
    <w:p>
      <w:pPr>
        <w:pStyle w:val="BodyText"/>
        <w:spacing w:line="400" w:lineRule="auto" w:before="92"/>
        <w:ind w:left="141" w:right="216" w:firstLine="420"/>
        <w:jc w:val="both"/>
      </w:pPr>
      <w:r>
        <w:rPr>
          <w:spacing w:val="-3"/>
        </w:rPr>
        <w:t>本公司通过同一控制下企业合并取得的子公司，在编制合并当期财务报表时，视同被合并</w:t>
      </w:r>
      <w:r>
        <w:rPr/>
        <w:t> </w:t>
      </w:r>
      <w:r>
        <w:rPr>
          <w:spacing w:val="-3"/>
        </w:rPr>
        <w:t>子公司在本公司最终控制方对其开始实施控制时纳入本公司合并范围。因此本公司在编制合并</w:t>
      </w:r>
      <w:r>
        <w:rPr>
          <w:spacing w:val="-88"/>
        </w:rPr>
        <w:t> </w:t>
      </w:r>
      <w:r>
        <w:rPr>
          <w:spacing w:val="-88"/>
        </w:rPr>
      </w:r>
      <w:r>
        <w:rPr>
          <w:spacing w:val="-3"/>
        </w:rPr>
        <w:t>当期财务报表时，将被合并子公司的经营成果自本公司最终控制方开始实施控制时起纳入本公</w:t>
      </w:r>
      <w:r>
        <w:rPr>
          <w:spacing w:val="-89"/>
        </w:rPr>
        <w:t> </w:t>
      </w:r>
      <w:r>
        <w:rPr>
          <w:spacing w:val="-89"/>
        </w:rPr>
      </w:r>
      <w:r>
        <w:rPr/>
        <w:t>司合并利润表中，并对合并财务报表的年初数以及前期比较报表进行相应调整。</w:t>
      </w:r>
    </w:p>
    <w:p>
      <w:pPr>
        <w:pStyle w:val="BodyText"/>
        <w:spacing w:line="400" w:lineRule="auto" w:before="94"/>
        <w:ind w:left="141" w:right="216" w:firstLine="420"/>
        <w:jc w:val="both"/>
      </w:pPr>
      <w:r>
        <w:rPr>
          <w:spacing w:val="-3"/>
        </w:rPr>
        <w:t>本公司通过非同一控制下企业合并取得的子公司，在编制合并当期财务报表时，以购买日</w:t>
      </w:r>
      <w:r>
        <w:rPr/>
        <w:t> </w:t>
      </w:r>
      <w:r>
        <w:rPr>
          <w:spacing w:val="-3"/>
        </w:rPr>
        <w:t>确定的各项可辨认资产、负债的公允价值为基础对子公司的财务报表进行调整，并自购买日起</w:t>
      </w:r>
      <w:r>
        <w:rPr>
          <w:spacing w:val="-88"/>
        </w:rPr>
        <w:t> </w:t>
      </w:r>
      <w:r>
        <w:rPr>
          <w:spacing w:val="-88"/>
        </w:rPr>
      </w:r>
      <w:r>
        <w:rPr>
          <w:spacing w:val="-3"/>
        </w:rPr>
        <w:t>将被购买子公司的资产、负债及经营成果纳入本公司合并财务报表中，并不调整合并财务报表</w:t>
      </w:r>
      <w:r>
        <w:rPr>
          <w:spacing w:val="-88"/>
        </w:rPr>
        <w:t> </w:t>
      </w:r>
      <w:r>
        <w:rPr>
          <w:spacing w:val="-88"/>
        </w:rPr>
      </w:r>
      <w:r>
        <w:rPr/>
        <w:t>年初数以及前期比较报表。</w:t>
      </w:r>
    </w:p>
    <w:p>
      <w:pPr>
        <w:pStyle w:val="BodyText"/>
        <w:spacing w:line="400" w:lineRule="auto" w:before="94"/>
        <w:ind w:left="141" w:right="212" w:firstLine="420"/>
        <w:jc w:val="both"/>
      </w:pPr>
      <w:r>
        <w:rPr>
          <w:spacing w:val="2"/>
        </w:rPr>
        <w:t>子公司少数股东应占的权益和损益分别在合并资产负债表中股东权益项目下和合并利润 </w:t>
      </w:r>
      <w:r>
        <w:rPr/>
        <w:t>表中净利润项目下单独列示。</w:t>
      </w:r>
    </w:p>
    <w:p>
      <w:pPr>
        <w:pStyle w:val="BodyText"/>
        <w:spacing w:line="400" w:lineRule="auto" w:before="94"/>
        <w:ind w:left="141" w:right="216" w:firstLine="420"/>
        <w:jc w:val="both"/>
      </w:pPr>
      <w:r>
        <w:rPr>
          <w:spacing w:val="-3"/>
        </w:rPr>
        <w:t>在合并财务报表中，子公司少数股东分担的当期亏损超过了少数股东在该子公司期初所有</w:t>
      </w:r>
      <w:r>
        <w:rPr/>
        <w:t> 者权益中所享有的份额的，其余额仍冲减少数股东权益。</w:t>
      </w:r>
    </w:p>
    <w:p>
      <w:pPr>
        <w:pStyle w:val="BodyText"/>
        <w:spacing w:line="400" w:lineRule="auto" w:before="94"/>
        <w:ind w:left="141" w:right="216" w:firstLine="420"/>
        <w:jc w:val="both"/>
      </w:pPr>
      <w:r>
        <w:rPr>
          <w:spacing w:val="-3"/>
        </w:rPr>
        <w:t>当子公司所采用的会计期间或会计政策与本公司不一致时，合并时已按照本公司的会计期</w:t>
      </w:r>
      <w:r>
        <w:rPr/>
        <w:t> </w:t>
      </w:r>
      <w:r>
        <w:rPr>
          <w:spacing w:val="-3"/>
        </w:rPr>
        <w:t>间或会计政策对子公司财务报表进行必要的调整。合并时所有重大内部交易及往来余额均已抵</w:t>
      </w:r>
      <w:r>
        <w:rPr>
          <w:spacing w:val="-89"/>
        </w:rPr>
        <w:t> </w:t>
      </w:r>
      <w:r>
        <w:rPr>
          <w:spacing w:val="-89"/>
        </w:rPr>
      </w:r>
      <w:r>
        <w:rPr/>
        <w:t>销。</w:t>
      </w:r>
    </w:p>
    <w:p>
      <w:pPr>
        <w:pStyle w:val="BodyText"/>
        <w:spacing w:line="240" w:lineRule="auto" w:before="164"/>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75"/>
        </w:rPr>
        <w:t> </w:t>
      </w:r>
      <w:r>
        <w:rPr>
          <w:rFonts w:ascii="黑体" w:hAnsi="黑体" w:cs="黑体" w:eastAsia="黑体" w:hint="default"/>
        </w:rPr>
        <w:t>现金及现金等价物的确定标准</w:t>
      </w:r>
    </w:p>
    <w:p>
      <w:pPr>
        <w:spacing w:line="240" w:lineRule="auto" w:before="13"/>
        <w:rPr>
          <w:rFonts w:ascii="黑体" w:hAnsi="黑体" w:cs="黑体" w:eastAsia="黑体" w:hint="default"/>
          <w:sz w:val="17"/>
          <w:szCs w:val="17"/>
        </w:rPr>
      </w:pPr>
    </w:p>
    <w:p>
      <w:pPr>
        <w:pStyle w:val="BodyText"/>
        <w:spacing w:line="240" w:lineRule="auto"/>
        <w:ind w:right="0"/>
        <w:jc w:val="left"/>
      </w:pPr>
      <w:r>
        <w:rPr>
          <w:spacing w:val="2"/>
        </w:rPr>
        <w:t>现金是指公司库存现金以及可以随时用于支付的存款。现金等价物是指公司持有的期限</w:t>
      </w:r>
      <w:r>
        <w:rPr/>
      </w:r>
    </w:p>
    <w:p>
      <w:pPr>
        <w:spacing w:after="0" w:line="240" w:lineRule="auto"/>
        <w:jc w:val="left"/>
        <w:sectPr>
          <w:pgSz w:w="11910" w:h="16840"/>
          <w:pgMar w:header="963" w:footer="893" w:top="1200" w:bottom="1080" w:left="1560" w:right="1480"/>
        </w:sectPr>
      </w:pPr>
    </w:p>
    <w:p>
      <w:pPr>
        <w:spacing w:line="240" w:lineRule="auto" w:before="5"/>
        <w:rPr>
          <w:rFonts w:ascii="宋体" w:hAnsi="宋体" w:cs="宋体" w:eastAsia="宋体" w:hint="default"/>
          <w:sz w:val="23"/>
          <w:szCs w:val="23"/>
        </w:rPr>
      </w:pPr>
    </w:p>
    <w:p>
      <w:pPr>
        <w:pStyle w:val="BodyText"/>
        <w:spacing w:line="240" w:lineRule="auto" w:before="35"/>
        <w:ind w:left="141" w:right="0"/>
        <w:jc w:val="both"/>
      </w:pPr>
      <w:r>
        <w:rPr/>
        <w:t>短、流动性强、易于转换为已知金额现金、价值变动风险很小的投资。</w:t>
      </w:r>
    </w:p>
    <w:p>
      <w:pPr>
        <w:spacing w:line="240" w:lineRule="auto" w:before="4"/>
        <w:rPr>
          <w:rFonts w:ascii="宋体" w:hAnsi="宋体" w:cs="宋体" w:eastAsia="宋体" w:hint="default"/>
          <w:sz w:val="23"/>
          <w:szCs w:val="23"/>
        </w:rPr>
      </w:pPr>
    </w:p>
    <w:p>
      <w:pPr>
        <w:pStyle w:val="BodyText"/>
        <w:spacing w:line="240" w:lineRule="auto"/>
        <w:ind w:right="13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75"/>
        </w:rPr>
        <w:t> </w:t>
      </w:r>
      <w:r>
        <w:rPr>
          <w:rFonts w:ascii="黑体" w:hAnsi="黑体" w:cs="黑体" w:eastAsia="黑体" w:hint="default"/>
        </w:rPr>
        <w:t>外币业务和外币报表折算</w:t>
      </w:r>
    </w:p>
    <w:p>
      <w:pPr>
        <w:spacing w:line="240" w:lineRule="auto" w:before="13"/>
        <w:rPr>
          <w:rFonts w:ascii="黑体" w:hAnsi="黑体" w:cs="黑体" w:eastAsia="黑体" w:hint="default"/>
          <w:sz w:val="17"/>
          <w:szCs w:val="17"/>
        </w:rPr>
      </w:pPr>
    </w:p>
    <w:p>
      <w:pPr>
        <w:pStyle w:val="BodyText"/>
        <w:spacing w:line="240" w:lineRule="auto"/>
        <w:ind w:right="13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．外币交易</w:t>
      </w:r>
    </w:p>
    <w:p>
      <w:pPr>
        <w:spacing w:line="240" w:lineRule="auto" w:before="10"/>
        <w:rPr>
          <w:rFonts w:ascii="黑体" w:hAnsi="黑体" w:cs="黑体" w:eastAsia="黑体" w:hint="default"/>
          <w:sz w:val="16"/>
          <w:szCs w:val="16"/>
        </w:rPr>
      </w:pPr>
    </w:p>
    <w:p>
      <w:pPr>
        <w:pStyle w:val="BodyText"/>
        <w:spacing w:line="446" w:lineRule="auto"/>
        <w:ind w:right="130"/>
        <w:jc w:val="left"/>
      </w:pPr>
      <w:r>
        <w:rPr/>
        <w:t>外币交易按交易发生当日的即期汇率折合为人民币入帐。 </w:t>
      </w:r>
      <w:r>
        <w:rPr>
          <w:spacing w:val="-3"/>
        </w:rPr>
        <w:t>于资产负债表日，外币货币性项目采用资产负债表日的即期汇率折算为人民币，所产生的</w:t>
      </w:r>
    </w:p>
    <w:p>
      <w:pPr>
        <w:pStyle w:val="BodyText"/>
        <w:spacing w:line="400" w:lineRule="auto" w:before="4"/>
        <w:ind w:left="141" w:right="135"/>
        <w:jc w:val="both"/>
      </w:pPr>
      <w:r>
        <w:rPr>
          <w:spacing w:val="2"/>
        </w:rPr>
        <w:t>汇兑差额除与购建或者生产符合资本化条件的资产而借入的外币专门借款产生的汇兑差额按</w:t>
      </w:r>
      <w:r>
        <w:rPr>
          <w:spacing w:val="-100"/>
        </w:rPr>
        <w:t> </w:t>
      </w:r>
      <w:r>
        <w:rPr>
          <w:spacing w:val="-100"/>
        </w:rPr>
      </w:r>
      <w:r>
        <w:rPr>
          <w:spacing w:val="-3"/>
        </w:rPr>
        <w:t>借款费用的原则处理外，计入当期损益。以历史成本计量的外币非货币性项目，以资产负债表</w:t>
      </w:r>
      <w:r>
        <w:rPr>
          <w:spacing w:val="-87"/>
        </w:rPr>
        <w:t> </w:t>
      </w:r>
      <w:r>
        <w:rPr>
          <w:spacing w:val="-87"/>
        </w:rPr>
      </w:r>
      <w:r>
        <w:rPr/>
        <w:t>日采用交易发生日的即期汇率折算。</w:t>
      </w:r>
    </w:p>
    <w:p>
      <w:pPr>
        <w:pStyle w:val="BodyText"/>
        <w:spacing w:line="240" w:lineRule="auto" w:before="94"/>
        <w:ind w:right="13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．外币财务报表的折算</w:t>
      </w:r>
    </w:p>
    <w:p>
      <w:pPr>
        <w:spacing w:line="240" w:lineRule="auto" w:before="10"/>
        <w:rPr>
          <w:rFonts w:ascii="黑体" w:hAnsi="黑体" w:cs="黑体" w:eastAsia="黑体" w:hint="default"/>
          <w:sz w:val="16"/>
          <w:szCs w:val="16"/>
        </w:rPr>
      </w:pPr>
    </w:p>
    <w:p>
      <w:pPr>
        <w:pStyle w:val="BodyText"/>
        <w:spacing w:line="400" w:lineRule="auto"/>
        <w:ind w:left="141" w:right="135" w:firstLine="420"/>
        <w:jc w:val="both"/>
      </w:pPr>
      <w:r>
        <w:rPr>
          <w:spacing w:val="-3"/>
        </w:rPr>
        <w:t>境外经营的资产负债表中的资产和负债项目，采用资产负债表日的即期汇率折算，所有者</w:t>
      </w:r>
      <w:r>
        <w:rPr/>
        <w:t> </w:t>
      </w:r>
      <w:r>
        <w:rPr>
          <w:spacing w:val="-3"/>
        </w:rPr>
        <w:t>权益中除未分配利润项目外，其他项目采用发生时的即期汇率折算。境外经营的利润表中的收</w:t>
      </w:r>
      <w:r>
        <w:rPr>
          <w:spacing w:val="-88"/>
        </w:rPr>
        <w:t> </w:t>
      </w:r>
      <w:r>
        <w:rPr>
          <w:spacing w:val="-88"/>
        </w:rPr>
      </w:r>
      <w:r>
        <w:rPr>
          <w:spacing w:val="-3"/>
        </w:rPr>
        <w:t>入和费用项目，采用交易发生日的即期汇率。上述折算产生的外币报表折算差额，在资产负债</w:t>
      </w:r>
      <w:r>
        <w:rPr>
          <w:spacing w:val="-87"/>
        </w:rPr>
        <w:t> </w:t>
      </w:r>
      <w:r>
        <w:rPr>
          <w:spacing w:val="-87"/>
        </w:rPr>
      </w:r>
      <w:r>
        <w:rPr>
          <w:spacing w:val="-3"/>
        </w:rPr>
        <w:t>表中所有者权益中项目下单独列示。境外经营的现金流量项目，采用现金流量发生日的即期汇</w:t>
      </w:r>
      <w:r>
        <w:rPr>
          <w:spacing w:val="-88"/>
        </w:rPr>
        <w:t> </w:t>
      </w:r>
      <w:r>
        <w:rPr>
          <w:spacing w:val="-88"/>
        </w:rPr>
      </w:r>
      <w:r>
        <w:rPr/>
        <w:t>率折算。汇率变动对现金的影响额，在现金流量表中单独列示。</w:t>
      </w:r>
    </w:p>
    <w:p>
      <w:pPr>
        <w:pStyle w:val="BodyText"/>
        <w:spacing w:line="240" w:lineRule="auto" w:before="164"/>
        <w:ind w:right="130"/>
        <w:jc w:val="left"/>
        <w:rPr>
          <w:rFonts w:ascii="黑体" w:hAnsi="黑体" w:cs="黑体" w:eastAsia="黑体" w:hint="default"/>
        </w:rPr>
      </w:pPr>
      <w:r>
        <w:rPr>
          <w:rFonts w:ascii="黑体" w:hAnsi="黑体" w:cs="黑体" w:eastAsia="黑体" w:hint="default"/>
        </w:rPr>
        <w:t>（九）</w:t>
      </w:r>
      <w:r>
        <w:rPr>
          <w:rFonts w:ascii="黑体" w:hAnsi="黑体" w:cs="黑体" w:eastAsia="黑体" w:hint="default"/>
          <w:spacing w:val="-75"/>
        </w:rPr>
        <w:t> </w:t>
      </w:r>
      <w:r>
        <w:rPr>
          <w:rFonts w:ascii="黑体" w:hAnsi="黑体" w:cs="黑体" w:eastAsia="黑体" w:hint="default"/>
        </w:rPr>
        <w:t>金融工具</w:t>
      </w:r>
    </w:p>
    <w:p>
      <w:pPr>
        <w:spacing w:line="240" w:lineRule="auto" w:before="1"/>
        <w:rPr>
          <w:rFonts w:ascii="黑体" w:hAnsi="黑体" w:cs="黑体" w:eastAsia="黑体" w:hint="default"/>
          <w:sz w:val="18"/>
          <w:szCs w:val="18"/>
        </w:rPr>
      </w:pPr>
    </w:p>
    <w:p>
      <w:pPr>
        <w:pStyle w:val="BodyText"/>
        <w:spacing w:line="240" w:lineRule="auto"/>
        <w:ind w:right="13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．金融资产和金融负债的分类</w:t>
      </w:r>
    </w:p>
    <w:p>
      <w:pPr>
        <w:spacing w:line="240" w:lineRule="auto" w:before="10"/>
        <w:rPr>
          <w:rFonts w:ascii="黑体" w:hAnsi="黑体" w:cs="黑体" w:eastAsia="黑体" w:hint="default"/>
          <w:sz w:val="16"/>
          <w:szCs w:val="16"/>
        </w:rPr>
      </w:pPr>
    </w:p>
    <w:p>
      <w:pPr>
        <w:pStyle w:val="BodyText"/>
        <w:spacing w:line="400" w:lineRule="auto"/>
        <w:ind w:left="141" w:right="136" w:firstLine="420"/>
        <w:jc w:val="both"/>
      </w:pPr>
      <w:r>
        <w:rPr>
          <w:spacing w:val="-3"/>
        </w:rPr>
        <w:t>金融资产和金融负债在初始确认时划分为以下几类：以公允价值计量且其变动计入当期损</w:t>
      </w:r>
      <w:r>
        <w:rPr/>
        <w:t> </w:t>
      </w:r>
      <w:r>
        <w:rPr>
          <w:spacing w:val="-3"/>
        </w:rPr>
        <w:t>益的金融资产或金融负债；持有至到期投资；贷款及应收款项；可供出售金融资产；其它金融</w:t>
      </w:r>
      <w:r>
        <w:rPr>
          <w:spacing w:val="-90"/>
        </w:rPr>
        <w:t> </w:t>
      </w:r>
      <w:r>
        <w:rPr>
          <w:spacing w:val="-90"/>
        </w:rPr>
      </w:r>
      <w:r>
        <w:rPr/>
        <w:t>负债。</w:t>
      </w:r>
    </w:p>
    <w:p>
      <w:pPr>
        <w:pStyle w:val="BodyText"/>
        <w:spacing w:line="240" w:lineRule="auto" w:before="94"/>
        <w:ind w:right="130"/>
        <w:jc w:val="left"/>
        <w:rPr>
          <w:rFonts w:ascii="黑体" w:hAnsi="黑体" w:cs="黑体" w:eastAsia="黑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30"/>
        </w:rPr>
        <w:t> </w:t>
      </w:r>
      <w:r>
        <w:rPr>
          <w:rFonts w:ascii="黑体" w:hAnsi="黑体" w:cs="黑体" w:eastAsia="黑体" w:hint="default"/>
        </w:rPr>
        <w:t>金融资产和金融负债的确认</w:t>
      </w:r>
    </w:p>
    <w:p>
      <w:pPr>
        <w:spacing w:line="240" w:lineRule="auto" w:before="10"/>
        <w:rPr>
          <w:rFonts w:ascii="黑体" w:hAnsi="黑体" w:cs="黑体" w:eastAsia="黑体" w:hint="default"/>
          <w:sz w:val="16"/>
          <w:szCs w:val="16"/>
        </w:rPr>
      </w:pPr>
    </w:p>
    <w:p>
      <w:pPr>
        <w:pStyle w:val="BodyText"/>
        <w:spacing w:line="400" w:lineRule="auto"/>
        <w:ind w:left="141" w:right="132" w:firstLine="420"/>
        <w:jc w:val="both"/>
      </w:pPr>
      <w:r>
        <w:rPr>
          <w:spacing w:val="2"/>
        </w:rPr>
        <w:t>金融资产的确认是指将符合金融资产定义和金融资产确认条件的项目记入资产负债表的 </w:t>
      </w:r>
      <w:r>
        <w:rPr>
          <w:spacing w:val="-3"/>
        </w:rPr>
        <w:t>过程。金融负债的确认是指将符合金融负债定义和金融负债确认条件的项目记入资产负债表的</w:t>
      </w:r>
      <w:r>
        <w:rPr>
          <w:spacing w:val="-89"/>
        </w:rPr>
        <w:t> </w:t>
      </w:r>
      <w:r>
        <w:rPr>
          <w:spacing w:val="-89"/>
        </w:rPr>
      </w:r>
      <w:r>
        <w:rPr/>
        <w:t>过程。</w:t>
      </w:r>
    </w:p>
    <w:p>
      <w:pPr>
        <w:pStyle w:val="BodyText"/>
        <w:spacing w:line="240" w:lineRule="auto" w:before="94"/>
        <w:ind w:right="130"/>
        <w:jc w:val="left"/>
        <w:rPr>
          <w:rFonts w:ascii="黑体" w:hAnsi="黑体" w:cs="黑体" w:eastAsia="黑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18"/>
        </w:rPr>
        <w:t> </w:t>
      </w:r>
      <w:r>
        <w:rPr>
          <w:rFonts w:ascii="黑体" w:hAnsi="黑体" w:cs="黑体" w:eastAsia="黑体" w:hint="default"/>
        </w:rPr>
        <w:t>金融资产和金融负债的计量</w:t>
      </w:r>
    </w:p>
    <w:p>
      <w:pPr>
        <w:spacing w:line="240" w:lineRule="auto" w:before="10"/>
        <w:rPr>
          <w:rFonts w:ascii="黑体" w:hAnsi="黑体" w:cs="黑体" w:eastAsia="黑体" w:hint="default"/>
          <w:sz w:val="16"/>
          <w:szCs w:val="16"/>
        </w:rPr>
      </w:pPr>
    </w:p>
    <w:p>
      <w:pPr>
        <w:pStyle w:val="BodyText"/>
        <w:spacing w:line="400" w:lineRule="auto"/>
        <w:ind w:left="141" w:right="136" w:firstLine="420"/>
        <w:jc w:val="both"/>
      </w:pPr>
      <w:r>
        <w:rPr>
          <w:spacing w:val="-3"/>
        </w:rPr>
        <w:t>初始确认时，金融资产及金融负债均以公允价值计量。对于以公允价值计量且其变动计入</w:t>
      </w:r>
      <w:r>
        <w:rPr/>
        <w:t> </w:t>
      </w:r>
      <w:r>
        <w:rPr>
          <w:spacing w:val="-3"/>
        </w:rPr>
        <w:t>当期损益的金融资产或金融负债，相关交易费用直接计入当期损益；对于其他类别的金融资产</w:t>
      </w:r>
      <w:r>
        <w:rPr>
          <w:spacing w:val="-88"/>
        </w:rPr>
        <w:t> </w:t>
      </w:r>
      <w:r>
        <w:rPr>
          <w:spacing w:val="-88"/>
        </w:rPr>
      </w:r>
      <w:r>
        <w:rPr/>
        <w:t>或金融负债，相关交易费用计入初始确认金额。</w:t>
      </w:r>
    </w:p>
    <w:p>
      <w:pPr>
        <w:pStyle w:val="BodyText"/>
        <w:spacing w:line="240" w:lineRule="auto" w:before="94"/>
        <w:ind w:right="0"/>
        <w:jc w:val="left"/>
      </w:pPr>
      <w:r>
        <w:rPr>
          <w:spacing w:val="-3"/>
        </w:rPr>
        <w:t>除贷款和应收款项、持有至到期投资和其他金融负债外，金融资产和金融负债均以公允价</w:t>
      </w:r>
    </w:p>
    <w:p>
      <w:pPr>
        <w:spacing w:after="0" w:line="240" w:lineRule="auto"/>
        <w:jc w:val="left"/>
        <w:sectPr>
          <w:pgSz w:w="11910" w:h="16840"/>
          <w:pgMar w:header="963" w:footer="893" w:top="1200" w:bottom="1080" w:left="1560" w:right="1560"/>
        </w:sectPr>
      </w:pPr>
    </w:p>
    <w:p>
      <w:pPr>
        <w:spacing w:line="240" w:lineRule="auto" w:before="5"/>
        <w:rPr>
          <w:rFonts w:ascii="宋体" w:hAnsi="宋体" w:cs="宋体" w:eastAsia="宋体" w:hint="default"/>
          <w:sz w:val="23"/>
          <w:szCs w:val="23"/>
        </w:rPr>
      </w:pPr>
    </w:p>
    <w:p>
      <w:pPr>
        <w:pStyle w:val="BodyText"/>
        <w:spacing w:line="446" w:lineRule="auto" w:before="35"/>
        <w:ind w:right="150" w:hanging="420"/>
        <w:jc w:val="left"/>
      </w:pPr>
      <w:r>
        <w:rPr/>
        <w:t>值进行后续计量，其他金融负债采用实际利率法按摊余成本进行后续计量。 </w:t>
      </w:r>
      <w:r>
        <w:rPr>
          <w:spacing w:val="2"/>
        </w:rPr>
        <w:t>以公允价值计量且其变动计入当期损益的金融资产或金融负债公允价值变动形成的损益</w:t>
      </w:r>
      <w:r>
        <w:rPr/>
      </w:r>
    </w:p>
    <w:p>
      <w:pPr>
        <w:pStyle w:val="BodyText"/>
        <w:spacing w:line="446" w:lineRule="auto" w:before="4"/>
        <w:ind w:right="150" w:hanging="420"/>
        <w:jc w:val="left"/>
      </w:pPr>
      <w:r>
        <w:rPr/>
        <w:t>计入当期损益。 </w:t>
      </w:r>
      <w:r>
        <w:rPr>
          <w:spacing w:val="-3"/>
        </w:rPr>
        <w:t>可供出售的金融资产公允价值变动形成的利得或损失，除减值损失和外币货币性金融资产</w:t>
      </w:r>
    </w:p>
    <w:p>
      <w:pPr>
        <w:pStyle w:val="BodyText"/>
        <w:spacing w:line="446" w:lineRule="auto" w:before="4"/>
        <w:ind w:right="150" w:hanging="420"/>
        <w:jc w:val="left"/>
      </w:pPr>
      <w:r>
        <w:rPr/>
        <w:t>形成的汇兑差额外，直接计入资本公积，在该金融资产终止确认时转出，计入当期损益。 </w:t>
      </w:r>
      <w:r>
        <w:rPr>
          <w:spacing w:val="-3"/>
        </w:rPr>
        <w:t>可供出售外币货币性金融资产形成的汇兑差额，计入当期损益。采用实际利率法计算的可</w:t>
      </w:r>
    </w:p>
    <w:p>
      <w:pPr>
        <w:pStyle w:val="BodyText"/>
        <w:spacing w:line="400" w:lineRule="auto" w:before="5"/>
        <w:ind w:left="141" w:right="150"/>
        <w:jc w:val="left"/>
      </w:pPr>
      <w:r>
        <w:rPr>
          <w:spacing w:val="-3"/>
        </w:rPr>
        <w:t>供出售金融资产的利息，计入当期损益。可供出售权益工具投资的现金股利，在被投资单位宣</w:t>
      </w:r>
      <w:r>
        <w:rPr>
          <w:spacing w:val="-87"/>
        </w:rPr>
        <w:t> </w:t>
      </w:r>
      <w:r>
        <w:rPr>
          <w:spacing w:val="-87"/>
        </w:rPr>
      </w:r>
      <w:r>
        <w:rPr/>
        <w:t>告发放股利时计入当期损益。</w:t>
      </w:r>
    </w:p>
    <w:p>
      <w:pPr>
        <w:pStyle w:val="BodyText"/>
        <w:spacing w:line="400" w:lineRule="auto" w:before="94"/>
        <w:ind w:left="141" w:right="156" w:firstLine="420"/>
        <w:jc w:val="both"/>
      </w:pPr>
      <w:r>
        <w:rPr>
          <w:spacing w:val="-3"/>
        </w:rPr>
        <w:t>以摊余成本计量的金融资产或金融负债，在发生减值、摊销或终止确认时产生的利得或损</w:t>
      </w:r>
      <w:r>
        <w:rPr/>
        <w:t> 失计入当期损益。</w:t>
      </w:r>
    </w:p>
    <w:p>
      <w:pPr>
        <w:pStyle w:val="BodyText"/>
        <w:spacing w:line="240" w:lineRule="auto" w:before="94"/>
        <w:ind w:right="150"/>
        <w:jc w:val="left"/>
        <w:rPr>
          <w:rFonts w:ascii="黑体" w:hAnsi="黑体" w:cs="黑体" w:eastAsia="黑体" w:hint="default"/>
        </w:rPr>
      </w:pPr>
      <w:r>
        <w:rPr>
          <w:rFonts w:ascii="Times New Roman" w:hAnsi="Times New Roman" w:cs="Times New Roman" w:eastAsia="Times New Roman" w:hint="default"/>
        </w:rPr>
        <w:t>c) </w:t>
      </w:r>
      <w:r>
        <w:rPr>
          <w:rFonts w:ascii="Times New Roman" w:hAnsi="Times New Roman" w:cs="Times New Roman" w:eastAsia="Times New Roman" w:hint="default"/>
          <w:spacing w:val="30"/>
        </w:rPr>
        <w:t> </w:t>
      </w:r>
      <w:r>
        <w:rPr>
          <w:rFonts w:ascii="黑体" w:hAnsi="黑体" w:cs="黑体" w:eastAsia="黑体" w:hint="default"/>
        </w:rPr>
        <w:t>主要金融资产和金融负债的终止</w:t>
      </w:r>
    </w:p>
    <w:p>
      <w:pPr>
        <w:spacing w:line="240" w:lineRule="auto" w:before="10"/>
        <w:rPr>
          <w:rFonts w:ascii="黑体" w:hAnsi="黑体" w:cs="黑体" w:eastAsia="黑体" w:hint="default"/>
          <w:sz w:val="16"/>
          <w:szCs w:val="16"/>
        </w:rPr>
      </w:pPr>
    </w:p>
    <w:p>
      <w:pPr>
        <w:pStyle w:val="BodyText"/>
        <w:spacing w:line="391" w:lineRule="auto"/>
        <w:ind w:left="141" w:right="155" w:firstLine="420"/>
        <w:jc w:val="both"/>
      </w:pPr>
      <w:r>
        <w:rPr>
          <w:spacing w:val="-3"/>
        </w:rPr>
        <w:t>金融资产终止确认，是指将金融资产从企业的账户和资产负债表内予以转销。当收取金融</w:t>
      </w:r>
      <w:r>
        <w:rPr/>
        <w:t> 资产现金流量的合同权利终止，或金融资产已经转移，且符合《企业会计准则第</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 融资产转移》规定的金融资产终止确认条件的，终止确认该金融资产。</w:t>
      </w:r>
    </w:p>
    <w:p>
      <w:pPr>
        <w:pStyle w:val="BodyText"/>
        <w:spacing w:line="400" w:lineRule="auto" w:before="103"/>
        <w:ind w:left="141" w:right="156" w:firstLine="420"/>
        <w:jc w:val="both"/>
      </w:pPr>
      <w:r>
        <w:rPr>
          <w:spacing w:val="-3"/>
        </w:rPr>
        <w:t>金融负债终止确认，是指将金融负债从企业的账户和资产负债表内予以转销。当金融负债</w:t>
      </w:r>
      <w:r>
        <w:rPr/>
        <w:t> 的现时义务全部或部分已经解除的，才能终止确认该金融负债或其一部分。</w:t>
      </w:r>
    </w:p>
    <w:p>
      <w:pPr>
        <w:pStyle w:val="BodyText"/>
        <w:spacing w:line="240" w:lineRule="auto" w:before="94"/>
        <w:ind w:right="150"/>
        <w:jc w:val="left"/>
        <w:rPr>
          <w:rFonts w:ascii="黑体" w:hAnsi="黑体" w:cs="黑体" w:eastAsia="黑体" w:hint="default"/>
        </w:rPr>
      </w:pPr>
      <w:r>
        <w:rPr>
          <w:rFonts w:ascii="Times New Roman" w:hAnsi="Times New Roman" w:cs="Times New Roman" w:eastAsia="Times New Roman" w:hint="default"/>
        </w:rPr>
        <w:t>d) </w:t>
      </w:r>
      <w:r>
        <w:rPr>
          <w:rFonts w:ascii="Times New Roman" w:hAnsi="Times New Roman" w:cs="Times New Roman" w:eastAsia="Times New Roman" w:hint="default"/>
          <w:spacing w:val="18"/>
        </w:rPr>
        <w:t> </w:t>
      </w:r>
      <w:r>
        <w:rPr>
          <w:rFonts w:ascii="黑体" w:hAnsi="黑体" w:cs="黑体" w:eastAsia="黑体" w:hint="default"/>
        </w:rPr>
        <w:t>主要金融资产和金融负债的公允价值确定方法</w:t>
      </w:r>
    </w:p>
    <w:p>
      <w:pPr>
        <w:spacing w:line="240" w:lineRule="auto" w:before="10"/>
        <w:rPr>
          <w:rFonts w:ascii="黑体" w:hAnsi="黑体" w:cs="黑体" w:eastAsia="黑体" w:hint="default"/>
          <w:sz w:val="16"/>
          <w:szCs w:val="16"/>
        </w:rPr>
      </w:pPr>
    </w:p>
    <w:p>
      <w:pPr>
        <w:pStyle w:val="BodyText"/>
        <w:spacing w:line="240" w:lineRule="auto"/>
        <w:ind w:left="560" w:right="150"/>
        <w:jc w:val="left"/>
      </w:pPr>
      <w:r>
        <w:rPr/>
        <w:t>（</w:t>
      </w:r>
      <w:r>
        <w:rPr>
          <w:rFonts w:ascii="Times New Roman" w:hAnsi="Times New Roman" w:cs="Times New Roman" w:eastAsia="Times New Roman" w:hint="default"/>
        </w:rPr>
        <w:t>1</w:t>
      </w:r>
      <w:r>
        <w:rPr/>
        <w:t>）存在活跃市场的金融资产和金融负债，活跃市场中的报价用于确定其公允价值；</w:t>
      </w:r>
    </w:p>
    <w:p>
      <w:pPr>
        <w:spacing w:line="240" w:lineRule="auto" w:before="10"/>
        <w:rPr>
          <w:rFonts w:ascii="宋体" w:hAnsi="宋体" w:cs="宋体" w:eastAsia="宋体" w:hint="default"/>
          <w:sz w:val="16"/>
          <w:szCs w:val="16"/>
        </w:rPr>
      </w:pPr>
    </w:p>
    <w:p>
      <w:pPr>
        <w:pStyle w:val="BodyText"/>
        <w:spacing w:line="240" w:lineRule="auto"/>
        <w:ind w:left="560" w:right="150"/>
        <w:jc w:val="left"/>
      </w:pPr>
      <w:r>
        <w:rPr/>
        <w:t>（</w:t>
      </w:r>
      <w:r>
        <w:rPr>
          <w:rFonts w:ascii="Times New Roman" w:hAnsi="Times New Roman" w:cs="Times New Roman" w:eastAsia="Times New Roman" w:hint="default"/>
        </w:rPr>
        <w:t>2</w:t>
      </w:r>
      <w:r>
        <w:rPr/>
        <w:t>）金融工具不存在活跃市场的，采用估值技术确定其公允价值；</w:t>
      </w:r>
    </w:p>
    <w:p>
      <w:pPr>
        <w:spacing w:line="240" w:lineRule="auto" w:before="10"/>
        <w:rPr>
          <w:rFonts w:ascii="宋体" w:hAnsi="宋体" w:cs="宋体" w:eastAsia="宋体" w:hint="default"/>
          <w:sz w:val="16"/>
          <w:szCs w:val="16"/>
        </w:rPr>
      </w:pPr>
    </w:p>
    <w:p>
      <w:pPr>
        <w:pStyle w:val="BodyText"/>
        <w:spacing w:line="379" w:lineRule="auto"/>
        <w:ind w:left="140" w:right="157" w:firstLine="420"/>
        <w:jc w:val="both"/>
      </w:pPr>
      <w:r>
        <w:rPr/>
        <w:t>（</w:t>
      </w:r>
      <w:r>
        <w:rPr>
          <w:rFonts w:ascii="Times New Roman" w:hAnsi="Times New Roman" w:cs="Times New Roman" w:eastAsia="Times New Roman" w:hint="default"/>
        </w:rPr>
        <w:t>3</w:t>
      </w:r>
      <w:r>
        <w:rPr/>
        <w:t>）初始取得或衍生的金融资产或承担的金融负债，以市场交易价格作为确定其公允价 值的基础；</w:t>
      </w:r>
    </w:p>
    <w:p>
      <w:pPr>
        <w:pStyle w:val="BodyText"/>
        <w:spacing w:line="391" w:lineRule="auto" w:before="113"/>
        <w:ind w:left="140" w:right="157" w:firstLine="420"/>
        <w:jc w:val="both"/>
      </w:pPr>
      <w:r>
        <w:rPr/>
        <w:t>（</w:t>
      </w:r>
      <w:r>
        <w:rPr>
          <w:rFonts w:ascii="Times New Roman" w:hAnsi="Times New Roman" w:cs="Times New Roman" w:eastAsia="Times New Roman" w:hint="default"/>
        </w:rPr>
        <w:t>4</w:t>
      </w:r>
      <w:r>
        <w:rPr/>
        <w:t>）采用未来现金流量折现法确定金融工具公允价值的，使用合同条款和特征在实质上 </w:t>
      </w:r>
      <w:r>
        <w:rPr>
          <w:spacing w:val="-3"/>
        </w:rPr>
        <w:t>相同的其他金融工具的市场收益率作为折现率。没有表明利率的短期应收款项和应付款项的现</w:t>
      </w:r>
      <w:r>
        <w:rPr>
          <w:spacing w:val="-88"/>
        </w:rPr>
        <w:t> </w:t>
      </w:r>
      <w:r>
        <w:rPr>
          <w:spacing w:val="-88"/>
        </w:rPr>
      </w:r>
      <w:r>
        <w:rPr/>
        <w:t>值与实际交易价格相差很小的，按照实际交易价格计量。</w:t>
      </w:r>
    </w:p>
    <w:p>
      <w:pPr>
        <w:pStyle w:val="BodyText"/>
        <w:spacing w:line="240" w:lineRule="auto" w:before="103"/>
        <w:ind w:left="560" w:right="150"/>
        <w:jc w:val="left"/>
        <w:rPr>
          <w:rFonts w:ascii="黑体" w:hAnsi="黑体" w:cs="黑体" w:eastAsia="黑体" w:hint="default"/>
        </w:rPr>
      </w:pPr>
      <w:r>
        <w:rPr>
          <w:rFonts w:ascii="Times New Roman" w:hAnsi="Times New Roman" w:cs="Times New Roman" w:eastAsia="Times New Roman" w:hint="default"/>
        </w:rPr>
        <w:t>e) </w:t>
      </w:r>
      <w:r>
        <w:rPr>
          <w:rFonts w:ascii="Times New Roman" w:hAnsi="Times New Roman" w:cs="Times New Roman" w:eastAsia="Times New Roman" w:hint="default"/>
          <w:spacing w:val="30"/>
        </w:rPr>
        <w:t> </w:t>
      </w:r>
      <w:r>
        <w:rPr>
          <w:rFonts w:ascii="黑体" w:hAnsi="黑体" w:cs="黑体" w:eastAsia="黑体" w:hint="default"/>
        </w:rPr>
        <w:t>金融资产的减值</w:t>
      </w:r>
    </w:p>
    <w:p>
      <w:pPr>
        <w:spacing w:line="240" w:lineRule="auto" w:before="10"/>
        <w:rPr>
          <w:rFonts w:ascii="黑体" w:hAnsi="黑体" w:cs="黑体" w:eastAsia="黑体" w:hint="default"/>
          <w:sz w:val="16"/>
          <w:szCs w:val="16"/>
        </w:rPr>
      </w:pPr>
    </w:p>
    <w:p>
      <w:pPr>
        <w:pStyle w:val="BodyText"/>
        <w:spacing w:line="403" w:lineRule="auto"/>
        <w:ind w:left="140" w:right="153" w:firstLine="420"/>
        <w:jc w:val="both"/>
      </w:pPr>
      <w:r>
        <w:rPr>
          <w:spacing w:val="2"/>
        </w:rPr>
        <w:t>资产负债表日对以公允价值计量且变动计入当期损益金融资产以外的的金融资产的帐面 </w:t>
      </w:r>
      <w:r>
        <w:rPr/>
        <w:t>价值进行检查，有客观证据表明该金融资产其发生了减值的，计提减值准备。</w:t>
      </w:r>
    </w:p>
    <w:p>
      <w:pPr>
        <w:pStyle w:val="BodyText"/>
        <w:spacing w:line="240" w:lineRule="auto" w:before="92"/>
        <w:ind w:left="560" w:right="15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）持有至到期投资</w:t>
      </w:r>
    </w:p>
    <w:p>
      <w:pPr>
        <w:spacing w:after="0" w:line="240" w:lineRule="auto"/>
        <w:jc w:val="left"/>
        <w:rPr>
          <w:rFonts w:ascii="黑体" w:hAnsi="黑体" w:cs="黑体" w:eastAsia="黑体" w:hint="default"/>
        </w:rPr>
        <w:sectPr>
          <w:pgSz w:w="11910" w:h="16840"/>
          <w:pgMar w:header="963" w:footer="893" w:top="1200" w:bottom="1080" w:left="1560" w:right="1540"/>
        </w:sectPr>
      </w:pPr>
    </w:p>
    <w:p>
      <w:pPr>
        <w:spacing w:line="240" w:lineRule="auto" w:before="5"/>
        <w:rPr>
          <w:rFonts w:ascii="黑体" w:hAnsi="黑体" w:cs="黑体" w:eastAsia="黑体" w:hint="default"/>
          <w:sz w:val="23"/>
          <w:szCs w:val="23"/>
        </w:rPr>
      </w:pPr>
    </w:p>
    <w:p>
      <w:pPr>
        <w:pStyle w:val="BodyText"/>
        <w:spacing w:line="400" w:lineRule="auto" w:before="35"/>
        <w:ind w:left="221" w:right="230" w:firstLine="420"/>
        <w:jc w:val="left"/>
      </w:pPr>
      <w:r>
        <w:rPr>
          <w:spacing w:val="-3"/>
        </w:rPr>
        <w:t>资产负债表日有客观证据表明其发生了减值，根据期末账面价值与预计未来现金流量现值</w:t>
      </w:r>
      <w:r>
        <w:rPr/>
        <w:t> 之间的差额确认为减值损失，计入当期损益。</w:t>
      </w:r>
    </w:p>
    <w:p>
      <w:pPr>
        <w:pStyle w:val="BodyText"/>
        <w:spacing w:line="240" w:lineRule="auto" w:before="94"/>
        <w:ind w:left="641" w:right="23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2</w:t>
      </w:r>
      <w:r>
        <w:rPr>
          <w:rFonts w:ascii="黑体" w:hAnsi="黑体" w:cs="黑体" w:eastAsia="黑体" w:hint="default"/>
        </w:rPr>
        <w:t>）可供出售金融资产</w:t>
      </w:r>
    </w:p>
    <w:p>
      <w:pPr>
        <w:spacing w:line="240" w:lineRule="auto" w:before="10"/>
        <w:rPr>
          <w:rFonts w:ascii="黑体" w:hAnsi="黑体" w:cs="黑体" w:eastAsia="黑体" w:hint="default"/>
          <w:sz w:val="16"/>
          <w:szCs w:val="16"/>
        </w:rPr>
      </w:pPr>
    </w:p>
    <w:p>
      <w:pPr>
        <w:pStyle w:val="BodyText"/>
        <w:spacing w:line="400" w:lineRule="auto"/>
        <w:ind w:left="221" w:right="236" w:firstLine="420"/>
        <w:jc w:val="both"/>
      </w:pPr>
      <w:r>
        <w:rPr>
          <w:spacing w:val="-3"/>
        </w:rPr>
        <w:t>资产负债表日，公司对可供出售金融资产的减值情况进行分析，如果可供出售金融资产的</w:t>
      </w:r>
      <w:r>
        <w:rPr/>
        <w:t> </w:t>
      </w:r>
      <w:r>
        <w:rPr>
          <w:spacing w:val="-3"/>
        </w:rPr>
        <w:t>公允价值发生较大幅度下降，或在综合考虑各种相关因素后，预期这种下降趋势属于非暂时性</w:t>
      </w:r>
      <w:r>
        <w:rPr>
          <w:spacing w:val="-88"/>
        </w:rPr>
        <w:t> </w:t>
      </w:r>
      <w:r>
        <w:rPr>
          <w:spacing w:val="-88"/>
        </w:rPr>
      </w:r>
      <w:r>
        <w:rPr/>
        <w:t>的，则按其预计未来现金流量现值低于其账面价值的差额，计提减值准备。</w:t>
      </w:r>
    </w:p>
    <w:p>
      <w:pPr>
        <w:pStyle w:val="BodyText"/>
        <w:spacing w:line="400" w:lineRule="auto" w:before="94"/>
        <w:ind w:left="221" w:right="230" w:firstLine="420"/>
        <w:jc w:val="left"/>
      </w:pPr>
      <w:r>
        <w:rPr>
          <w:spacing w:val="-3"/>
        </w:rPr>
        <w:t>可供出售金融资产发生减值时，将原直接计入所有者权益的公允价值下降形成的的累计损</w:t>
      </w:r>
      <w:r>
        <w:rPr/>
        <w:t> 失一并转出，确认减值损失，计提减值准备。</w:t>
      </w:r>
    </w:p>
    <w:p>
      <w:pPr>
        <w:pStyle w:val="BodyText"/>
        <w:spacing w:line="240" w:lineRule="auto" w:before="164"/>
        <w:ind w:left="641" w:right="230"/>
        <w:jc w:val="left"/>
        <w:rPr>
          <w:rFonts w:ascii="黑体" w:hAnsi="黑体" w:cs="黑体" w:eastAsia="黑体" w:hint="default"/>
        </w:rPr>
      </w:pPr>
      <w:r>
        <w:rPr>
          <w:rFonts w:ascii="黑体" w:hAnsi="黑体" w:cs="黑体" w:eastAsia="黑体" w:hint="default"/>
        </w:rPr>
        <w:t>（十）</w:t>
      </w:r>
      <w:r>
        <w:rPr>
          <w:rFonts w:ascii="黑体" w:hAnsi="黑体" w:cs="黑体" w:eastAsia="黑体" w:hint="default"/>
          <w:spacing w:val="-75"/>
        </w:rPr>
        <w:t> </w:t>
      </w:r>
      <w:r>
        <w:rPr>
          <w:rFonts w:ascii="黑体" w:hAnsi="黑体" w:cs="黑体" w:eastAsia="黑体" w:hint="default"/>
        </w:rPr>
        <w:t>应收款项</w:t>
      </w:r>
    </w:p>
    <w:p>
      <w:pPr>
        <w:spacing w:line="240" w:lineRule="auto" w:before="4"/>
        <w:rPr>
          <w:rFonts w:ascii="黑体" w:hAnsi="黑体" w:cs="黑体" w:eastAsia="黑体" w:hint="default"/>
          <w:sz w:val="23"/>
          <w:szCs w:val="23"/>
        </w:rPr>
      </w:pPr>
    </w:p>
    <w:p>
      <w:pPr>
        <w:pStyle w:val="BodyText"/>
        <w:spacing w:line="491" w:lineRule="auto"/>
        <w:ind w:left="641" w:right="220" w:firstLine="421"/>
        <w:jc w:val="left"/>
      </w:pPr>
      <w:r>
        <w:rPr/>
        <w:t>本公司对应收款项按以下方法计提坏账准备： </w:t>
      </w:r>
      <w:r>
        <w:rPr>
          <w:rFonts w:ascii="Times New Roman" w:hAnsi="Times New Roman" w:cs="Times New Roman" w:eastAsia="Times New Roman" w:hint="default"/>
        </w:rPr>
        <w:t>1</w:t>
      </w:r>
      <w:r>
        <w:rPr>
          <w:rFonts w:ascii="黑体" w:hAnsi="黑体" w:cs="黑体" w:eastAsia="黑体" w:hint="default"/>
        </w:rPr>
        <w:t>．单项金额重大并单项计提坏账准备的应收款项 </w:t>
      </w:r>
      <w:r>
        <w:rPr>
          <w:spacing w:val="-3"/>
        </w:rPr>
        <w:t>单项金额重大的判断依据或金额标准：是指期末余额在 </w:t>
      </w:r>
      <w:r>
        <w:rPr/>
        <w:t>500</w:t>
      </w:r>
      <w:r>
        <w:rPr>
          <w:spacing w:val="-72"/>
        </w:rPr>
        <w:t> </w:t>
      </w:r>
      <w:r>
        <w:rPr>
          <w:spacing w:val="-5"/>
        </w:rPr>
        <w:t>万元及以上、账龄在一年以上</w:t>
      </w:r>
    </w:p>
    <w:p>
      <w:pPr>
        <w:pStyle w:val="BodyText"/>
        <w:spacing w:line="240" w:lineRule="exact"/>
        <w:ind w:left="221" w:right="230"/>
        <w:jc w:val="left"/>
      </w:pPr>
      <w:r>
        <w:rPr/>
        <w:t>的应收账款和其他应收款</w:t>
      </w:r>
    </w:p>
    <w:p>
      <w:pPr>
        <w:spacing w:line="240" w:lineRule="auto" w:before="4"/>
        <w:rPr>
          <w:rFonts w:ascii="宋体" w:hAnsi="宋体" w:cs="宋体" w:eastAsia="宋体" w:hint="default"/>
          <w:sz w:val="23"/>
          <w:szCs w:val="23"/>
        </w:rPr>
      </w:pPr>
    </w:p>
    <w:p>
      <w:pPr>
        <w:pStyle w:val="BodyText"/>
        <w:spacing w:line="400" w:lineRule="auto"/>
        <w:ind w:left="221" w:right="129" w:firstLine="420"/>
        <w:jc w:val="both"/>
      </w:pPr>
      <w:r>
        <w:rPr>
          <w:spacing w:val="-3"/>
        </w:rPr>
        <w:t>单项金额重大并单项计提坏账准备的计提方法：对单项金额重大的应收款项单独进行减值</w:t>
      </w:r>
      <w:r>
        <w:rPr/>
        <w:t> </w:t>
      </w:r>
      <w:r>
        <w:rPr>
          <w:spacing w:val="-3"/>
        </w:rPr>
        <w:t>测试，如有客观证据表明其发生了减值的，根据其预计未来现金流量（不包括尚未发生的未来</w:t>
      </w:r>
      <w:r>
        <w:rPr>
          <w:spacing w:val="-87"/>
        </w:rPr>
        <w:t> </w:t>
      </w:r>
      <w:r>
        <w:rPr>
          <w:spacing w:val="-87"/>
        </w:rPr>
      </w:r>
      <w:r>
        <w:rPr>
          <w:spacing w:val="-5"/>
        </w:rPr>
        <w:t>信用损失）按原实际利率折现的现值低于其账面价值的差额，确认为减值损失，计入当期损益。</w:t>
      </w:r>
    </w:p>
    <w:p>
      <w:pPr>
        <w:pStyle w:val="BodyText"/>
        <w:spacing w:line="240" w:lineRule="auto" w:before="164"/>
        <w:ind w:left="641" w:right="23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．按组合计提坏账准备应收款项</w:t>
      </w:r>
    </w:p>
    <w:p>
      <w:pPr>
        <w:spacing w:line="240" w:lineRule="auto" w:before="1"/>
        <w:rPr>
          <w:rFonts w:ascii="黑体" w:hAnsi="黑体" w:cs="黑体" w:eastAsia="黑体" w:hint="default"/>
          <w:sz w:val="22"/>
          <w:szCs w:val="22"/>
        </w:rPr>
      </w:pPr>
    </w:p>
    <w:p>
      <w:pPr>
        <w:pStyle w:val="BodyText"/>
        <w:spacing w:line="240" w:lineRule="auto"/>
        <w:ind w:left="641" w:right="230"/>
        <w:jc w:val="left"/>
      </w:pPr>
      <w:r>
        <w:rPr/>
        <w:t>组合中，采用账龄分析法计提坏账准备的：</w:t>
      </w:r>
    </w:p>
    <w:p>
      <w:pPr>
        <w:spacing w:line="240" w:lineRule="auto" w:before="12"/>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628"/>
        <w:gridCol w:w="2880"/>
        <w:gridCol w:w="3214"/>
      </w:tblGrid>
      <w:tr>
        <w:trPr>
          <w:trHeight w:val="412" w:hRule="exact"/>
        </w:trPr>
        <w:tc>
          <w:tcPr>
            <w:tcW w:w="2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21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10"/>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15" w:hRule="exact"/>
        </w:trPr>
        <w:tc>
          <w:tcPr>
            <w:tcW w:w="2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
              <w:jc w:val="center"/>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5</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3"/>
              <w:jc w:val="center"/>
              <w:rPr>
                <w:rFonts w:ascii="Times New Roman" w:hAnsi="Times New Roman" w:cs="Times New Roman" w:eastAsia="Times New Roman" w:hint="default"/>
                <w:sz w:val="18"/>
                <w:szCs w:val="18"/>
              </w:rPr>
            </w:pPr>
            <w:r>
              <w:rPr>
                <w:rFonts w:ascii="Times New Roman"/>
                <w:sz w:val="18"/>
              </w:rPr>
              <w:t>5</w:t>
            </w:r>
          </w:p>
        </w:tc>
      </w:tr>
      <w:tr>
        <w:trPr>
          <w:trHeight w:val="415" w:hRule="exact"/>
        </w:trPr>
        <w:tc>
          <w:tcPr>
            <w:tcW w:w="2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10</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
              <w:jc w:val="center"/>
              <w:rPr>
                <w:rFonts w:ascii="Times New Roman" w:hAnsi="Times New Roman" w:cs="Times New Roman" w:eastAsia="Times New Roman" w:hint="default"/>
                <w:sz w:val="18"/>
                <w:szCs w:val="18"/>
              </w:rPr>
            </w:pPr>
            <w:r>
              <w:rPr>
                <w:rFonts w:ascii="Times New Roman"/>
                <w:sz w:val="18"/>
              </w:rPr>
              <w:t>10</w:t>
            </w:r>
          </w:p>
        </w:tc>
      </w:tr>
      <w:tr>
        <w:trPr>
          <w:trHeight w:val="415" w:hRule="exact"/>
        </w:trPr>
        <w:tc>
          <w:tcPr>
            <w:tcW w:w="2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30</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
              <w:jc w:val="center"/>
              <w:rPr>
                <w:rFonts w:ascii="Times New Roman" w:hAnsi="Times New Roman" w:cs="Times New Roman" w:eastAsia="Times New Roman" w:hint="default"/>
                <w:sz w:val="18"/>
                <w:szCs w:val="18"/>
              </w:rPr>
            </w:pPr>
            <w:r>
              <w:rPr>
                <w:rFonts w:ascii="Times New Roman"/>
                <w:sz w:val="18"/>
              </w:rPr>
              <w:t>30</w:t>
            </w:r>
          </w:p>
        </w:tc>
      </w:tr>
      <w:tr>
        <w:trPr>
          <w:trHeight w:val="414" w:hRule="exact"/>
        </w:trPr>
        <w:tc>
          <w:tcPr>
            <w:tcW w:w="2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50</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
              <w:jc w:val="center"/>
              <w:rPr>
                <w:rFonts w:ascii="Times New Roman" w:hAnsi="Times New Roman" w:cs="Times New Roman" w:eastAsia="Times New Roman" w:hint="default"/>
                <w:sz w:val="18"/>
                <w:szCs w:val="18"/>
              </w:rPr>
            </w:pPr>
            <w:r>
              <w:rPr>
                <w:rFonts w:ascii="Times New Roman"/>
                <w:sz w:val="18"/>
              </w:rPr>
              <w:t>50</w:t>
            </w:r>
          </w:p>
        </w:tc>
      </w:tr>
      <w:tr>
        <w:trPr>
          <w:trHeight w:val="415" w:hRule="exact"/>
        </w:trPr>
        <w:tc>
          <w:tcPr>
            <w:tcW w:w="2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70</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
              <w:jc w:val="center"/>
              <w:rPr>
                <w:rFonts w:ascii="Times New Roman" w:hAnsi="Times New Roman" w:cs="Times New Roman" w:eastAsia="Times New Roman" w:hint="default"/>
                <w:sz w:val="18"/>
                <w:szCs w:val="18"/>
              </w:rPr>
            </w:pPr>
            <w:r>
              <w:rPr>
                <w:rFonts w:ascii="Times New Roman"/>
                <w:sz w:val="18"/>
              </w:rPr>
              <w:t>70</w:t>
            </w:r>
          </w:p>
        </w:tc>
      </w:tr>
      <w:tr>
        <w:trPr>
          <w:trHeight w:val="413" w:hRule="exact"/>
        </w:trPr>
        <w:tc>
          <w:tcPr>
            <w:tcW w:w="2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100</w:t>
            </w:r>
          </w:p>
        </w:tc>
        <w:tc>
          <w:tcPr>
            <w:tcW w:w="321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3"/>
              <w:ind w:right="3"/>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2"/>
        <w:rPr>
          <w:rFonts w:ascii="宋体" w:hAnsi="宋体" w:cs="宋体" w:eastAsia="宋体" w:hint="default"/>
          <w:sz w:val="15"/>
          <w:szCs w:val="15"/>
        </w:rPr>
      </w:pPr>
    </w:p>
    <w:p>
      <w:pPr>
        <w:pStyle w:val="BodyText"/>
        <w:spacing w:line="240" w:lineRule="auto" w:before="35"/>
        <w:ind w:left="641" w:right="230"/>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．单项金额虽不重大但单项计提坏账准备的应收账款</w:t>
      </w:r>
    </w:p>
    <w:p>
      <w:pPr>
        <w:spacing w:line="240" w:lineRule="auto" w:before="1"/>
        <w:rPr>
          <w:rFonts w:ascii="黑体" w:hAnsi="黑体" w:cs="黑体" w:eastAsia="黑体" w:hint="default"/>
          <w:sz w:val="22"/>
          <w:szCs w:val="22"/>
        </w:rPr>
      </w:pPr>
    </w:p>
    <w:p>
      <w:pPr>
        <w:pStyle w:val="BodyText"/>
        <w:spacing w:line="240" w:lineRule="auto"/>
        <w:ind w:left="641" w:right="0"/>
        <w:jc w:val="left"/>
      </w:pPr>
      <w:r>
        <w:rPr/>
        <w:t>单项计提坏账准备的理由；是指期末余额在</w:t>
      </w:r>
      <w:r>
        <w:rPr>
          <w:spacing w:val="-7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8"/>
        </w:rPr>
        <w:t> </w:t>
      </w:r>
      <w:r>
        <w:rPr>
          <w:spacing w:val="-4"/>
        </w:rPr>
        <w:t>万元以下，债务人违反了合同条款，违约</w:t>
      </w:r>
    </w:p>
    <w:p>
      <w:pPr>
        <w:spacing w:after="0" w:line="240" w:lineRule="auto"/>
        <w:jc w:val="left"/>
        <w:sectPr>
          <w:pgSz w:w="11910" w:h="16840"/>
          <w:pgMar w:header="963" w:footer="893" w:top="1200" w:bottom="1080" w:left="1480" w:right="1460"/>
        </w:sectPr>
      </w:pPr>
    </w:p>
    <w:p>
      <w:pPr>
        <w:spacing w:line="240" w:lineRule="auto" w:before="5"/>
        <w:rPr>
          <w:rFonts w:ascii="宋体" w:hAnsi="宋体" w:cs="宋体" w:eastAsia="宋体" w:hint="default"/>
          <w:sz w:val="23"/>
          <w:szCs w:val="23"/>
        </w:rPr>
      </w:pPr>
    </w:p>
    <w:p>
      <w:pPr>
        <w:pStyle w:val="BodyText"/>
        <w:spacing w:line="420" w:lineRule="auto" w:before="35"/>
        <w:ind w:right="150" w:hanging="420"/>
        <w:jc w:val="left"/>
      </w:pPr>
      <w:r>
        <w:rPr/>
        <w:t>偿付欠款，账龄在</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年以上的应收账款和其他应收款。 </w:t>
      </w:r>
      <w:r>
        <w:rPr>
          <w:spacing w:val="-3"/>
        </w:rPr>
        <w:t>坏账准备的计提方法：资产负债表日，公司对单项金额不重大但单项计提坏账准备的应收</w:t>
      </w:r>
    </w:p>
    <w:p>
      <w:pPr>
        <w:pStyle w:val="BodyText"/>
        <w:spacing w:line="400" w:lineRule="auto" w:before="27"/>
        <w:ind w:left="141" w:right="150"/>
        <w:jc w:val="left"/>
      </w:pPr>
      <w:r>
        <w:rPr>
          <w:spacing w:val="-3"/>
        </w:rPr>
        <w:t>款项，根据其预计未来现金流量（不包括尚未发生的未来信用损失）按原实际利率折现的现值</w:t>
      </w:r>
      <w:r>
        <w:rPr>
          <w:spacing w:val="-87"/>
        </w:rPr>
        <w:t> </w:t>
      </w:r>
      <w:r>
        <w:rPr>
          <w:spacing w:val="-87"/>
        </w:rPr>
      </w:r>
      <w:r>
        <w:rPr/>
        <w:t>低于其账面价值的差额，确认为减值损失，计入当期损益。</w:t>
      </w:r>
    </w:p>
    <w:p>
      <w:pPr>
        <w:pStyle w:val="BodyText"/>
        <w:spacing w:line="240" w:lineRule="auto" w:before="165"/>
        <w:ind w:right="150"/>
        <w:jc w:val="left"/>
        <w:rPr>
          <w:rFonts w:ascii="黑体" w:hAnsi="黑体" w:cs="黑体" w:eastAsia="黑体" w:hint="default"/>
        </w:rPr>
      </w:pPr>
      <w:r>
        <w:rPr>
          <w:rFonts w:ascii="黑体" w:hAnsi="黑体" w:cs="黑体" w:eastAsia="黑体" w:hint="default"/>
        </w:rPr>
        <w:t>（十一）存货</w:t>
      </w:r>
    </w:p>
    <w:p>
      <w:pPr>
        <w:spacing w:line="240" w:lineRule="auto" w:before="13"/>
        <w:rPr>
          <w:rFonts w:ascii="黑体" w:hAnsi="黑体" w:cs="黑体" w:eastAsia="黑体" w:hint="default"/>
          <w:sz w:val="17"/>
          <w:szCs w:val="17"/>
        </w:rPr>
      </w:pPr>
    </w:p>
    <w:p>
      <w:pPr>
        <w:pStyle w:val="BodyText"/>
        <w:spacing w:line="240" w:lineRule="auto"/>
        <w:ind w:right="15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．存货的分类</w:t>
      </w:r>
    </w:p>
    <w:p>
      <w:pPr>
        <w:spacing w:line="240" w:lineRule="auto" w:before="10"/>
        <w:rPr>
          <w:rFonts w:ascii="黑体" w:hAnsi="黑体" w:cs="黑体" w:eastAsia="黑体" w:hint="default"/>
          <w:sz w:val="16"/>
          <w:szCs w:val="16"/>
        </w:rPr>
      </w:pPr>
    </w:p>
    <w:p>
      <w:pPr>
        <w:pStyle w:val="BodyText"/>
        <w:spacing w:line="400" w:lineRule="auto"/>
        <w:ind w:left="141" w:right="150" w:firstLine="420"/>
        <w:jc w:val="left"/>
      </w:pPr>
      <w:r>
        <w:rPr>
          <w:spacing w:val="-3"/>
        </w:rPr>
        <w:t>存货分为原材料、在产品、库存商品、生产成本、低值易耗品、消耗性生物资产、在建开</w:t>
      </w:r>
      <w:r>
        <w:rPr/>
        <w:t> 发成本、完工开发产品等。</w:t>
      </w:r>
    </w:p>
    <w:p>
      <w:pPr>
        <w:pStyle w:val="BodyText"/>
        <w:spacing w:line="240" w:lineRule="auto" w:before="94"/>
        <w:ind w:right="15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．发出存货的计价方法</w:t>
      </w:r>
    </w:p>
    <w:p>
      <w:pPr>
        <w:spacing w:line="240" w:lineRule="auto" w:before="9"/>
        <w:rPr>
          <w:rFonts w:ascii="黑体" w:hAnsi="黑体" w:cs="黑体" w:eastAsia="黑体" w:hint="default"/>
          <w:sz w:val="26"/>
          <w:szCs w:val="26"/>
        </w:rPr>
      </w:pPr>
    </w:p>
    <w:p>
      <w:pPr>
        <w:pStyle w:val="BodyText"/>
        <w:spacing w:line="240" w:lineRule="auto"/>
        <w:ind w:right="150"/>
        <w:jc w:val="left"/>
      </w:pPr>
      <w:r>
        <w:rPr/>
        <w:t>发出存货按加权平均法。</w:t>
      </w:r>
    </w:p>
    <w:p>
      <w:pPr>
        <w:spacing w:line="240" w:lineRule="auto" w:before="5"/>
        <w:rPr>
          <w:rFonts w:ascii="宋体" w:hAnsi="宋体" w:cs="宋体" w:eastAsia="宋体" w:hint="default"/>
          <w:sz w:val="23"/>
          <w:szCs w:val="23"/>
        </w:rPr>
      </w:pPr>
    </w:p>
    <w:p>
      <w:pPr>
        <w:pStyle w:val="BodyText"/>
        <w:spacing w:line="240" w:lineRule="auto"/>
        <w:ind w:right="150"/>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．存货可变现净值的确定依据及存货跌价准备的计提方法</w:t>
      </w:r>
    </w:p>
    <w:p>
      <w:pPr>
        <w:spacing w:line="240" w:lineRule="auto" w:before="10"/>
        <w:rPr>
          <w:rFonts w:ascii="黑体" w:hAnsi="黑体" w:cs="黑体" w:eastAsia="黑体" w:hint="default"/>
          <w:sz w:val="16"/>
          <w:szCs w:val="16"/>
        </w:rPr>
      </w:pPr>
    </w:p>
    <w:p>
      <w:pPr>
        <w:pStyle w:val="BodyText"/>
        <w:spacing w:line="400" w:lineRule="auto"/>
        <w:ind w:left="141" w:right="155" w:firstLine="420"/>
        <w:jc w:val="both"/>
      </w:pPr>
      <w:r>
        <w:rPr>
          <w:spacing w:val="-3"/>
        </w:rPr>
        <w:t>存货可变现净值的确定：产成品、商品和用于出售的材料等直接用于出售的商品存货，以</w:t>
      </w:r>
      <w:r>
        <w:rPr/>
        <w:t> </w:t>
      </w:r>
      <w:r>
        <w:rPr>
          <w:spacing w:val="-3"/>
        </w:rPr>
        <w:t>该存货的估计售价减去估计的销售费用和相关税费后的金额，确定其可变现净值；需要经过加</w:t>
      </w:r>
      <w:r>
        <w:rPr>
          <w:spacing w:val="-88"/>
        </w:rPr>
        <w:t> </w:t>
      </w:r>
      <w:r>
        <w:rPr>
          <w:spacing w:val="-88"/>
        </w:rPr>
      </w:r>
      <w:r>
        <w:rPr>
          <w:spacing w:val="-3"/>
        </w:rPr>
        <w:t>工的材料存货，以所生产的产品的估计售价减去至完工时估计将要发生的成本、估计的销售费</w:t>
      </w:r>
      <w:r>
        <w:rPr>
          <w:spacing w:val="-88"/>
        </w:rPr>
        <w:t> </w:t>
      </w:r>
      <w:r>
        <w:rPr>
          <w:spacing w:val="-88"/>
        </w:rPr>
      </w:r>
      <w:r>
        <w:rPr/>
        <w:t>用和相关税费后的金额，确定其可变现净值。</w:t>
      </w:r>
    </w:p>
    <w:p>
      <w:pPr>
        <w:pStyle w:val="BodyText"/>
        <w:spacing w:line="400" w:lineRule="auto" w:before="94"/>
        <w:ind w:left="141" w:right="155" w:firstLine="420"/>
        <w:jc w:val="both"/>
      </w:pPr>
      <w:r>
        <w:rPr>
          <w:spacing w:val="-3"/>
        </w:rPr>
        <w:t>存货跌价准备的计提方法：资产负债表日，按单个存货可变现净值低于账面价值的差额计</w:t>
      </w:r>
      <w:r>
        <w:rPr/>
        <w:t> </w:t>
      </w:r>
      <w:r>
        <w:rPr>
          <w:spacing w:val="-3"/>
        </w:rPr>
        <w:t>提存货跌价准备，计入当期损益。确定存货的可变现净值时，以资产负债表日取得最可靠的证</w:t>
      </w:r>
      <w:r>
        <w:rPr>
          <w:spacing w:val="-87"/>
        </w:rPr>
        <w:t> </w:t>
      </w:r>
      <w:r>
        <w:rPr>
          <w:spacing w:val="-87"/>
        </w:rPr>
      </w:r>
      <w:r>
        <w:rPr>
          <w:spacing w:val="-3"/>
        </w:rPr>
        <w:t>据估计的售价为基础并考虑持有存货的目的，资产负债表日至财务报告批准报出日之间存货售</w:t>
      </w:r>
      <w:r>
        <w:rPr>
          <w:spacing w:val="-89"/>
        </w:rPr>
        <w:t> </w:t>
      </w:r>
      <w:r>
        <w:rPr>
          <w:spacing w:val="-89"/>
        </w:rPr>
      </w:r>
      <w:r>
        <w:rPr>
          <w:spacing w:val="-3"/>
        </w:rPr>
        <w:t>价发生波动的，如有确凿证据表明其对资产负债表日存货已经存在的情况提供了新的或进一步</w:t>
      </w:r>
      <w:r>
        <w:rPr>
          <w:spacing w:val="-89"/>
        </w:rPr>
        <w:t> </w:t>
      </w:r>
      <w:r>
        <w:rPr>
          <w:spacing w:val="-89"/>
        </w:rPr>
      </w:r>
      <w:r>
        <w:rPr/>
        <w:t>的证据，作为调整事项进行处理；否则，作为非调整事项。</w:t>
      </w:r>
    </w:p>
    <w:p>
      <w:pPr>
        <w:pStyle w:val="BodyText"/>
        <w:spacing w:line="429" w:lineRule="auto" w:before="94"/>
        <w:ind w:right="4653"/>
        <w:jc w:val="left"/>
      </w:pPr>
      <w:r>
        <w:rPr>
          <w:rFonts w:ascii="Times New Roman" w:hAnsi="Times New Roman" w:cs="Times New Roman" w:eastAsia="Times New Roman" w:hint="default"/>
        </w:rPr>
        <w:t>4</w:t>
      </w:r>
      <w:r>
        <w:rPr>
          <w:rFonts w:ascii="黑体" w:hAnsi="黑体" w:cs="黑体" w:eastAsia="黑体" w:hint="default"/>
        </w:rPr>
        <w:t>．存货的盘存制度 </w:t>
      </w:r>
      <w:r>
        <w:rPr/>
        <w:t>本公司存货采用永续盘存法。 </w:t>
      </w:r>
      <w:r>
        <w:rPr>
          <w:rFonts w:ascii="Times New Roman" w:hAnsi="Times New Roman" w:cs="Times New Roman" w:eastAsia="Times New Roman" w:hint="default"/>
        </w:rPr>
        <w:t>5</w:t>
      </w:r>
      <w:r>
        <w:rPr>
          <w:rFonts w:ascii="黑体" w:hAnsi="黑体" w:cs="黑体" w:eastAsia="黑体" w:hint="default"/>
        </w:rPr>
        <w:t>．低值易耗品和包装物的摊销方法 </w:t>
      </w:r>
      <w:r>
        <w:rPr/>
        <w:t>低值易耗品和包装物领用时一次转销。</w:t>
      </w:r>
    </w:p>
    <w:p>
      <w:pPr>
        <w:pStyle w:val="BodyText"/>
        <w:spacing w:line="240" w:lineRule="auto" w:before="139"/>
        <w:ind w:right="150"/>
        <w:jc w:val="left"/>
        <w:rPr>
          <w:rFonts w:ascii="黑体" w:hAnsi="黑体" w:cs="黑体" w:eastAsia="黑体" w:hint="default"/>
        </w:rPr>
      </w:pPr>
      <w:r>
        <w:rPr>
          <w:rFonts w:ascii="黑体" w:hAnsi="黑体" w:cs="黑体" w:eastAsia="黑体" w:hint="default"/>
        </w:rPr>
        <w:t>（十二）长期股权投资</w:t>
      </w:r>
    </w:p>
    <w:p>
      <w:pPr>
        <w:spacing w:line="240" w:lineRule="auto" w:before="13"/>
        <w:rPr>
          <w:rFonts w:ascii="黑体" w:hAnsi="黑体" w:cs="黑体" w:eastAsia="黑体" w:hint="default"/>
          <w:sz w:val="17"/>
          <w:szCs w:val="17"/>
        </w:rPr>
      </w:pPr>
    </w:p>
    <w:p>
      <w:pPr>
        <w:pStyle w:val="BodyText"/>
        <w:spacing w:line="240" w:lineRule="auto"/>
        <w:ind w:right="150"/>
        <w:jc w:val="left"/>
        <w:rPr>
          <w:rFonts w:ascii="黑体" w:hAnsi="黑体" w:cs="黑体" w:eastAsia="黑体" w:hint="default"/>
        </w:rPr>
      </w:pPr>
      <w:r>
        <w:rPr>
          <w:rFonts w:ascii="Times New Roman" w:hAnsi="Times New Roman" w:cs="Times New Roman" w:eastAsia="Times New Roman" w:hint="default"/>
        </w:rPr>
        <w:t>1. </w:t>
      </w:r>
      <w:r>
        <w:rPr>
          <w:rFonts w:ascii="Times New Roman" w:hAnsi="Times New Roman" w:cs="Times New Roman" w:eastAsia="Times New Roman" w:hint="default"/>
          <w:spacing w:val="36"/>
        </w:rPr>
        <w:t> </w:t>
      </w:r>
      <w:r>
        <w:rPr>
          <w:rFonts w:ascii="黑体" w:hAnsi="黑体" w:cs="黑体" w:eastAsia="黑体" w:hint="default"/>
        </w:rPr>
        <w:t>长期股权投资分类</w:t>
      </w:r>
    </w:p>
    <w:p>
      <w:pPr>
        <w:spacing w:line="240" w:lineRule="auto" w:before="10"/>
        <w:rPr>
          <w:rFonts w:ascii="黑体" w:hAnsi="黑体" w:cs="黑体" w:eastAsia="黑体" w:hint="default"/>
          <w:sz w:val="16"/>
          <w:szCs w:val="16"/>
        </w:rPr>
      </w:pPr>
    </w:p>
    <w:p>
      <w:pPr>
        <w:pStyle w:val="BodyText"/>
        <w:spacing w:line="240" w:lineRule="auto"/>
        <w:ind w:right="0"/>
        <w:jc w:val="left"/>
      </w:pPr>
      <w:r>
        <w:rPr>
          <w:spacing w:val="-3"/>
        </w:rPr>
        <w:t>长期股权投资分为：对子公司长期股权投资、对合营企业长期股权投资、对联营企业长期</w:t>
      </w:r>
    </w:p>
    <w:p>
      <w:pPr>
        <w:spacing w:after="0" w:line="240" w:lineRule="auto"/>
        <w:jc w:val="left"/>
        <w:sectPr>
          <w:pgSz w:w="11910" w:h="16840"/>
          <w:pgMar w:header="963" w:footer="893" w:top="1200" w:bottom="1080" w:left="1560" w:right="1540"/>
        </w:sectPr>
      </w:pPr>
    </w:p>
    <w:p>
      <w:pPr>
        <w:spacing w:line="240" w:lineRule="auto" w:before="5"/>
        <w:rPr>
          <w:rFonts w:ascii="宋体" w:hAnsi="宋体" w:cs="宋体" w:eastAsia="宋体" w:hint="default"/>
          <w:sz w:val="23"/>
          <w:szCs w:val="23"/>
        </w:rPr>
      </w:pPr>
    </w:p>
    <w:p>
      <w:pPr>
        <w:pStyle w:val="BodyText"/>
        <w:spacing w:line="400" w:lineRule="auto" w:before="35"/>
        <w:ind w:left="141" w:right="216"/>
        <w:jc w:val="both"/>
      </w:pPr>
      <w:r>
        <w:rPr>
          <w:spacing w:val="-3"/>
        </w:rPr>
        <w:t>股权投资、对被投资单位不具有共同控制、重大影响，且在活跃市场中没有报价、公允价值不</w:t>
      </w:r>
      <w:r>
        <w:rPr>
          <w:spacing w:val="-90"/>
        </w:rPr>
        <w:t> </w:t>
      </w:r>
      <w:r>
        <w:rPr>
          <w:spacing w:val="-90"/>
        </w:rPr>
      </w:r>
      <w:r>
        <w:rPr>
          <w:spacing w:val="-4"/>
        </w:rPr>
        <w:t>能可靠计量的长期股权投资（以下简称</w:t>
      </w:r>
      <w:r>
        <w:rPr>
          <w:rFonts w:ascii="Times New Roman" w:hAnsi="Times New Roman" w:cs="Times New Roman" w:eastAsia="Times New Roman" w:hint="default"/>
          <w:spacing w:val="-4"/>
        </w:rPr>
        <w:t>“</w:t>
      </w:r>
      <w:r>
        <w:rPr>
          <w:spacing w:val="-4"/>
        </w:rPr>
        <w:t>其他股权投资</w:t>
      </w:r>
      <w:r>
        <w:rPr>
          <w:rFonts w:ascii="Times New Roman" w:hAnsi="Times New Roman" w:cs="Times New Roman" w:eastAsia="Times New Roman" w:hint="default"/>
          <w:spacing w:val="-4"/>
        </w:rPr>
        <w:t>”</w:t>
      </w:r>
      <w:r>
        <w:rPr>
          <w:spacing w:val="-4"/>
        </w:rPr>
        <w:t>）。</w:t>
      </w:r>
    </w:p>
    <w:p>
      <w:pPr>
        <w:pStyle w:val="BodyText"/>
        <w:spacing w:line="240" w:lineRule="auto" w:before="63"/>
        <w:ind w:right="0"/>
        <w:jc w:val="left"/>
        <w:rPr>
          <w:rFonts w:ascii="黑体" w:hAnsi="黑体" w:cs="黑体" w:eastAsia="黑体" w:hint="default"/>
        </w:rPr>
      </w:pPr>
      <w:r>
        <w:rPr>
          <w:rFonts w:ascii="Times New Roman" w:hAnsi="Times New Roman" w:cs="Times New Roman" w:eastAsia="Times New Roman" w:hint="default"/>
        </w:rPr>
        <w:t>2. </w:t>
      </w:r>
      <w:r>
        <w:rPr>
          <w:rFonts w:ascii="Times New Roman" w:hAnsi="Times New Roman" w:cs="Times New Roman" w:eastAsia="Times New Roman" w:hint="default"/>
          <w:spacing w:val="36"/>
        </w:rPr>
        <w:t> </w:t>
      </w:r>
      <w:r>
        <w:rPr>
          <w:rFonts w:ascii="黑体" w:hAnsi="黑体" w:cs="黑体" w:eastAsia="黑体" w:hint="default"/>
        </w:rPr>
        <w:t>长期股权投资的投资成本的确定</w:t>
      </w:r>
    </w:p>
    <w:p>
      <w:pPr>
        <w:spacing w:line="240" w:lineRule="auto" w:before="10"/>
        <w:rPr>
          <w:rFonts w:ascii="黑体" w:hAnsi="黑体" w:cs="黑体" w:eastAsia="黑体" w:hint="default"/>
          <w:sz w:val="16"/>
          <w:szCs w:val="16"/>
        </w:rPr>
      </w:pPr>
    </w:p>
    <w:p>
      <w:pPr>
        <w:pStyle w:val="BodyText"/>
        <w:spacing w:line="240" w:lineRule="auto"/>
        <w:ind w:right="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）企业合并形成的长期股权投资</w:t>
      </w:r>
    </w:p>
    <w:p>
      <w:pPr>
        <w:spacing w:line="240" w:lineRule="auto" w:before="10"/>
        <w:rPr>
          <w:rFonts w:ascii="黑体" w:hAnsi="黑体" w:cs="黑体" w:eastAsia="黑体" w:hint="default"/>
          <w:sz w:val="16"/>
          <w:szCs w:val="16"/>
        </w:rPr>
      </w:pPr>
    </w:p>
    <w:p>
      <w:pPr>
        <w:pStyle w:val="BodyText"/>
        <w:spacing w:line="400" w:lineRule="auto"/>
        <w:ind w:left="141" w:right="110" w:firstLine="420"/>
        <w:jc w:val="both"/>
      </w:pPr>
      <w:r>
        <w:rPr>
          <w:spacing w:val="-3"/>
        </w:rPr>
        <w:t>同一控制下的企业合并形成的对子公司的长期股权投资，按照取得被合并方所有者权益账</w:t>
      </w:r>
      <w:r>
        <w:rPr/>
        <w:t> </w:t>
      </w:r>
      <w:r>
        <w:rPr>
          <w:spacing w:val="-3"/>
        </w:rPr>
        <w:t>面价值的份额作为长期股权投资的投资成本，长期股权投资的投资成本与支付对价的帐面价值</w:t>
      </w:r>
      <w:r>
        <w:rPr>
          <w:spacing w:val="-89"/>
        </w:rPr>
        <w:t> </w:t>
      </w:r>
      <w:r>
        <w:rPr>
          <w:spacing w:val="-89"/>
        </w:rPr>
      </w:r>
      <w:r>
        <w:rPr>
          <w:spacing w:val="-3"/>
        </w:rPr>
        <w:t>的差额，调整资本公积中的股本溢价（或资本溢价）；资本公积中股本溢价（或资本溢价）不</w:t>
      </w:r>
      <w:r>
        <w:rPr>
          <w:spacing w:val="-89"/>
        </w:rPr>
        <w:t> </w:t>
      </w:r>
      <w:r>
        <w:rPr>
          <w:spacing w:val="-89"/>
        </w:rPr>
      </w:r>
      <w:r>
        <w:rPr/>
        <w:t>足冲减时，调整留存收益。为进行企业合并发生的各项直接相关费用于发生时计入当期损益；</w:t>
      </w:r>
    </w:p>
    <w:p>
      <w:pPr>
        <w:pStyle w:val="BodyText"/>
        <w:spacing w:line="400" w:lineRule="auto" w:before="94"/>
        <w:ind w:left="141" w:right="93" w:firstLine="420"/>
        <w:jc w:val="left"/>
      </w:pPr>
      <w:r>
        <w:rPr>
          <w:spacing w:val="-3"/>
        </w:rPr>
        <w:t>非同一控制下的企业合并形成的对子公司的长期股权投资，按照取得对被购买方的控制权</w:t>
      </w:r>
      <w:r>
        <w:rPr/>
        <w:t> </w:t>
      </w:r>
      <w:r>
        <w:rPr>
          <w:spacing w:val="-3"/>
        </w:rPr>
        <w:t>而付出的资产、发生或承担的负债以及发行的权益性证券的公允价值作为长期股权投资的投资</w:t>
      </w:r>
      <w:r>
        <w:rPr>
          <w:spacing w:val="-89"/>
        </w:rPr>
        <w:t> </w:t>
      </w:r>
      <w:r>
        <w:rPr>
          <w:spacing w:val="-89"/>
        </w:rPr>
      </w:r>
      <w:r>
        <w:rPr>
          <w:spacing w:val="-5"/>
        </w:rPr>
        <w:t>成本，购买方为企业合并发生的审计、法律服务、评估咨询等中介费用以及其他相关管理费用，</w:t>
      </w:r>
      <w:r>
        <w:rPr/>
        <w:t> 于发生时计入当期损益。</w:t>
      </w:r>
    </w:p>
    <w:p>
      <w:pPr>
        <w:pStyle w:val="BodyText"/>
        <w:spacing w:line="240" w:lineRule="auto" w:before="94"/>
        <w:ind w:right="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2</w:t>
      </w:r>
      <w:r>
        <w:rPr>
          <w:rFonts w:ascii="黑体" w:hAnsi="黑体" w:cs="黑体" w:eastAsia="黑体" w:hint="default"/>
        </w:rPr>
        <w:t>）其他方式取得的长期投资</w:t>
      </w:r>
    </w:p>
    <w:p>
      <w:pPr>
        <w:spacing w:line="240" w:lineRule="auto" w:before="10"/>
        <w:rPr>
          <w:rFonts w:ascii="黑体" w:hAnsi="黑体" w:cs="黑体" w:eastAsia="黑体" w:hint="default"/>
          <w:sz w:val="16"/>
          <w:szCs w:val="16"/>
        </w:rPr>
      </w:pPr>
    </w:p>
    <w:p>
      <w:pPr>
        <w:pStyle w:val="BodyText"/>
        <w:spacing w:line="400" w:lineRule="auto"/>
        <w:ind w:left="141" w:right="216" w:firstLine="420"/>
        <w:jc w:val="both"/>
      </w:pPr>
      <w:r>
        <w:rPr>
          <w:spacing w:val="-3"/>
        </w:rPr>
        <w:t>以支付现金取得的长期股权投资，按照实际支付的购买价款作为投资成本。投资成本包括</w:t>
      </w:r>
      <w:r>
        <w:rPr/>
        <w:t> </w:t>
      </w:r>
      <w:r>
        <w:rPr>
          <w:spacing w:val="-3"/>
        </w:rPr>
        <w:t>与取得长期股权投资直接相关的费用、税金及其他必要支出，但实际支付的价款中包含的已宣</w:t>
      </w:r>
      <w:r>
        <w:rPr>
          <w:spacing w:val="-88"/>
        </w:rPr>
        <w:t> </w:t>
      </w:r>
      <w:r>
        <w:rPr>
          <w:spacing w:val="-88"/>
        </w:rPr>
      </w:r>
      <w:r>
        <w:rPr/>
        <w:t>告但尚未领取的现金股利，作为应收项目单独核算。</w:t>
      </w:r>
    </w:p>
    <w:p>
      <w:pPr>
        <w:pStyle w:val="BodyText"/>
        <w:spacing w:line="446" w:lineRule="auto" w:before="94"/>
        <w:ind w:right="210" w:hanging="16"/>
        <w:jc w:val="left"/>
      </w:pPr>
      <w:r>
        <w:rPr>
          <w:spacing w:val="-9"/>
        </w:rPr>
        <w:t>以发行权益性证券取得的长期股权投资，按照发行权益性证券的公允价值作为投资成本。</w:t>
      </w:r>
      <w:r>
        <w:rPr>
          <w:spacing w:val="-92"/>
        </w:rPr>
        <w:t> </w:t>
      </w:r>
      <w:r>
        <w:rPr>
          <w:spacing w:val="-92"/>
        </w:rPr>
      </w:r>
      <w:r>
        <w:rPr>
          <w:spacing w:val="-3"/>
        </w:rPr>
        <w:t>投资者投入的长期股权投资，按照投资合同或协议约定的价值作为投资成本，但合同或协</w:t>
      </w:r>
    </w:p>
    <w:p>
      <w:pPr>
        <w:pStyle w:val="BodyText"/>
        <w:spacing w:line="446" w:lineRule="auto" w:before="4"/>
        <w:ind w:right="210" w:hanging="420"/>
        <w:jc w:val="left"/>
      </w:pPr>
      <w:r>
        <w:rPr/>
        <w:t>议约定价值不公允的除外。 </w:t>
      </w:r>
      <w:r>
        <w:rPr>
          <w:spacing w:val="-3"/>
        </w:rPr>
        <w:t>以非货币资产交换方式取得的长期股权投资，如果该项交换具有商业实质且换入资产或换</w:t>
      </w:r>
    </w:p>
    <w:p>
      <w:pPr>
        <w:pStyle w:val="BodyText"/>
        <w:spacing w:line="400" w:lineRule="auto" w:before="4"/>
        <w:ind w:left="141" w:right="216"/>
        <w:jc w:val="both"/>
      </w:pPr>
      <w:r>
        <w:rPr>
          <w:spacing w:val="-3"/>
        </w:rPr>
        <w:t>出资产的公允价值能可靠计量，则以换出资产的公允价值和相关税费作为投资成本，换出资产</w:t>
      </w:r>
      <w:r>
        <w:rPr>
          <w:spacing w:val="-88"/>
        </w:rPr>
        <w:t> </w:t>
      </w:r>
      <w:r>
        <w:rPr>
          <w:spacing w:val="-88"/>
        </w:rPr>
      </w:r>
      <w:r>
        <w:rPr>
          <w:spacing w:val="2"/>
        </w:rPr>
        <w:t>的公允价值与账面价值之间的差额计入当期损益；若非货币资产交换不同时具备上述两个条</w:t>
      </w:r>
      <w:r>
        <w:rPr>
          <w:spacing w:val="-100"/>
        </w:rPr>
        <w:t> </w:t>
      </w:r>
      <w:r>
        <w:rPr>
          <w:spacing w:val="-100"/>
        </w:rPr>
      </w:r>
      <w:r>
        <w:rPr/>
        <w:t>件，则按换出资产的账面价值和相关税费作为投资成本。</w:t>
      </w:r>
    </w:p>
    <w:p>
      <w:pPr>
        <w:pStyle w:val="BodyText"/>
        <w:spacing w:line="400" w:lineRule="auto" w:before="94"/>
        <w:ind w:left="141" w:right="210" w:firstLine="420"/>
        <w:jc w:val="left"/>
      </w:pPr>
      <w:r>
        <w:rPr>
          <w:spacing w:val="-3"/>
        </w:rPr>
        <w:t>以债务重组方式取得的长期股权投资，按取得的股权的公允价值作为投资成本，投资成本</w:t>
      </w:r>
      <w:r>
        <w:rPr/>
        <w:t> 与债权账面价值之间的差额计入当期损益。</w:t>
      </w:r>
    </w:p>
    <w:p>
      <w:pPr>
        <w:pStyle w:val="BodyText"/>
        <w:spacing w:line="240" w:lineRule="auto" w:before="94"/>
        <w:ind w:right="0"/>
        <w:jc w:val="left"/>
        <w:rPr>
          <w:rFonts w:ascii="黑体" w:hAnsi="黑体" w:cs="黑体" w:eastAsia="黑体" w:hint="default"/>
        </w:rPr>
      </w:pPr>
      <w:r>
        <w:rPr>
          <w:rFonts w:ascii="Times New Roman" w:hAnsi="Times New Roman" w:cs="Times New Roman" w:eastAsia="Times New Roman" w:hint="default"/>
        </w:rPr>
        <w:t>3. </w:t>
      </w:r>
      <w:r>
        <w:rPr>
          <w:rFonts w:ascii="Times New Roman" w:hAnsi="Times New Roman" w:cs="Times New Roman" w:eastAsia="Times New Roman" w:hint="default"/>
          <w:spacing w:val="36"/>
        </w:rPr>
        <w:t> </w:t>
      </w:r>
      <w:r>
        <w:rPr>
          <w:rFonts w:ascii="黑体" w:hAnsi="黑体" w:cs="黑体" w:eastAsia="黑体" w:hint="default"/>
        </w:rPr>
        <w:t>长期股权投资的后续计量</w:t>
      </w:r>
    </w:p>
    <w:p>
      <w:pPr>
        <w:spacing w:line="240" w:lineRule="auto" w:before="10"/>
        <w:rPr>
          <w:rFonts w:ascii="黑体" w:hAnsi="黑体" w:cs="黑体" w:eastAsia="黑体" w:hint="default"/>
          <w:sz w:val="16"/>
          <w:szCs w:val="16"/>
        </w:rPr>
      </w:pPr>
    </w:p>
    <w:p>
      <w:pPr>
        <w:pStyle w:val="BodyText"/>
        <w:spacing w:line="403" w:lineRule="auto"/>
        <w:ind w:left="141" w:right="93" w:firstLine="420"/>
        <w:jc w:val="left"/>
      </w:pPr>
      <w:r>
        <w:rPr>
          <w:spacing w:val="-3"/>
        </w:rPr>
        <w:t>本公司对子公司长期股权投资和其他股权投资采用成本法核算。在编制合并报表时按照权</w:t>
      </w:r>
      <w:r>
        <w:rPr/>
        <w:t> 益法对子公司长期股权投资进行调整。对合营企业、联营企业长期股权投资采用权益法核算。</w:t>
      </w:r>
    </w:p>
    <w:p>
      <w:pPr>
        <w:pStyle w:val="BodyText"/>
        <w:spacing w:line="240" w:lineRule="auto" w:before="92"/>
        <w:ind w:right="0"/>
        <w:jc w:val="left"/>
        <w:rPr>
          <w:rFonts w:ascii="黑体" w:hAnsi="黑体" w:cs="黑体" w:eastAsia="黑体" w:hint="default"/>
        </w:rPr>
      </w:pPr>
      <w:r>
        <w:rPr>
          <w:rFonts w:ascii="Times New Roman" w:hAnsi="Times New Roman" w:cs="Times New Roman" w:eastAsia="Times New Roman" w:hint="default"/>
        </w:rPr>
        <w:t>4. </w:t>
      </w:r>
      <w:r>
        <w:rPr>
          <w:rFonts w:ascii="Times New Roman" w:hAnsi="Times New Roman" w:cs="Times New Roman" w:eastAsia="Times New Roman" w:hint="default"/>
          <w:spacing w:val="36"/>
        </w:rPr>
        <w:t> </w:t>
      </w:r>
      <w:r>
        <w:rPr>
          <w:rFonts w:ascii="黑体" w:hAnsi="黑体" w:cs="黑体" w:eastAsia="黑体" w:hint="default"/>
        </w:rPr>
        <w:t>长期股权投资损益确认方法</w:t>
      </w:r>
    </w:p>
    <w:p>
      <w:pPr>
        <w:spacing w:after="0" w:line="240" w:lineRule="auto"/>
        <w:jc w:val="left"/>
        <w:rPr>
          <w:rFonts w:ascii="黑体" w:hAnsi="黑体" w:cs="黑体" w:eastAsia="黑体" w:hint="default"/>
        </w:rPr>
        <w:sectPr>
          <w:pgSz w:w="11910" w:h="16840"/>
          <w:pgMar w:header="963" w:footer="893" w:top="1200" w:bottom="1080" w:left="1560" w:right="1480"/>
        </w:sectPr>
      </w:pPr>
    </w:p>
    <w:p>
      <w:pPr>
        <w:spacing w:line="240" w:lineRule="auto" w:before="5"/>
        <w:rPr>
          <w:rFonts w:ascii="黑体" w:hAnsi="黑体" w:cs="黑体" w:eastAsia="黑体" w:hint="default"/>
          <w:sz w:val="23"/>
          <w:szCs w:val="23"/>
        </w:rPr>
      </w:pPr>
    </w:p>
    <w:p>
      <w:pPr>
        <w:pStyle w:val="BodyText"/>
        <w:spacing w:line="400" w:lineRule="auto" w:before="35"/>
        <w:ind w:left="141" w:right="156" w:firstLine="420"/>
        <w:jc w:val="both"/>
      </w:pPr>
      <w:r>
        <w:rPr>
          <w:spacing w:val="-3"/>
        </w:rPr>
        <w:t>采用成本法核算的长期股权投资按照投资成本计价，除取得投资时实际支付的价款或对价</w:t>
      </w:r>
      <w:r>
        <w:rPr/>
        <w:t> </w:t>
      </w:r>
      <w:r>
        <w:rPr>
          <w:spacing w:val="-3"/>
        </w:rPr>
        <w:t>中包含的已宣告但尚未发放的现金股利或利润外，投资企业按照享有被投资单位宣告发放的现</w:t>
      </w:r>
      <w:r>
        <w:rPr>
          <w:spacing w:val="-89"/>
        </w:rPr>
        <w:t> </w:t>
      </w:r>
      <w:r>
        <w:rPr>
          <w:spacing w:val="-89"/>
        </w:rPr>
      </w:r>
      <w:r>
        <w:rPr/>
        <w:t>金股利或利润确认投资收益。</w:t>
      </w:r>
    </w:p>
    <w:p>
      <w:pPr>
        <w:pStyle w:val="BodyText"/>
        <w:spacing w:line="400" w:lineRule="auto" w:before="94"/>
        <w:ind w:left="141" w:right="156" w:firstLine="420"/>
        <w:jc w:val="both"/>
      </w:pPr>
      <w:r>
        <w:rPr>
          <w:spacing w:val="-3"/>
        </w:rPr>
        <w:t>采用权益法核算的长期股权投资，以取得投资时被投资单位各项可辨认资产等的公允价值</w:t>
      </w:r>
      <w:r>
        <w:rPr/>
        <w:t> </w:t>
      </w:r>
      <w:r>
        <w:rPr>
          <w:spacing w:val="-3"/>
        </w:rPr>
        <w:t>为基础调整后实现的净损益的份额，确认投资损益并调整长期股权投资的账面价值。按照被投</w:t>
      </w:r>
      <w:r>
        <w:rPr>
          <w:spacing w:val="-88"/>
        </w:rPr>
        <w:t> </w:t>
      </w:r>
      <w:r>
        <w:rPr>
          <w:spacing w:val="-88"/>
        </w:rPr>
      </w:r>
      <w:r>
        <w:rPr>
          <w:spacing w:val="-3"/>
        </w:rPr>
        <w:t>资单位宣告分派的利润或现金股利计算应分得的部分，相应减少长期股权投资的账面价值。对</w:t>
      </w:r>
      <w:r>
        <w:rPr>
          <w:spacing w:val="-88"/>
        </w:rPr>
        <w:t> </w:t>
      </w:r>
      <w:r>
        <w:rPr>
          <w:spacing w:val="-88"/>
        </w:rPr>
      </w:r>
      <w:r>
        <w:rPr>
          <w:spacing w:val="-3"/>
        </w:rPr>
        <w:t>于被投资单位除净损益以外所有者权益的其他变动，调整长期股权投资的账面价值并计入所有</w:t>
      </w:r>
      <w:r>
        <w:rPr>
          <w:spacing w:val="-89"/>
        </w:rPr>
        <w:t> </w:t>
      </w:r>
      <w:r>
        <w:rPr>
          <w:spacing w:val="-89"/>
        </w:rPr>
      </w:r>
      <w:r>
        <w:rPr/>
        <w:t>者权益。</w:t>
      </w:r>
    </w:p>
    <w:p>
      <w:pPr>
        <w:pStyle w:val="BodyText"/>
        <w:spacing w:line="400" w:lineRule="auto" w:before="94"/>
        <w:ind w:left="141" w:right="155" w:firstLine="420"/>
        <w:jc w:val="both"/>
      </w:pPr>
      <w:r>
        <w:rPr>
          <w:spacing w:val="-3"/>
        </w:rPr>
        <w:t>处置长期股权投资，其账面价值与实际取得价款的差额，计入当期损益。采用权益法核算</w:t>
      </w:r>
      <w:r>
        <w:rPr/>
        <w:t> </w:t>
      </w:r>
      <w:r>
        <w:rPr>
          <w:spacing w:val="-3"/>
        </w:rPr>
        <w:t>的长期股权投资，因被投资单位除净损益以外所有者权益的其他变动而计入所有者权益的，处</w:t>
      </w:r>
      <w:r>
        <w:rPr>
          <w:spacing w:val="-88"/>
        </w:rPr>
        <w:t> </w:t>
      </w:r>
      <w:r>
        <w:rPr>
          <w:spacing w:val="-88"/>
        </w:rPr>
      </w:r>
      <w:r>
        <w:rPr/>
        <w:t>置该项投资时将原计入所有者权益的部分按相应比例转入当期损益。</w:t>
      </w:r>
    </w:p>
    <w:p>
      <w:pPr>
        <w:pStyle w:val="BodyText"/>
        <w:spacing w:line="240" w:lineRule="auto" w:before="94"/>
        <w:ind w:right="150"/>
        <w:jc w:val="left"/>
        <w:rPr>
          <w:rFonts w:ascii="黑体" w:hAnsi="黑体" w:cs="黑体" w:eastAsia="黑体" w:hint="default"/>
        </w:rPr>
      </w:pPr>
      <w:r>
        <w:rPr>
          <w:rFonts w:ascii="Times New Roman" w:hAnsi="Times New Roman" w:cs="Times New Roman" w:eastAsia="Times New Roman" w:hint="default"/>
        </w:rPr>
        <w:t>5. </w:t>
      </w:r>
      <w:r>
        <w:rPr>
          <w:rFonts w:ascii="Times New Roman" w:hAnsi="Times New Roman" w:cs="Times New Roman" w:eastAsia="Times New Roman" w:hint="default"/>
          <w:spacing w:val="36"/>
        </w:rPr>
        <w:t> </w:t>
      </w:r>
      <w:r>
        <w:rPr>
          <w:rFonts w:ascii="黑体" w:hAnsi="黑体" w:cs="黑体" w:eastAsia="黑体" w:hint="default"/>
        </w:rPr>
        <w:t>确定对被投资单位具有共同控制、重大影响的依据</w:t>
      </w:r>
    </w:p>
    <w:p>
      <w:pPr>
        <w:spacing w:line="240" w:lineRule="auto" w:before="10"/>
        <w:rPr>
          <w:rFonts w:ascii="黑体" w:hAnsi="黑体" w:cs="黑体" w:eastAsia="黑体" w:hint="default"/>
          <w:sz w:val="16"/>
          <w:szCs w:val="16"/>
        </w:rPr>
      </w:pPr>
    </w:p>
    <w:p>
      <w:pPr>
        <w:pStyle w:val="BodyText"/>
        <w:spacing w:line="240" w:lineRule="auto"/>
        <w:ind w:right="15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）确定对被投资单位具有共同控制的依据</w:t>
      </w:r>
    </w:p>
    <w:p>
      <w:pPr>
        <w:spacing w:line="240" w:lineRule="auto" w:before="10"/>
        <w:rPr>
          <w:rFonts w:ascii="黑体" w:hAnsi="黑体" w:cs="黑体" w:eastAsia="黑体" w:hint="default"/>
          <w:sz w:val="16"/>
          <w:szCs w:val="16"/>
        </w:rPr>
      </w:pPr>
    </w:p>
    <w:p>
      <w:pPr>
        <w:pStyle w:val="BodyText"/>
        <w:spacing w:line="400" w:lineRule="auto"/>
        <w:ind w:left="141" w:right="156" w:firstLine="420"/>
        <w:jc w:val="both"/>
      </w:pPr>
      <w:r>
        <w:rPr>
          <w:spacing w:val="-3"/>
        </w:rPr>
        <w:t>共同控制是指按照合同约定对某项经济活动共有的控制。在合营企业设立时，合营各方在</w:t>
      </w:r>
      <w:r>
        <w:rPr/>
        <w:t> </w:t>
      </w:r>
      <w:r>
        <w:rPr>
          <w:spacing w:val="-3"/>
        </w:rPr>
        <w:t>投资合同或协议中约定在所设立合营企业的重要财务和生产经营决策制定过程中，必须由合营</w:t>
      </w:r>
      <w:r>
        <w:rPr>
          <w:spacing w:val="-88"/>
        </w:rPr>
        <w:t> </w:t>
      </w:r>
      <w:r>
        <w:rPr>
          <w:spacing w:val="-88"/>
        </w:rPr>
      </w:r>
      <w:r>
        <w:rPr/>
        <w:t>各方均同意才能通过。</w:t>
      </w:r>
    </w:p>
    <w:p>
      <w:pPr>
        <w:pStyle w:val="BodyText"/>
        <w:spacing w:line="240" w:lineRule="auto" w:before="94"/>
        <w:ind w:right="15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2</w:t>
      </w:r>
      <w:r>
        <w:rPr>
          <w:rFonts w:ascii="黑体" w:hAnsi="黑体" w:cs="黑体" w:eastAsia="黑体" w:hint="default"/>
        </w:rPr>
        <w:t>）确定对被投资单位具有重大影响的依据</w:t>
      </w:r>
    </w:p>
    <w:p>
      <w:pPr>
        <w:spacing w:line="240" w:lineRule="auto" w:before="10"/>
        <w:rPr>
          <w:rFonts w:ascii="黑体" w:hAnsi="黑体" w:cs="黑体" w:eastAsia="黑体" w:hint="default"/>
          <w:sz w:val="16"/>
          <w:szCs w:val="16"/>
        </w:rPr>
      </w:pPr>
    </w:p>
    <w:p>
      <w:pPr>
        <w:pStyle w:val="BodyText"/>
        <w:spacing w:line="400" w:lineRule="auto"/>
        <w:ind w:left="141" w:right="156" w:firstLine="420"/>
        <w:jc w:val="both"/>
      </w:pPr>
      <w:r>
        <w:rPr>
          <w:spacing w:val="-3"/>
        </w:rPr>
        <w:t>重大影响，是指对一个企业的财务和经营政策有参与决策的权力，但并不能够控制或者与</w:t>
      </w:r>
      <w:r>
        <w:rPr/>
        <w:t> </w:t>
      </w:r>
      <w:r>
        <w:rPr>
          <w:spacing w:val="-3"/>
        </w:rPr>
        <w:t>其他方一起共同控制这些政策的制定。一般情况下本公司直接或通过子公司间接拥有被投资单</w:t>
      </w:r>
      <w:r>
        <w:rPr>
          <w:spacing w:val="-89"/>
        </w:rPr>
        <w:t> </w:t>
      </w:r>
      <w:r>
        <w:rPr>
          <w:spacing w:val="-89"/>
        </w:rPr>
      </w:r>
      <w:r>
        <w:rPr/>
        <w:t>位</w:t>
      </w:r>
      <w:r>
        <w:rPr>
          <w:spacing w:val="-56"/>
        </w:rPr>
        <w:t> </w:t>
      </w:r>
      <w:r>
        <w:rPr>
          <w:rFonts w:ascii="Times New Roman" w:hAnsi="Times New Roman" w:cs="Times New Roman" w:eastAsia="Times New Roman" w:hint="default"/>
        </w:rPr>
        <w:t>20%</w:t>
      </w:r>
      <w:r>
        <w:rPr/>
        <w:t>以上但低于</w:t>
      </w:r>
      <w:r>
        <w:rPr>
          <w:spacing w:val="-56"/>
        </w:rPr>
        <w:t> </w:t>
      </w:r>
      <w:r>
        <w:rPr>
          <w:rFonts w:ascii="Times New Roman" w:hAnsi="Times New Roman" w:cs="Times New Roman" w:eastAsia="Times New Roman" w:hint="default"/>
        </w:rPr>
        <w:t>50%</w:t>
      </w:r>
      <w:r>
        <w:rPr/>
        <w:t>的表决权股份时认为对被投资单位具有重大影响。</w:t>
      </w:r>
    </w:p>
    <w:p>
      <w:pPr>
        <w:pStyle w:val="BodyText"/>
        <w:spacing w:line="240" w:lineRule="auto" w:before="63"/>
        <w:ind w:right="150"/>
        <w:jc w:val="left"/>
        <w:rPr>
          <w:rFonts w:ascii="黑体" w:hAnsi="黑体" w:cs="黑体" w:eastAsia="黑体" w:hint="default"/>
        </w:rPr>
      </w:pPr>
      <w:r>
        <w:rPr>
          <w:rFonts w:ascii="Times New Roman" w:hAnsi="Times New Roman" w:cs="Times New Roman" w:eastAsia="Times New Roman" w:hint="default"/>
        </w:rPr>
        <w:t>6. </w:t>
      </w:r>
      <w:r>
        <w:rPr>
          <w:rFonts w:ascii="Times New Roman" w:hAnsi="Times New Roman" w:cs="Times New Roman" w:eastAsia="Times New Roman" w:hint="default"/>
          <w:spacing w:val="36"/>
        </w:rPr>
        <w:t> </w:t>
      </w:r>
      <w:r>
        <w:rPr>
          <w:rFonts w:ascii="黑体" w:hAnsi="黑体" w:cs="黑体" w:eastAsia="黑体" w:hint="default"/>
        </w:rPr>
        <w:t>长期股权投资减值测试方法及减值准备计提方法</w:t>
      </w:r>
    </w:p>
    <w:p>
      <w:pPr>
        <w:spacing w:line="240" w:lineRule="auto" w:before="10"/>
        <w:rPr>
          <w:rFonts w:ascii="黑体" w:hAnsi="黑体" w:cs="黑体" w:eastAsia="黑体" w:hint="default"/>
          <w:sz w:val="16"/>
          <w:szCs w:val="16"/>
        </w:rPr>
      </w:pPr>
    </w:p>
    <w:p>
      <w:pPr>
        <w:pStyle w:val="BodyText"/>
        <w:spacing w:line="400" w:lineRule="auto"/>
        <w:ind w:left="141" w:right="156" w:firstLine="420"/>
        <w:jc w:val="both"/>
      </w:pPr>
      <w:r>
        <w:rPr>
          <w:spacing w:val="-3"/>
        </w:rPr>
        <w:t>资产负债表日，若对子公司、对合营企业、对联营企业的长期股权投资存在减值迹象，估</w:t>
      </w:r>
      <w:r>
        <w:rPr/>
        <w:t> </w:t>
      </w:r>
      <w:r>
        <w:rPr>
          <w:spacing w:val="-3"/>
        </w:rPr>
        <w:t>计其可收回金额，可收回金额低于账面价值的，确认减值损失，计入当期损益，同时计提长期</w:t>
      </w:r>
      <w:r>
        <w:rPr>
          <w:spacing w:val="-90"/>
        </w:rPr>
        <w:t> </w:t>
      </w:r>
      <w:r>
        <w:rPr>
          <w:spacing w:val="-90"/>
        </w:rPr>
      </w:r>
      <w:r>
        <w:rPr>
          <w:spacing w:val="-3"/>
        </w:rPr>
        <w:t>股权投资减值准备。其他股权投资发生减值时，按类似的金融资产的市场收益率对未来现金流</w:t>
      </w:r>
      <w:r>
        <w:rPr>
          <w:spacing w:val="-88"/>
        </w:rPr>
        <w:t> </w:t>
      </w:r>
      <w:r>
        <w:rPr>
          <w:spacing w:val="-88"/>
        </w:rPr>
      </w:r>
      <w:r>
        <w:rPr>
          <w:spacing w:val="-3"/>
        </w:rPr>
        <w:t>量确定的现值与投资的账面价值之间的差额确认为减值损失，计入当期损益。同时计提长期股</w:t>
      </w:r>
      <w:r>
        <w:rPr>
          <w:spacing w:val="-88"/>
        </w:rPr>
        <w:t> </w:t>
      </w:r>
      <w:r>
        <w:rPr>
          <w:spacing w:val="-88"/>
        </w:rPr>
      </w:r>
      <w:r>
        <w:rPr/>
        <w:t>权投资减值准备。上述长期股权投资减值准备在以后期间均不予转回。</w:t>
      </w:r>
    </w:p>
    <w:p>
      <w:pPr>
        <w:pStyle w:val="BodyText"/>
        <w:spacing w:line="240" w:lineRule="auto" w:before="164"/>
        <w:ind w:right="150"/>
        <w:jc w:val="left"/>
        <w:rPr>
          <w:rFonts w:ascii="黑体" w:hAnsi="黑体" w:cs="黑体" w:eastAsia="黑体" w:hint="default"/>
        </w:rPr>
      </w:pPr>
      <w:r>
        <w:rPr>
          <w:rFonts w:ascii="黑体" w:hAnsi="黑体" w:cs="黑体" w:eastAsia="黑体" w:hint="default"/>
        </w:rPr>
        <w:t>（十三）投资性房地产</w:t>
      </w:r>
    </w:p>
    <w:p>
      <w:pPr>
        <w:spacing w:line="240" w:lineRule="auto" w:before="13"/>
        <w:rPr>
          <w:rFonts w:ascii="黑体" w:hAnsi="黑体" w:cs="黑体" w:eastAsia="黑体" w:hint="default"/>
          <w:sz w:val="17"/>
          <w:szCs w:val="17"/>
        </w:rPr>
      </w:pPr>
    </w:p>
    <w:p>
      <w:pPr>
        <w:pStyle w:val="BodyText"/>
        <w:spacing w:line="240" w:lineRule="auto"/>
        <w:ind w:right="15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．投资性房地产的种类</w:t>
      </w:r>
    </w:p>
    <w:p>
      <w:pPr>
        <w:spacing w:after="0" w:line="240" w:lineRule="auto"/>
        <w:jc w:val="left"/>
        <w:rPr>
          <w:rFonts w:ascii="黑体" w:hAnsi="黑体" w:cs="黑体" w:eastAsia="黑体" w:hint="default"/>
        </w:rPr>
        <w:sectPr>
          <w:pgSz w:w="11910" w:h="16840"/>
          <w:pgMar w:header="963" w:footer="893" w:top="1200" w:bottom="1080" w:left="1560" w:right="1540"/>
        </w:sectPr>
      </w:pPr>
    </w:p>
    <w:p>
      <w:pPr>
        <w:spacing w:line="240" w:lineRule="auto" w:before="5"/>
        <w:rPr>
          <w:rFonts w:ascii="黑体" w:hAnsi="黑体" w:cs="黑体" w:eastAsia="黑体" w:hint="default"/>
          <w:sz w:val="23"/>
          <w:szCs w:val="23"/>
        </w:rPr>
      </w:pPr>
    </w:p>
    <w:p>
      <w:pPr>
        <w:pStyle w:val="BodyText"/>
        <w:spacing w:line="400" w:lineRule="auto" w:before="35"/>
        <w:ind w:left="221" w:right="230" w:firstLine="420"/>
        <w:jc w:val="left"/>
      </w:pPr>
      <w:r>
        <w:rPr>
          <w:spacing w:val="-3"/>
        </w:rPr>
        <w:t>投资性房地产分为：已出租的土地使用权、持有并准备增值后转让的土地使用权、已出租</w:t>
      </w:r>
      <w:r>
        <w:rPr/>
        <w:t> 的建筑物。</w:t>
      </w:r>
    </w:p>
    <w:p>
      <w:pPr>
        <w:pStyle w:val="BodyText"/>
        <w:spacing w:line="240" w:lineRule="auto" w:before="94"/>
        <w:ind w:left="641" w:right="23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．投资性房地产的计量模式</w:t>
      </w:r>
    </w:p>
    <w:p>
      <w:pPr>
        <w:spacing w:line="240" w:lineRule="auto" w:before="10"/>
        <w:rPr>
          <w:rFonts w:ascii="黑体" w:hAnsi="黑体" w:cs="黑体" w:eastAsia="黑体" w:hint="default"/>
          <w:sz w:val="16"/>
          <w:szCs w:val="16"/>
        </w:rPr>
      </w:pPr>
    </w:p>
    <w:p>
      <w:pPr>
        <w:pStyle w:val="BodyText"/>
        <w:spacing w:line="400" w:lineRule="auto"/>
        <w:ind w:left="221" w:right="236" w:firstLine="420"/>
        <w:jc w:val="both"/>
      </w:pPr>
      <w:r>
        <w:rPr>
          <w:spacing w:val="-3"/>
        </w:rPr>
        <w:t>投资性房地产按照取得时的成本进行初始计量，在资产负债表日采用成本模式对投资性房</w:t>
      </w:r>
      <w:r>
        <w:rPr/>
        <w:t> </w:t>
      </w:r>
      <w:r>
        <w:rPr>
          <w:spacing w:val="2"/>
        </w:rPr>
        <w:t>地产进行后续计量。其中建筑物的折旧方法和减值准备的确定方法与固定资产的核算方法一</w:t>
      </w:r>
      <w:r>
        <w:rPr>
          <w:spacing w:val="-100"/>
        </w:rPr>
        <w:t> </w:t>
      </w:r>
      <w:r>
        <w:rPr>
          <w:spacing w:val="-100"/>
        </w:rPr>
      </w:r>
      <w:r>
        <w:rPr/>
        <w:t>致，土地使用权的摊销方法和减值准备的确定方法与无形资产的核算方法一致。</w:t>
      </w:r>
    </w:p>
    <w:p>
      <w:pPr>
        <w:pStyle w:val="BodyText"/>
        <w:spacing w:line="240" w:lineRule="auto" w:before="164"/>
        <w:ind w:left="641" w:right="230"/>
        <w:jc w:val="left"/>
        <w:rPr>
          <w:rFonts w:ascii="黑体" w:hAnsi="黑体" w:cs="黑体" w:eastAsia="黑体" w:hint="default"/>
        </w:rPr>
      </w:pPr>
      <w:r>
        <w:rPr>
          <w:rFonts w:ascii="黑体" w:hAnsi="黑体" w:cs="黑体" w:eastAsia="黑体" w:hint="default"/>
        </w:rPr>
        <w:t>（十四）固定资产</w:t>
      </w:r>
    </w:p>
    <w:p>
      <w:pPr>
        <w:spacing w:line="240" w:lineRule="auto" w:before="13"/>
        <w:rPr>
          <w:rFonts w:ascii="黑体" w:hAnsi="黑体" w:cs="黑体" w:eastAsia="黑体" w:hint="default"/>
          <w:sz w:val="17"/>
          <w:szCs w:val="17"/>
        </w:rPr>
      </w:pPr>
    </w:p>
    <w:p>
      <w:pPr>
        <w:pStyle w:val="BodyText"/>
        <w:spacing w:line="240" w:lineRule="auto"/>
        <w:ind w:left="641" w:right="23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．固定资产的确认条件</w:t>
      </w:r>
    </w:p>
    <w:p>
      <w:pPr>
        <w:spacing w:line="240" w:lineRule="auto" w:before="10"/>
        <w:rPr>
          <w:rFonts w:ascii="黑体" w:hAnsi="黑体" w:cs="黑体" w:eastAsia="黑体" w:hint="default"/>
          <w:sz w:val="16"/>
          <w:szCs w:val="16"/>
        </w:rPr>
      </w:pPr>
    </w:p>
    <w:p>
      <w:pPr>
        <w:pStyle w:val="BodyText"/>
        <w:spacing w:line="240" w:lineRule="auto"/>
        <w:ind w:left="641" w:right="230"/>
        <w:jc w:val="left"/>
      </w:pPr>
      <w:r>
        <w:rPr/>
        <w:t>（</w:t>
      </w:r>
      <w:r>
        <w:rPr>
          <w:rFonts w:ascii="Times New Roman" w:hAnsi="Times New Roman" w:cs="Times New Roman" w:eastAsia="Times New Roman" w:hint="default"/>
        </w:rPr>
        <w:t>1</w:t>
      </w:r>
      <w:r>
        <w:rPr/>
        <w:t>）与该固定资产有关的经济利益很可能流入企业；</w:t>
      </w:r>
    </w:p>
    <w:p>
      <w:pPr>
        <w:spacing w:line="240" w:lineRule="auto" w:before="10"/>
        <w:rPr>
          <w:rFonts w:ascii="宋体" w:hAnsi="宋体" w:cs="宋体" w:eastAsia="宋体" w:hint="default"/>
          <w:sz w:val="16"/>
          <w:szCs w:val="16"/>
        </w:rPr>
      </w:pPr>
    </w:p>
    <w:p>
      <w:pPr>
        <w:pStyle w:val="BodyText"/>
        <w:spacing w:line="240" w:lineRule="auto"/>
        <w:ind w:left="641" w:right="230"/>
        <w:jc w:val="left"/>
      </w:pPr>
      <w:r>
        <w:rPr/>
        <w:t>（</w:t>
      </w:r>
      <w:r>
        <w:rPr>
          <w:rFonts w:ascii="Times New Roman" w:hAnsi="Times New Roman" w:cs="Times New Roman" w:eastAsia="Times New Roman" w:hint="default"/>
        </w:rPr>
        <w:t>2</w:t>
      </w:r>
      <w:r>
        <w:rPr/>
        <w:t>）该固定资产的成本能够可靠计量。</w:t>
      </w:r>
    </w:p>
    <w:p>
      <w:pPr>
        <w:spacing w:line="240" w:lineRule="auto" w:before="10"/>
        <w:rPr>
          <w:rFonts w:ascii="宋体" w:hAnsi="宋体" w:cs="宋体" w:eastAsia="宋体" w:hint="default"/>
          <w:sz w:val="16"/>
          <w:szCs w:val="16"/>
        </w:rPr>
      </w:pPr>
    </w:p>
    <w:p>
      <w:pPr>
        <w:pStyle w:val="BodyText"/>
        <w:spacing w:line="240" w:lineRule="auto"/>
        <w:ind w:left="641" w:right="23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．固定资产的分类</w:t>
      </w:r>
    </w:p>
    <w:p>
      <w:pPr>
        <w:spacing w:line="240" w:lineRule="auto" w:before="9"/>
        <w:rPr>
          <w:rFonts w:ascii="黑体" w:hAnsi="黑体" w:cs="黑体" w:eastAsia="黑体" w:hint="default"/>
          <w:sz w:val="26"/>
          <w:szCs w:val="26"/>
        </w:rPr>
      </w:pPr>
    </w:p>
    <w:p>
      <w:pPr>
        <w:pStyle w:val="BodyText"/>
        <w:spacing w:line="403" w:lineRule="auto"/>
        <w:ind w:left="221" w:right="230" w:firstLine="420"/>
        <w:jc w:val="left"/>
      </w:pPr>
      <w:r>
        <w:rPr>
          <w:spacing w:val="-3"/>
        </w:rPr>
        <w:t>公司的固定资产分为：房屋建筑物、简易建筑物、机器设备、运输设备、电子设备、其他</w:t>
      </w:r>
      <w:r>
        <w:rPr/>
        <w:t> 设备等。</w:t>
      </w:r>
    </w:p>
    <w:p>
      <w:pPr>
        <w:pStyle w:val="BodyText"/>
        <w:spacing w:line="240" w:lineRule="auto" w:before="162"/>
        <w:ind w:left="641" w:right="230"/>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．各类固定资产的折旧方法</w:t>
      </w:r>
    </w:p>
    <w:p>
      <w:pPr>
        <w:spacing w:line="240" w:lineRule="auto" w:before="9"/>
        <w:rPr>
          <w:rFonts w:ascii="黑体" w:hAnsi="黑体" w:cs="黑体" w:eastAsia="黑体" w:hint="default"/>
          <w:sz w:val="26"/>
          <w:szCs w:val="26"/>
        </w:rPr>
      </w:pPr>
    </w:p>
    <w:p>
      <w:pPr>
        <w:pStyle w:val="BodyText"/>
        <w:spacing w:line="403" w:lineRule="auto"/>
        <w:ind w:left="221" w:right="230" w:firstLine="420"/>
        <w:jc w:val="left"/>
      </w:pPr>
      <w:r>
        <w:rPr>
          <w:spacing w:val="-3"/>
        </w:rPr>
        <w:t>固定资产在使用寿命内按年限平均法计提折旧，各类固定资产的折旧年限、残值率和年折</w:t>
      </w:r>
      <w:r>
        <w:rPr/>
        <w:t> 旧率如下：</w:t>
      </w: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182"/>
        <w:gridCol w:w="2179"/>
        <w:gridCol w:w="2180"/>
        <w:gridCol w:w="2180"/>
      </w:tblGrid>
      <w:tr>
        <w:trPr>
          <w:trHeight w:val="413" w:hRule="exact"/>
        </w:trPr>
        <w:tc>
          <w:tcPr>
            <w:tcW w:w="218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7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1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8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4" w:hRule="exact"/>
        </w:trPr>
        <w:tc>
          <w:tcPr>
            <w:tcW w:w="21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30-40</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5</w:t>
            </w:r>
          </w:p>
        </w:tc>
        <w:tc>
          <w:tcPr>
            <w:tcW w:w="21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2.375-3.17</w:t>
            </w:r>
          </w:p>
        </w:tc>
      </w:tr>
      <w:tr>
        <w:trPr>
          <w:trHeight w:val="415" w:hRule="exact"/>
        </w:trPr>
        <w:tc>
          <w:tcPr>
            <w:tcW w:w="21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5-10</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5</w:t>
            </w:r>
          </w:p>
        </w:tc>
        <w:tc>
          <w:tcPr>
            <w:tcW w:w="21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9.5-19</w:t>
            </w:r>
          </w:p>
        </w:tc>
      </w:tr>
      <w:tr>
        <w:trPr>
          <w:trHeight w:val="415" w:hRule="exact"/>
        </w:trPr>
        <w:tc>
          <w:tcPr>
            <w:tcW w:w="21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10-14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5</w:t>
            </w:r>
          </w:p>
        </w:tc>
        <w:tc>
          <w:tcPr>
            <w:tcW w:w="21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6.78-9.5</w:t>
            </w:r>
          </w:p>
        </w:tc>
      </w:tr>
      <w:tr>
        <w:trPr>
          <w:trHeight w:val="415" w:hRule="exact"/>
        </w:trPr>
        <w:tc>
          <w:tcPr>
            <w:tcW w:w="21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6-12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5</w:t>
            </w:r>
          </w:p>
        </w:tc>
        <w:tc>
          <w:tcPr>
            <w:tcW w:w="21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7.92-15.83</w:t>
            </w:r>
          </w:p>
        </w:tc>
      </w:tr>
      <w:tr>
        <w:trPr>
          <w:trHeight w:val="413" w:hRule="exact"/>
        </w:trPr>
        <w:tc>
          <w:tcPr>
            <w:tcW w:w="218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1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5-10</w:t>
            </w:r>
          </w:p>
        </w:tc>
        <w:tc>
          <w:tcPr>
            <w:tcW w:w="21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5</w:t>
            </w:r>
          </w:p>
        </w:tc>
        <w:tc>
          <w:tcPr>
            <w:tcW w:w="218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9.5-19</w:t>
            </w:r>
          </w:p>
        </w:tc>
      </w:tr>
    </w:tbl>
    <w:p>
      <w:pPr>
        <w:spacing w:line="240" w:lineRule="auto" w:before="6"/>
        <w:rPr>
          <w:rFonts w:ascii="宋体" w:hAnsi="宋体" w:cs="宋体" w:eastAsia="宋体" w:hint="default"/>
          <w:sz w:val="10"/>
          <w:szCs w:val="10"/>
        </w:rPr>
      </w:pPr>
    </w:p>
    <w:p>
      <w:pPr>
        <w:pStyle w:val="BodyText"/>
        <w:spacing w:line="240" w:lineRule="auto" w:before="35"/>
        <w:ind w:left="641" w:right="230"/>
        <w:jc w:val="left"/>
        <w:rPr>
          <w:rFonts w:ascii="黑体" w:hAnsi="黑体" w:cs="黑体" w:eastAsia="黑体" w:hint="default"/>
        </w:rPr>
      </w:pPr>
      <w:r>
        <w:rPr>
          <w:rFonts w:ascii="Times New Roman" w:hAnsi="Times New Roman" w:cs="Times New Roman" w:eastAsia="Times New Roman" w:hint="default"/>
        </w:rPr>
        <w:t>4</w:t>
      </w:r>
      <w:r>
        <w:rPr>
          <w:rFonts w:ascii="黑体" w:hAnsi="黑体" w:cs="黑体" w:eastAsia="黑体" w:hint="default"/>
        </w:rPr>
        <w:t>．固定资产的减值测试方法、减值准备计提方法</w:t>
      </w:r>
    </w:p>
    <w:p>
      <w:pPr>
        <w:spacing w:line="240" w:lineRule="auto" w:before="11"/>
        <w:rPr>
          <w:rFonts w:ascii="黑体" w:hAnsi="黑体" w:cs="黑体" w:eastAsia="黑体" w:hint="default"/>
          <w:sz w:val="16"/>
          <w:szCs w:val="16"/>
        </w:rPr>
      </w:pPr>
    </w:p>
    <w:p>
      <w:pPr>
        <w:pStyle w:val="BodyText"/>
        <w:spacing w:line="400" w:lineRule="auto"/>
        <w:ind w:left="221" w:right="235" w:firstLine="420"/>
        <w:jc w:val="both"/>
      </w:pPr>
      <w:r>
        <w:rPr>
          <w:spacing w:val="-3"/>
        </w:rPr>
        <w:t>资产负债表日，固定资产存在减值迹象，估计其可收回金额。可收回金额按固定资产的公</w:t>
      </w:r>
      <w:r>
        <w:rPr/>
        <w:t> </w:t>
      </w:r>
      <w:r>
        <w:rPr>
          <w:spacing w:val="-3"/>
        </w:rPr>
        <w:t>允价值减去处置费用后的净额与固定资产预计未来现金流量的现值之间的较高者确定。可收回</w:t>
      </w:r>
      <w:r>
        <w:rPr>
          <w:spacing w:val="-87"/>
        </w:rPr>
        <w:t> </w:t>
      </w:r>
      <w:r>
        <w:rPr>
          <w:spacing w:val="-87"/>
        </w:rPr>
      </w:r>
      <w:r>
        <w:rPr>
          <w:spacing w:val="-3"/>
        </w:rPr>
        <w:t>金额的计量结果表明，固定资产的可收回金额低于其账面价值的，将固定资产的账面价值减记</w:t>
      </w:r>
      <w:r>
        <w:rPr>
          <w:spacing w:val="-88"/>
        </w:rPr>
        <w:t> </w:t>
      </w:r>
      <w:r>
        <w:rPr>
          <w:spacing w:val="-88"/>
        </w:rPr>
      </w:r>
      <w:r>
        <w:rPr>
          <w:spacing w:val="-3"/>
        </w:rPr>
        <w:t>至可收回金额，减记的金额确认为资产减值损失，计入当期损益，同时计提相应的资产减值准</w:t>
      </w:r>
      <w:r>
        <w:rPr>
          <w:spacing w:val="-87"/>
        </w:rPr>
        <w:t> </w:t>
      </w:r>
      <w:r>
        <w:rPr>
          <w:spacing w:val="-87"/>
        </w:rPr>
      </w:r>
      <w:r>
        <w:rPr/>
        <w:t>备。减值准备一旦计提，在以后会计期间不予转回。</w:t>
      </w:r>
    </w:p>
    <w:p>
      <w:pPr>
        <w:spacing w:after="0" w:line="400" w:lineRule="auto"/>
        <w:jc w:val="both"/>
        <w:sectPr>
          <w:pgSz w:w="11910" w:h="16840"/>
          <w:pgMar w:header="963" w:footer="893" w:top="1200" w:bottom="1080" w:left="1480" w:right="1460"/>
        </w:sectPr>
      </w:pPr>
    </w:p>
    <w:p>
      <w:pPr>
        <w:spacing w:line="240" w:lineRule="auto" w:before="5"/>
        <w:rPr>
          <w:rFonts w:ascii="宋体" w:hAnsi="宋体" w:cs="宋体" w:eastAsia="宋体" w:hint="default"/>
          <w:sz w:val="23"/>
          <w:szCs w:val="23"/>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5</w:t>
      </w:r>
      <w:r>
        <w:rPr>
          <w:rFonts w:ascii="黑体" w:hAnsi="黑体" w:cs="黑体" w:eastAsia="黑体" w:hint="default"/>
        </w:rPr>
        <w:t>．融资租入固定资产的认定依据、计价方法</w:t>
      </w:r>
    </w:p>
    <w:p>
      <w:pPr>
        <w:spacing w:line="240" w:lineRule="auto" w:before="10"/>
        <w:rPr>
          <w:rFonts w:ascii="黑体" w:hAnsi="黑体" w:cs="黑体" w:eastAsia="黑体" w:hint="default"/>
          <w:sz w:val="16"/>
          <w:szCs w:val="16"/>
        </w:rPr>
      </w:pPr>
    </w:p>
    <w:p>
      <w:pPr>
        <w:pStyle w:val="BodyText"/>
        <w:spacing w:line="240" w:lineRule="auto"/>
        <w:ind w:right="0"/>
        <w:jc w:val="left"/>
      </w:pPr>
      <w:r>
        <w:rPr/>
        <w:t>符合下列一项或数项标准的，本公司将其认定为融资租入固定资产：</w:t>
      </w:r>
    </w:p>
    <w:p>
      <w:pPr>
        <w:spacing w:line="240" w:lineRule="auto" w:before="2"/>
        <w:rPr>
          <w:rFonts w:ascii="宋体" w:hAnsi="宋体" w:cs="宋体" w:eastAsia="宋体" w:hint="default"/>
          <w:sz w:val="14"/>
          <w:szCs w:val="14"/>
        </w:rPr>
      </w:pPr>
    </w:p>
    <w:p>
      <w:pPr>
        <w:pStyle w:val="BodyText"/>
        <w:spacing w:line="240" w:lineRule="auto"/>
        <w:ind w:left="562" w:right="0"/>
        <w:jc w:val="left"/>
      </w:pPr>
      <w:r>
        <w:rPr/>
        <w:t>（</w:t>
      </w:r>
      <w:r>
        <w:rPr>
          <w:rFonts w:ascii="Times New Roman" w:hAnsi="Times New Roman" w:cs="Times New Roman" w:eastAsia="Times New Roman" w:hint="default"/>
        </w:rPr>
        <w:t>1</w:t>
      </w:r>
      <w:r>
        <w:rPr/>
        <w:t>）在租赁期届满时，租赁固定资产的所有权转移给承租人。</w:t>
      </w:r>
    </w:p>
    <w:p>
      <w:pPr>
        <w:pStyle w:val="BodyText"/>
        <w:spacing w:line="379" w:lineRule="auto" w:before="169"/>
        <w:ind w:left="141" w:right="93" w:firstLine="421"/>
        <w:jc w:val="left"/>
      </w:pPr>
      <w:r>
        <w:rPr/>
        <w:t>（</w:t>
      </w:r>
      <w:r>
        <w:rPr>
          <w:rFonts w:ascii="Times New Roman" w:hAnsi="Times New Roman" w:cs="Times New Roman" w:eastAsia="Times New Roman" w:hint="default"/>
        </w:rPr>
        <w:t>2</w:t>
      </w:r>
      <w:r>
        <w:rPr/>
        <w:t>）承租人有购买租赁固定资产的选择权，所订立的购买价款预计将远低于行使选择权 时租赁固定资产的公允价值，因而在租赁开始日就可以合理确定承租人将会行使这种选择权。</w:t>
      </w:r>
    </w:p>
    <w:p>
      <w:pPr>
        <w:pStyle w:val="BodyText"/>
        <w:spacing w:line="240" w:lineRule="auto" w:before="113"/>
        <w:ind w:right="0"/>
        <w:jc w:val="left"/>
      </w:pPr>
      <w:r>
        <w:rPr/>
        <w:t>（</w:t>
      </w:r>
      <w:r>
        <w:rPr>
          <w:rFonts w:ascii="Times New Roman" w:hAnsi="Times New Roman" w:cs="Times New Roman" w:eastAsia="Times New Roman" w:hint="default"/>
        </w:rPr>
        <w:t>3</w:t>
      </w:r>
      <w:r>
        <w:rPr/>
        <w:t>）即使固定资产的所有权不转移，但租赁期占租赁资产使用寿命的大部分。</w:t>
      </w:r>
    </w:p>
    <w:p>
      <w:pPr>
        <w:spacing w:line="240" w:lineRule="auto" w:before="10"/>
        <w:rPr>
          <w:rFonts w:ascii="宋体" w:hAnsi="宋体" w:cs="宋体" w:eastAsia="宋体" w:hint="default"/>
          <w:sz w:val="16"/>
          <w:szCs w:val="16"/>
        </w:rPr>
      </w:pPr>
    </w:p>
    <w:p>
      <w:pPr>
        <w:pStyle w:val="BodyText"/>
        <w:spacing w:line="391" w:lineRule="auto"/>
        <w:ind w:left="141" w:right="216" w:firstLine="420"/>
        <w:jc w:val="both"/>
      </w:pPr>
      <w:r>
        <w:rPr/>
        <w:t>（</w:t>
      </w:r>
      <w:r>
        <w:rPr>
          <w:rFonts w:ascii="Times New Roman" w:hAnsi="Times New Roman" w:cs="Times New Roman" w:eastAsia="Times New Roman" w:hint="default"/>
        </w:rPr>
        <w:t>4</w:t>
      </w:r>
      <w:r>
        <w:rPr/>
        <w:t>）承租人在租赁开始日的最低租赁付款额现值，几乎相当于租赁开始日租赁固定资产 </w:t>
      </w:r>
      <w:r>
        <w:rPr>
          <w:spacing w:val="-3"/>
        </w:rPr>
        <w:t>公允价值；出租人在租赁开始日的最低租赁收款额现值，几乎相当于租赁开始日租赁固定资产</w:t>
      </w:r>
      <w:r>
        <w:rPr>
          <w:spacing w:val="-88"/>
        </w:rPr>
        <w:t> </w:t>
      </w:r>
      <w:r>
        <w:rPr>
          <w:spacing w:val="-88"/>
        </w:rPr>
      </w:r>
      <w:r>
        <w:rPr/>
        <w:t>公允价值。</w:t>
      </w:r>
    </w:p>
    <w:p>
      <w:pPr>
        <w:pStyle w:val="BodyText"/>
        <w:spacing w:line="420" w:lineRule="auto" w:before="103"/>
        <w:ind w:right="210"/>
        <w:jc w:val="left"/>
      </w:pPr>
      <w:r>
        <w:rPr/>
        <w:t>（</w:t>
      </w:r>
      <w:r>
        <w:rPr>
          <w:rFonts w:ascii="Times New Roman" w:hAnsi="Times New Roman" w:cs="Times New Roman" w:eastAsia="Times New Roman" w:hint="default"/>
        </w:rPr>
        <w:t>5</w:t>
      </w:r>
      <w:r>
        <w:rPr/>
        <w:t>）租赁固定资产性质特殊，如果不作较大改造，只有承租人才能使用。 </w:t>
      </w:r>
      <w:r>
        <w:rPr>
          <w:spacing w:val="-3"/>
        </w:rPr>
        <w:t>在租赁期开始日，将租赁固定资产的公允价值与最低租赁付款额现值两者中较低者作为租</w:t>
      </w:r>
    </w:p>
    <w:p>
      <w:pPr>
        <w:pStyle w:val="BodyText"/>
        <w:spacing w:line="400" w:lineRule="auto" w:before="28"/>
        <w:ind w:left="141" w:right="216"/>
        <w:jc w:val="both"/>
      </w:pPr>
      <w:r>
        <w:rPr>
          <w:spacing w:val="-3"/>
        </w:rPr>
        <w:t>入固定资产的入账价值，将最低租赁付款额作为长期应付款的入账价值，其差额作为未确认融</w:t>
      </w:r>
      <w:r>
        <w:rPr>
          <w:spacing w:val="-88"/>
        </w:rPr>
        <w:t> </w:t>
      </w:r>
      <w:r>
        <w:rPr>
          <w:spacing w:val="-88"/>
        </w:rPr>
      </w:r>
      <w:r>
        <w:rPr>
          <w:spacing w:val="-3"/>
        </w:rPr>
        <w:t>资费用。在租赁谈判和签订租赁合同过程中发生的可归属于租赁固定资产的初始直接费用计入</w:t>
      </w:r>
      <w:r>
        <w:rPr>
          <w:spacing w:val="-89"/>
        </w:rPr>
        <w:t> </w:t>
      </w:r>
      <w:r>
        <w:rPr>
          <w:spacing w:val="-89"/>
        </w:rPr>
      </w:r>
      <w:r>
        <w:rPr/>
        <w:t>租入固定资产的价值。</w:t>
      </w:r>
    </w:p>
    <w:p>
      <w:pPr>
        <w:pStyle w:val="BodyText"/>
        <w:spacing w:line="400" w:lineRule="auto" w:before="94"/>
        <w:ind w:left="141" w:right="215" w:firstLine="420"/>
        <w:jc w:val="both"/>
      </w:pPr>
      <w:r>
        <w:rPr>
          <w:spacing w:val="-3"/>
        </w:rPr>
        <w:t>在计算最低租赁付款额的现值时，能够取得出租人的租赁内含利率的，采用出租人的租赁</w:t>
      </w:r>
      <w:r>
        <w:rPr/>
        <w:t> </w:t>
      </w:r>
      <w:r>
        <w:rPr>
          <w:spacing w:val="-3"/>
        </w:rPr>
        <w:t>内含利率作为折现率；否则，采用租赁合同规定的利率作为折现率。无法取得出租人的租赁内</w:t>
      </w:r>
      <w:r>
        <w:rPr>
          <w:spacing w:val="-87"/>
        </w:rPr>
        <w:t> </w:t>
      </w:r>
      <w:r>
        <w:rPr>
          <w:spacing w:val="-87"/>
        </w:rPr>
      </w:r>
      <w:r>
        <w:rPr>
          <w:spacing w:val="-3"/>
        </w:rPr>
        <w:t>含利率且租赁合同没有规定利率，采用同期银行贷款利率作为折现率。未确认的融资费用采用</w:t>
      </w:r>
      <w:r>
        <w:rPr>
          <w:spacing w:val="-88"/>
        </w:rPr>
        <w:t> </w:t>
      </w:r>
      <w:r>
        <w:rPr>
          <w:spacing w:val="-88"/>
        </w:rPr>
      </w:r>
      <w:r>
        <w:rPr/>
        <w:t>实际利率法在租赁期内各个期间进行分摊。</w:t>
      </w:r>
    </w:p>
    <w:p>
      <w:pPr>
        <w:pStyle w:val="BodyText"/>
        <w:spacing w:line="400" w:lineRule="auto" w:before="94"/>
        <w:ind w:left="141" w:right="216" w:firstLine="420"/>
        <w:jc w:val="both"/>
      </w:pPr>
      <w:r>
        <w:rPr>
          <w:spacing w:val="-3"/>
        </w:rPr>
        <w:t>对租赁固定资产采用与自有应折旧固定资产相一致的折旧政策。能够合理确定租赁期满时</w:t>
      </w:r>
      <w:r>
        <w:rPr/>
        <w:t> </w:t>
      </w:r>
      <w:r>
        <w:rPr>
          <w:spacing w:val="-3"/>
        </w:rPr>
        <w:t>取得租赁固定资产所有权的，在租赁固定资产使用寿命内计提折旧。无法合理确定租赁期满时</w:t>
      </w:r>
      <w:r>
        <w:rPr>
          <w:spacing w:val="-88"/>
        </w:rPr>
        <w:t> </w:t>
      </w:r>
      <w:r>
        <w:rPr>
          <w:spacing w:val="-88"/>
        </w:rPr>
      </w:r>
      <w:r>
        <w:rPr>
          <w:spacing w:val="2"/>
        </w:rPr>
        <w:t>取得租赁固定资产所有权的，在租赁期与租赁固定资产使用寿命两者中较短的期间内计提折</w:t>
      </w:r>
      <w:r>
        <w:rPr>
          <w:spacing w:val="-100"/>
        </w:rPr>
        <w:t> </w:t>
      </w:r>
      <w:r>
        <w:rPr>
          <w:spacing w:val="-100"/>
        </w:rPr>
      </w:r>
      <w:r>
        <w:rPr/>
        <w:t>旧。或有租金在实际发生时计入当期损益。</w:t>
      </w:r>
    </w:p>
    <w:p>
      <w:pPr>
        <w:pStyle w:val="BodyText"/>
        <w:spacing w:line="240" w:lineRule="auto" w:before="94"/>
        <w:ind w:right="0"/>
        <w:jc w:val="left"/>
        <w:rPr>
          <w:rFonts w:ascii="黑体" w:hAnsi="黑体" w:cs="黑体" w:eastAsia="黑体" w:hint="default"/>
        </w:rPr>
      </w:pPr>
      <w:r>
        <w:rPr>
          <w:rFonts w:ascii="Times New Roman" w:hAnsi="Times New Roman" w:cs="Times New Roman" w:eastAsia="Times New Roman" w:hint="default"/>
        </w:rPr>
        <w:t>6</w:t>
      </w:r>
      <w:r>
        <w:rPr>
          <w:rFonts w:ascii="黑体" w:hAnsi="黑体" w:cs="黑体" w:eastAsia="黑体" w:hint="default"/>
        </w:rPr>
        <w:t>．固定资产后续支出</w:t>
      </w:r>
    </w:p>
    <w:p>
      <w:pPr>
        <w:spacing w:line="240" w:lineRule="auto" w:before="10"/>
        <w:rPr>
          <w:rFonts w:ascii="黑体" w:hAnsi="黑体" w:cs="黑体" w:eastAsia="黑体" w:hint="default"/>
          <w:sz w:val="16"/>
          <w:szCs w:val="16"/>
        </w:rPr>
      </w:pPr>
    </w:p>
    <w:p>
      <w:pPr>
        <w:pStyle w:val="BodyText"/>
        <w:spacing w:line="400" w:lineRule="auto"/>
        <w:ind w:left="141" w:right="215" w:firstLine="420"/>
        <w:jc w:val="both"/>
      </w:pPr>
      <w:r>
        <w:rPr>
          <w:spacing w:val="-3"/>
        </w:rPr>
        <w:t>固定资产的后续支出是指固定资产使用过程中发生的更新改造支出、修理费用等。后续支</w:t>
      </w:r>
      <w:r>
        <w:rPr/>
        <w:t> </w:t>
      </w:r>
      <w:r>
        <w:rPr>
          <w:spacing w:val="-3"/>
        </w:rPr>
        <w:t>出的处理原则为：符合固定资产确认条件的，计入固定资产成本，同时将被替换部分的账面价</w:t>
      </w:r>
      <w:r>
        <w:rPr>
          <w:spacing w:val="-87"/>
        </w:rPr>
        <w:t> </w:t>
      </w:r>
      <w:r>
        <w:rPr>
          <w:spacing w:val="-87"/>
        </w:rPr>
      </w:r>
      <w:r>
        <w:rPr/>
        <w:t>值扣除；不符合固定资产确认条件的，计入当期损益。</w:t>
      </w:r>
    </w:p>
    <w:p>
      <w:pPr>
        <w:pStyle w:val="BodyText"/>
        <w:spacing w:line="240" w:lineRule="auto" w:before="164"/>
        <w:ind w:right="0"/>
        <w:jc w:val="left"/>
        <w:rPr>
          <w:rFonts w:ascii="黑体" w:hAnsi="黑体" w:cs="黑体" w:eastAsia="黑体" w:hint="default"/>
        </w:rPr>
      </w:pPr>
      <w:r>
        <w:rPr>
          <w:rFonts w:ascii="黑体" w:hAnsi="黑体" w:cs="黑体" w:eastAsia="黑体" w:hint="default"/>
        </w:rPr>
        <w:t>（十五）在建工程</w:t>
      </w:r>
    </w:p>
    <w:p>
      <w:pPr>
        <w:spacing w:line="240" w:lineRule="auto" w:before="13"/>
        <w:rPr>
          <w:rFonts w:ascii="黑体" w:hAnsi="黑体" w:cs="黑体" w:eastAsia="黑体" w:hint="default"/>
          <w:sz w:val="17"/>
          <w:szCs w:val="17"/>
        </w:rPr>
      </w:pPr>
    </w:p>
    <w:p>
      <w:pPr>
        <w:pStyle w:val="BodyText"/>
        <w:spacing w:line="403" w:lineRule="auto"/>
        <w:ind w:left="141" w:right="215" w:firstLine="420"/>
        <w:jc w:val="both"/>
      </w:pPr>
      <w:r>
        <w:rPr>
          <w:spacing w:val="-3"/>
        </w:rPr>
        <w:t>在建工程包括施工前期准备、正在施工中的建筑工程、安装工程、技术改造工程、大修理</w:t>
      </w:r>
      <w:r>
        <w:rPr/>
        <w:t> </w:t>
      </w:r>
      <w:r>
        <w:rPr>
          <w:spacing w:val="-3"/>
        </w:rPr>
        <w:t>工程等，并按实际发生的支出确定工程成本。在建工程完工达到预定可使用状态时，按实际发</w:t>
      </w:r>
    </w:p>
    <w:p>
      <w:pPr>
        <w:spacing w:after="0" w:line="403" w:lineRule="auto"/>
        <w:jc w:val="both"/>
        <w:sectPr>
          <w:pgSz w:w="11910" w:h="16840"/>
          <w:pgMar w:header="963" w:footer="893" w:top="1200" w:bottom="1080" w:left="1560" w:right="1480"/>
        </w:sectPr>
      </w:pPr>
    </w:p>
    <w:p>
      <w:pPr>
        <w:spacing w:line="240" w:lineRule="auto" w:before="5"/>
        <w:rPr>
          <w:rFonts w:ascii="宋体" w:hAnsi="宋体" w:cs="宋体" w:eastAsia="宋体" w:hint="default"/>
          <w:sz w:val="23"/>
          <w:szCs w:val="23"/>
        </w:rPr>
      </w:pPr>
    </w:p>
    <w:p>
      <w:pPr>
        <w:pStyle w:val="BodyText"/>
        <w:spacing w:line="240" w:lineRule="auto" w:before="35"/>
        <w:ind w:left="122" w:right="5551"/>
        <w:jc w:val="center"/>
      </w:pPr>
      <w:r>
        <w:rPr/>
        <w:t>生的全部支出转入固定资产核算。</w:t>
      </w:r>
    </w:p>
    <w:p>
      <w:pPr>
        <w:spacing w:line="240" w:lineRule="auto" w:before="13"/>
        <w:rPr>
          <w:rFonts w:ascii="宋体" w:hAnsi="宋体" w:cs="宋体" w:eastAsia="宋体" w:hint="default"/>
          <w:sz w:val="17"/>
          <w:szCs w:val="17"/>
        </w:rPr>
      </w:pPr>
    </w:p>
    <w:p>
      <w:pPr>
        <w:pStyle w:val="BodyText"/>
        <w:spacing w:line="391" w:lineRule="auto"/>
        <w:ind w:left="141" w:right="216" w:firstLine="420"/>
        <w:jc w:val="both"/>
      </w:pPr>
      <w:r>
        <w:rPr>
          <w:spacing w:val="-4"/>
        </w:rPr>
        <w:t>资产负债表日，对长期停建并计划在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spacing w:val="-3"/>
        </w:rPr>
        <w:t>年内不会重新开工等预计发生减值的在建工程，对</w:t>
      </w:r>
      <w:r>
        <w:rPr/>
        <w:t> </w:t>
      </w:r>
      <w:r>
        <w:rPr>
          <w:spacing w:val="-3"/>
        </w:rPr>
        <w:t>可收回金额低于账面价值的部分计提在建工程减值准备。减值准备一旦计提，在以后会计期间</w:t>
      </w:r>
      <w:r>
        <w:rPr>
          <w:spacing w:val="-88"/>
        </w:rPr>
        <w:t> </w:t>
      </w:r>
      <w:r>
        <w:rPr>
          <w:spacing w:val="-88"/>
        </w:rPr>
      </w:r>
      <w:r>
        <w:rPr/>
        <w:t>不予转回。</w:t>
      </w:r>
    </w:p>
    <w:p>
      <w:pPr>
        <w:pStyle w:val="BodyText"/>
        <w:spacing w:line="240" w:lineRule="auto" w:before="103"/>
        <w:ind w:right="0"/>
        <w:jc w:val="left"/>
        <w:rPr>
          <w:rFonts w:ascii="黑体" w:hAnsi="黑体" w:cs="黑体" w:eastAsia="黑体" w:hint="default"/>
        </w:rPr>
      </w:pPr>
      <w:r>
        <w:rPr>
          <w:rFonts w:ascii="黑体" w:hAnsi="黑体" w:cs="黑体" w:eastAsia="黑体" w:hint="default"/>
        </w:rPr>
        <w:t>（十六）借款费用的会计处理方法</w:t>
      </w:r>
    </w:p>
    <w:p>
      <w:pPr>
        <w:spacing w:line="240" w:lineRule="auto" w:before="13"/>
        <w:rPr>
          <w:rFonts w:ascii="黑体" w:hAnsi="黑体" w:cs="黑体" w:eastAsia="黑体" w:hint="default"/>
          <w:sz w:val="17"/>
          <w:szCs w:val="17"/>
        </w:rPr>
      </w:pPr>
    </w:p>
    <w:p>
      <w:pPr>
        <w:pStyle w:val="BodyText"/>
        <w:spacing w:line="400" w:lineRule="auto"/>
        <w:ind w:left="141" w:right="0" w:firstLine="420"/>
        <w:jc w:val="left"/>
      </w:pPr>
      <w:r>
        <w:rPr>
          <w:spacing w:val="-3"/>
        </w:rPr>
        <w:t>借款费用包括借款账面发生的利息、折价或溢价的摊销和辅助费用以及因外币借款而发生</w:t>
      </w:r>
      <w:r>
        <w:rPr/>
        <w:t> </w:t>
      </w:r>
      <w:r>
        <w:rPr>
          <w:spacing w:val="-6"/>
        </w:rPr>
        <w:t>的汇兑差额等。公司发生的借款费用，可直接归属于符合资本化条件的资产的购建或者生产的，</w:t>
      </w:r>
      <w:r>
        <w:rPr>
          <w:spacing w:val="-65"/>
        </w:rPr>
        <w:t> </w:t>
      </w:r>
      <w:r>
        <w:rPr>
          <w:spacing w:val="-65"/>
        </w:rPr>
      </w:r>
      <w:r>
        <w:rPr>
          <w:spacing w:val="-3"/>
        </w:rPr>
        <w:t>予以资本化，计入相关资产成本；其他借款费用，在发生时根据其发生额确认为费用，计入当</w:t>
      </w:r>
      <w:r>
        <w:rPr>
          <w:spacing w:val="-90"/>
        </w:rPr>
        <w:t> </w:t>
      </w:r>
      <w:r>
        <w:rPr>
          <w:spacing w:val="-90"/>
        </w:rPr>
      </w:r>
      <w:r>
        <w:rPr/>
        <w:t>期损益。</w:t>
      </w:r>
    </w:p>
    <w:p>
      <w:pPr>
        <w:pStyle w:val="BodyText"/>
        <w:spacing w:line="240" w:lineRule="auto" w:before="164"/>
        <w:ind w:right="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．资本化的条件</w:t>
      </w:r>
    </w:p>
    <w:p>
      <w:pPr>
        <w:spacing w:line="240" w:lineRule="auto" w:before="11"/>
        <w:rPr>
          <w:rFonts w:ascii="黑体" w:hAnsi="黑体" w:cs="黑体" w:eastAsia="黑体" w:hint="default"/>
          <w:sz w:val="16"/>
          <w:szCs w:val="16"/>
        </w:rPr>
      </w:pPr>
    </w:p>
    <w:p>
      <w:pPr>
        <w:pStyle w:val="BodyText"/>
        <w:spacing w:line="240" w:lineRule="auto"/>
        <w:ind w:right="0"/>
        <w:jc w:val="left"/>
      </w:pPr>
      <w:r>
        <w:rPr/>
        <w:t>在同时具备下列三个条件时，借款费用予以资本化：</w:t>
      </w:r>
    </w:p>
    <w:p>
      <w:pPr>
        <w:spacing w:line="240" w:lineRule="auto" w:before="13"/>
        <w:rPr>
          <w:rFonts w:ascii="宋体" w:hAnsi="宋体" w:cs="宋体" w:eastAsia="宋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1</w:t>
      </w:r>
      <w:r>
        <w:rPr/>
        <w:t>）资产支出已经发生；</w:t>
      </w:r>
    </w:p>
    <w:p>
      <w:pPr>
        <w:spacing w:line="240" w:lineRule="auto" w:before="10"/>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2</w:t>
      </w:r>
      <w:r>
        <w:rPr/>
        <w:t>）借款费用已经发生；</w:t>
      </w:r>
    </w:p>
    <w:p>
      <w:pPr>
        <w:spacing w:line="240" w:lineRule="auto" w:before="10"/>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3</w:t>
      </w:r>
      <w:r>
        <w:rPr/>
        <w:t>）为使资产达到预定可使用状态或可销售状态所必要的购建或生产活动已经开始。</w:t>
      </w:r>
    </w:p>
    <w:p>
      <w:pPr>
        <w:spacing w:line="240" w:lineRule="auto" w:before="1"/>
        <w:rPr>
          <w:rFonts w:ascii="宋体" w:hAnsi="宋体" w:cs="宋体" w:eastAsia="宋体" w:hint="default"/>
          <w:sz w:val="22"/>
          <w:szCs w:val="22"/>
        </w:rPr>
      </w:pPr>
    </w:p>
    <w:p>
      <w:pPr>
        <w:pStyle w:val="BodyText"/>
        <w:spacing w:line="240" w:lineRule="auto"/>
        <w:ind w:right="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．资本化金额的确定</w:t>
      </w:r>
    </w:p>
    <w:p>
      <w:pPr>
        <w:spacing w:line="240" w:lineRule="auto" w:before="10"/>
        <w:rPr>
          <w:rFonts w:ascii="黑体" w:hAnsi="黑体" w:cs="黑体" w:eastAsia="黑体" w:hint="default"/>
          <w:sz w:val="16"/>
          <w:szCs w:val="16"/>
        </w:rPr>
      </w:pPr>
    </w:p>
    <w:p>
      <w:pPr>
        <w:pStyle w:val="BodyText"/>
        <w:spacing w:line="400" w:lineRule="auto"/>
        <w:ind w:left="141" w:right="216" w:firstLine="420"/>
        <w:jc w:val="both"/>
      </w:pPr>
      <w:r>
        <w:rPr>
          <w:spacing w:val="-3"/>
        </w:rPr>
        <w:t>为购建或者生产符合资本化条件的资产而借入专门借款，以专门借款当期实际发生的利息</w:t>
      </w:r>
      <w:r>
        <w:rPr/>
        <w:t> </w:t>
      </w:r>
      <w:r>
        <w:rPr>
          <w:spacing w:val="-3"/>
        </w:rPr>
        <w:t>费用，减去将尚未动用的借款资金存入银行取得的利息收入或进行暂时性投资取得收益后的金</w:t>
      </w:r>
      <w:r>
        <w:rPr>
          <w:spacing w:val="-89"/>
        </w:rPr>
        <w:t> </w:t>
      </w:r>
      <w:r>
        <w:rPr>
          <w:spacing w:val="-89"/>
        </w:rPr>
      </w:r>
      <w:r>
        <w:rPr/>
        <w:t>额确定。</w:t>
      </w:r>
    </w:p>
    <w:p>
      <w:pPr>
        <w:pStyle w:val="BodyText"/>
        <w:spacing w:line="400" w:lineRule="auto" w:before="94"/>
        <w:ind w:left="141" w:right="216" w:firstLine="420"/>
        <w:jc w:val="both"/>
      </w:pPr>
      <w:r>
        <w:rPr>
          <w:spacing w:val="-3"/>
        </w:rPr>
        <w:t>为购建或者生产符合资本化条件的资产而占用一般借款的，根据累计资产支出超过专门借</w:t>
      </w:r>
      <w:r>
        <w:rPr/>
        <w:t> </w:t>
      </w:r>
      <w:r>
        <w:rPr>
          <w:spacing w:val="-3"/>
        </w:rPr>
        <w:t>款部分的资产支出加权平均数乘以所占用一般借款的资本化率，计算确定一般借款予以资本化</w:t>
      </w:r>
      <w:r>
        <w:rPr>
          <w:spacing w:val="-89"/>
        </w:rPr>
        <w:t> </w:t>
      </w:r>
      <w:r>
        <w:rPr>
          <w:spacing w:val="-89"/>
        </w:rPr>
      </w:r>
      <w:r>
        <w:rPr/>
        <w:t>的利息金额。资本化率根据一般借款加权平均利率计算确定。</w:t>
      </w:r>
    </w:p>
    <w:p>
      <w:pPr>
        <w:pStyle w:val="BodyText"/>
        <w:spacing w:line="240" w:lineRule="auto" w:before="94"/>
        <w:ind w:right="0"/>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．暂停资本化</w:t>
      </w:r>
    </w:p>
    <w:p>
      <w:pPr>
        <w:spacing w:line="240" w:lineRule="auto" w:before="10"/>
        <w:rPr>
          <w:rFonts w:ascii="黑体" w:hAnsi="黑体" w:cs="黑体" w:eastAsia="黑体" w:hint="default"/>
          <w:sz w:val="16"/>
          <w:szCs w:val="16"/>
        </w:rPr>
      </w:pPr>
    </w:p>
    <w:p>
      <w:pPr>
        <w:pStyle w:val="BodyText"/>
        <w:spacing w:line="391" w:lineRule="auto"/>
        <w:ind w:left="141" w:right="215" w:firstLine="419"/>
        <w:jc w:val="both"/>
      </w:pPr>
      <w:r>
        <w:rPr>
          <w:spacing w:val="-3"/>
        </w:rPr>
        <w:t>若固定资产的购建活动发生非正常中断，且时间连续超过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5"/>
        </w:rPr>
        <w:t>个月，则暂停借款费用的资本</w:t>
      </w:r>
      <w:r>
        <w:rPr/>
        <w:t> </w:t>
      </w:r>
      <w:r>
        <w:rPr>
          <w:spacing w:val="-3"/>
        </w:rPr>
        <w:t>化，将其确认为当期费用，直至资产的购建活动重新开始。如果中断是该资产达到预定可使用</w:t>
      </w:r>
      <w:r>
        <w:rPr>
          <w:spacing w:val="-87"/>
        </w:rPr>
        <w:t> </w:t>
      </w:r>
      <w:r>
        <w:rPr>
          <w:spacing w:val="-87"/>
        </w:rPr>
      </w:r>
      <w:r>
        <w:rPr/>
        <w:t>状态或者可销售状态必要的程序，借款费用不暂停资本化。</w:t>
      </w:r>
    </w:p>
    <w:p>
      <w:pPr>
        <w:pStyle w:val="BodyText"/>
        <w:spacing w:line="240" w:lineRule="auto" w:before="103"/>
        <w:ind w:right="0"/>
        <w:jc w:val="left"/>
        <w:rPr>
          <w:rFonts w:ascii="黑体" w:hAnsi="黑体" w:cs="黑体" w:eastAsia="黑体" w:hint="default"/>
        </w:rPr>
      </w:pPr>
      <w:r>
        <w:rPr>
          <w:rFonts w:ascii="Times New Roman" w:hAnsi="Times New Roman" w:cs="Times New Roman" w:eastAsia="Times New Roman" w:hint="default"/>
        </w:rPr>
        <w:t>4</w:t>
      </w:r>
      <w:r>
        <w:rPr>
          <w:rFonts w:ascii="黑体" w:hAnsi="黑体" w:cs="黑体" w:eastAsia="黑体" w:hint="default"/>
        </w:rPr>
        <w:t>．停止资本化</w:t>
      </w:r>
    </w:p>
    <w:p>
      <w:pPr>
        <w:spacing w:line="240" w:lineRule="auto" w:before="10"/>
        <w:rPr>
          <w:rFonts w:ascii="黑体" w:hAnsi="黑体" w:cs="黑体" w:eastAsia="黑体" w:hint="default"/>
          <w:sz w:val="16"/>
          <w:szCs w:val="16"/>
        </w:rPr>
      </w:pPr>
    </w:p>
    <w:p>
      <w:pPr>
        <w:pStyle w:val="BodyText"/>
        <w:spacing w:line="400" w:lineRule="auto"/>
        <w:ind w:left="141" w:right="93" w:firstLine="420"/>
        <w:jc w:val="left"/>
      </w:pPr>
      <w:r>
        <w:rPr/>
        <w:t>当所购建的固定资产达到预定可使用状态或者可销售状态时，停止其借款费用的资本化， 以后发生的借款费用于发生当期确认费用。</w:t>
      </w:r>
    </w:p>
    <w:p>
      <w:pPr>
        <w:spacing w:after="0" w:line="400" w:lineRule="auto"/>
        <w:jc w:val="left"/>
        <w:sectPr>
          <w:pgSz w:w="11910" w:h="16840"/>
          <w:pgMar w:header="963" w:footer="893" w:top="1200" w:bottom="1080" w:left="1560" w:right="1480"/>
        </w:sectPr>
      </w:pPr>
    </w:p>
    <w:p>
      <w:pPr>
        <w:spacing w:line="240" w:lineRule="auto" w:before="4"/>
        <w:rPr>
          <w:rFonts w:ascii="宋体" w:hAnsi="宋体" w:cs="宋体" w:eastAsia="宋体" w:hint="default"/>
          <w:sz w:val="23"/>
          <w:szCs w:val="23"/>
        </w:rPr>
      </w:pPr>
    </w:p>
    <w:p>
      <w:pPr>
        <w:pStyle w:val="BodyText"/>
        <w:spacing w:line="240" w:lineRule="auto" w:before="35"/>
        <w:ind w:left="667" w:right="0"/>
        <w:jc w:val="left"/>
        <w:rPr>
          <w:rFonts w:ascii="黑体" w:hAnsi="黑体" w:cs="黑体" w:eastAsia="黑体" w:hint="default"/>
        </w:rPr>
      </w:pPr>
      <w:r>
        <w:rPr>
          <w:rFonts w:ascii="黑体" w:hAnsi="黑体" w:cs="黑体" w:eastAsia="黑体" w:hint="default"/>
        </w:rPr>
        <w:t>（十七）生物资产</w:t>
      </w:r>
    </w:p>
    <w:p>
      <w:pPr>
        <w:spacing w:line="240" w:lineRule="auto" w:before="1"/>
        <w:rPr>
          <w:rFonts w:ascii="黑体" w:hAnsi="黑体" w:cs="黑体" w:eastAsia="黑体" w:hint="default"/>
          <w:sz w:val="18"/>
          <w:szCs w:val="18"/>
        </w:rPr>
      </w:pPr>
    </w:p>
    <w:p>
      <w:pPr>
        <w:pStyle w:val="BodyText"/>
        <w:spacing w:line="240" w:lineRule="auto"/>
        <w:ind w:left="1087" w:right="0"/>
        <w:jc w:val="left"/>
      </w:pPr>
      <w:r>
        <w:rPr/>
        <w:t>本公司生物资产分为消耗性生物资产和生产性生物资产。</w:t>
      </w:r>
    </w:p>
    <w:p>
      <w:pPr>
        <w:spacing w:line="240" w:lineRule="auto" w:before="4"/>
        <w:rPr>
          <w:rFonts w:ascii="宋体" w:hAnsi="宋体" w:cs="宋体" w:eastAsia="宋体" w:hint="default"/>
          <w:sz w:val="23"/>
          <w:szCs w:val="23"/>
        </w:rPr>
      </w:pPr>
    </w:p>
    <w:p>
      <w:pPr>
        <w:pStyle w:val="BodyText"/>
        <w:spacing w:line="240" w:lineRule="auto"/>
        <w:ind w:left="122" w:right="4816"/>
        <w:jc w:val="center"/>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．生物资产的初始计量</w:t>
      </w:r>
    </w:p>
    <w:p>
      <w:pPr>
        <w:spacing w:line="240" w:lineRule="auto" w:before="10"/>
        <w:rPr>
          <w:rFonts w:ascii="黑体" w:hAnsi="黑体" w:cs="黑体" w:eastAsia="黑体" w:hint="default"/>
          <w:sz w:val="16"/>
          <w:szCs w:val="16"/>
        </w:rPr>
      </w:pPr>
    </w:p>
    <w:p>
      <w:pPr>
        <w:pStyle w:val="BodyText"/>
        <w:spacing w:line="240" w:lineRule="auto"/>
        <w:ind w:right="0"/>
        <w:jc w:val="left"/>
        <w:rPr>
          <w:rFonts w:ascii="黑体" w:hAnsi="黑体" w:cs="黑体" w:eastAsia="黑体" w:hint="default"/>
        </w:rPr>
      </w:pPr>
      <w:r>
        <w:rPr/>
        <w:t>生物资产按照成本进行初始计量</w:t>
      </w:r>
      <w:r>
        <w:rPr>
          <w:rFonts w:ascii="黑体" w:hAnsi="黑体" w:cs="黑体" w:eastAsia="黑体" w:hint="default"/>
        </w:rPr>
        <w:t>。</w:t>
      </w:r>
    </w:p>
    <w:p>
      <w:pPr>
        <w:spacing w:line="240" w:lineRule="auto" w:before="13"/>
        <w:rPr>
          <w:rFonts w:ascii="黑体" w:hAnsi="黑体" w:cs="黑体" w:eastAsia="黑体" w:hint="default"/>
          <w:sz w:val="17"/>
          <w:szCs w:val="17"/>
        </w:rPr>
      </w:pPr>
    </w:p>
    <w:p>
      <w:pPr>
        <w:pStyle w:val="BodyText"/>
        <w:spacing w:line="379" w:lineRule="auto"/>
        <w:ind w:left="141" w:right="216" w:firstLine="420"/>
        <w:jc w:val="both"/>
      </w:pPr>
      <w:r>
        <w:rPr/>
        <w:t>（</w:t>
      </w:r>
      <w:r>
        <w:rPr>
          <w:rFonts w:ascii="Times New Roman" w:hAnsi="Times New Roman" w:cs="Times New Roman" w:eastAsia="Times New Roman" w:hint="default"/>
        </w:rPr>
        <w:t>1</w:t>
      </w:r>
      <w:r>
        <w:rPr/>
        <w:t>）外购生物资产的成本，包括购买价款、相关税费、运输费、保险费以及可直接归属 于购买该资产的其他支出；</w:t>
      </w:r>
    </w:p>
    <w:p>
      <w:pPr>
        <w:pStyle w:val="BodyText"/>
        <w:spacing w:line="379" w:lineRule="auto" w:before="113"/>
        <w:ind w:left="141" w:right="108" w:firstLine="420"/>
        <w:jc w:val="left"/>
      </w:pPr>
      <w:r>
        <w:rPr>
          <w:spacing w:val="-3"/>
        </w:rPr>
        <w:t>（</w:t>
      </w:r>
      <w:r>
        <w:rPr>
          <w:rFonts w:ascii="Times New Roman" w:hAnsi="Times New Roman" w:cs="Times New Roman" w:eastAsia="Times New Roman" w:hint="default"/>
          <w:spacing w:val="-3"/>
        </w:rPr>
        <w:t>2</w:t>
      </w:r>
      <w:r>
        <w:rPr>
          <w:spacing w:val="-3"/>
        </w:rPr>
        <w:t>）自行种植、繁殖或养殖的消耗性生物资产的成本包括收获（出售）前发生的材料费、</w:t>
      </w:r>
      <w:r>
        <w:rPr/>
        <w:t> 饲料费、人工费和应分摊的间接费用等必要支出；</w:t>
      </w:r>
    </w:p>
    <w:p>
      <w:pPr>
        <w:pStyle w:val="BodyText"/>
        <w:spacing w:line="391" w:lineRule="auto" w:before="113"/>
        <w:ind w:left="141" w:right="216" w:firstLine="420"/>
        <w:jc w:val="both"/>
      </w:pPr>
      <w:r>
        <w:rPr/>
        <w:t>（</w:t>
      </w:r>
      <w:r>
        <w:rPr>
          <w:rFonts w:ascii="Times New Roman" w:hAnsi="Times New Roman" w:cs="Times New Roman" w:eastAsia="Times New Roman" w:hint="default"/>
        </w:rPr>
        <w:t>3</w:t>
      </w:r>
      <w:r>
        <w:rPr/>
        <w:t>）自行种植、繁殖或养殖的生产性生物资产的成本包括达到预定生产经营目的前发生 </w:t>
      </w:r>
      <w:r>
        <w:rPr>
          <w:spacing w:val="-3"/>
        </w:rPr>
        <w:t>的材料费、饲料费、人工费和应分摊的间接费用等必要支出。达到预定生产经营目的，是指生</w:t>
      </w:r>
      <w:r>
        <w:rPr>
          <w:spacing w:val="-90"/>
        </w:rPr>
        <w:t> </w:t>
      </w:r>
      <w:r>
        <w:rPr>
          <w:spacing w:val="-90"/>
        </w:rPr>
      </w:r>
      <w:r>
        <w:rPr/>
        <w:t>产行生物资产进入正常生产期，可以多年连续稳定产出产品、提供劳务或出租；</w:t>
      </w:r>
    </w:p>
    <w:p>
      <w:pPr>
        <w:pStyle w:val="BodyText"/>
        <w:spacing w:line="240" w:lineRule="auto" w:before="103"/>
        <w:ind w:right="0"/>
        <w:jc w:val="left"/>
      </w:pPr>
      <w:r>
        <w:rPr/>
        <w:t>（</w:t>
      </w:r>
      <w:r>
        <w:rPr>
          <w:rFonts w:ascii="Times New Roman" w:hAnsi="Times New Roman" w:cs="Times New Roman" w:eastAsia="Times New Roman" w:hint="default"/>
        </w:rPr>
        <w:t>4</w:t>
      </w:r>
      <w:r>
        <w:rPr/>
        <w:t>）应计入生物资产成本的借款费用，按照借款费用的相关规定处理；</w:t>
      </w:r>
    </w:p>
    <w:p>
      <w:pPr>
        <w:spacing w:line="240" w:lineRule="auto" w:before="10"/>
        <w:rPr>
          <w:rFonts w:ascii="宋体" w:hAnsi="宋体" w:cs="宋体" w:eastAsia="宋体" w:hint="default"/>
          <w:sz w:val="16"/>
          <w:szCs w:val="16"/>
        </w:rPr>
      </w:pPr>
    </w:p>
    <w:p>
      <w:pPr>
        <w:pStyle w:val="BodyText"/>
        <w:spacing w:line="379" w:lineRule="auto"/>
        <w:ind w:left="141" w:right="216" w:firstLine="420"/>
        <w:jc w:val="both"/>
      </w:pPr>
      <w:r>
        <w:rPr/>
        <w:t>（</w:t>
      </w:r>
      <w:r>
        <w:rPr>
          <w:rFonts w:ascii="Times New Roman" w:hAnsi="Times New Roman" w:cs="Times New Roman" w:eastAsia="Times New Roman" w:hint="default"/>
        </w:rPr>
        <w:t>5</w:t>
      </w:r>
      <w:r>
        <w:rPr/>
        <w:t>）投资者投入的生物资产的成本，按照投资合同或协议约定的价值确定，但合同或协 议约定价值不公允的除外；</w:t>
      </w:r>
    </w:p>
    <w:p>
      <w:pPr>
        <w:pStyle w:val="BodyText"/>
        <w:spacing w:line="379" w:lineRule="auto" w:before="113"/>
        <w:ind w:left="141" w:right="216" w:firstLine="420"/>
        <w:jc w:val="both"/>
      </w:pPr>
      <w:r>
        <w:rPr/>
        <w:t>（</w:t>
      </w:r>
      <w:r>
        <w:rPr>
          <w:rFonts w:ascii="Times New Roman" w:hAnsi="Times New Roman" w:cs="Times New Roman" w:eastAsia="Times New Roman" w:hint="default"/>
        </w:rPr>
        <w:t>6</w:t>
      </w:r>
      <w:r>
        <w:rPr/>
        <w:t>）生物资产在达到预定生产经营目的后发生的管护、饲养费用等后续支出，计入当期 损益。</w:t>
      </w:r>
    </w:p>
    <w:p>
      <w:pPr>
        <w:spacing w:line="240" w:lineRule="auto" w:before="13"/>
        <w:rPr>
          <w:rFonts w:ascii="宋体" w:hAnsi="宋体" w:cs="宋体" w:eastAsia="宋体" w:hint="default"/>
          <w:sz w:val="13"/>
          <w:szCs w:val="13"/>
        </w:rPr>
      </w:pPr>
    </w:p>
    <w:p>
      <w:pPr>
        <w:pStyle w:val="BodyText"/>
        <w:spacing w:line="240" w:lineRule="auto"/>
        <w:ind w:right="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．生物资产的后续计量</w:t>
      </w:r>
    </w:p>
    <w:p>
      <w:pPr>
        <w:spacing w:line="240" w:lineRule="auto" w:before="10"/>
        <w:rPr>
          <w:rFonts w:ascii="黑体" w:hAnsi="黑体" w:cs="黑体" w:eastAsia="黑体" w:hint="default"/>
          <w:sz w:val="16"/>
          <w:szCs w:val="16"/>
        </w:rPr>
      </w:pPr>
    </w:p>
    <w:p>
      <w:pPr>
        <w:pStyle w:val="BodyText"/>
        <w:spacing w:line="379" w:lineRule="auto"/>
        <w:ind w:left="141" w:right="216" w:firstLine="420"/>
        <w:jc w:val="both"/>
      </w:pPr>
      <w:r>
        <w:rPr/>
        <w:t>（</w:t>
      </w:r>
      <w:r>
        <w:rPr>
          <w:rFonts w:ascii="Times New Roman" w:hAnsi="Times New Roman" w:cs="Times New Roman" w:eastAsia="Times New Roman" w:hint="default"/>
        </w:rPr>
        <w:t>1</w:t>
      </w:r>
      <w:r>
        <w:rPr/>
        <w:t>）本公司对达到预定生长经营目的的生产性生物资产，按期计提折旧，并根据用途分 别计入相关资产的成本或当期损益；</w:t>
      </w:r>
    </w:p>
    <w:p>
      <w:pPr>
        <w:pStyle w:val="BodyText"/>
        <w:spacing w:line="386" w:lineRule="auto" w:before="113"/>
        <w:ind w:left="141" w:right="215" w:firstLine="420"/>
        <w:jc w:val="both"/>
      </w:pPr>
      <w:r>
        <w:rPr/>
        <w:t>（</w:t>
      </w:r>
      <w:r>
        <w:rPr>
          <w:rFonts w:ascii="Times New Roman" w:hAnsi="Times New Roman" w:cs="Times New Roman" w:eastAsia="Times New Roman" w:hint="default"/>
        </w:rPr>
        <w:t>2</w:t>
      </w:r>
      <w:r>
        <w:rPr/>
        <w:t>）本公司生产性生物资产为种鸡，采用年限平均法计提折旧，预计净残值为市场出售 </w:t>
      </w:r>
      <w:r>
        <w:rPr>
          <w:spacing w:val="-4"/>
        </w:rPr>
        <w:t>价，预计使用寿命为</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年。当本公司在年度终了对生产性生物资产的使用寿命、预计净残值和</w:t>
      </w:r>
      <w:r>
        <w:rPr>
          <w:spacing w:val="-103"/>
        </w:rPr>
        <w:t> </w:t>
      </w:r>
      <w:r>
        <w:rPr>
          <w:spacing w:val="-103"/>
        </w:rPr>
      </w:r>
      <w:r>
        <w:rPr>
          <w:spacing w:val="-3"/>
        </w:rPr>
        <w:t>折旧方法进行复核后，发现其使用寿命或预计净残值的预期数与原先估计数有差异的，或者有</w:t>
      </w:r>
      <w:r>
        <w:rPr>
          <w:spacing w:val="-88"/>
        </w:rPr>
        <w:t> </w:t>
      </w:r>
      <w:r>
        <w:rPr>
          <w:spacing w:val="-88"/>
        </w:rPr>
      </w:r>
      <w:r>
        <w:rPr/>
        <w:t>关经济利益预期实现方式有重大改变的，将调整其使用寿命或预计净残值；</w:t>
      </w:r>
    </w:p>
    <w:p>
      <w:pPr>
        <w:pStyle w:val="BodyText"/>
        <w:spacing w:line="396" w:lineRule="auto" w:before="107"/>
        <w:ind w:left="141" w:right="215" w:firstLine="420"/>
        <w:jc w:val="both"/>
      </w:pPr>
      <w:r>
        <w:rPr/>
        <w:t>（</w:t>
      </w:r>
      <w:r>
        <w:rPr>
          <w:rFonts w:ascii="Times New Roman" w:hAnsi="Times New Roman" w:cs="Times New Roman" w:eastAsia="Times New Roman" w:hint="default"/>
        </w:rPr>
        <w:t>3</w:t>
      </w:r>
      <w:r>
        <w:rPr/>
        <w:t>）本公司于每年年度终了对消耗性生物资产和生产性生物资产进行检查，有确凿证据 </w:t>
      </w:r>
      <w:r>
        <w:rPr>
          <w:spacing w:val="-3"/>
        </w:rPr>
        <w:t>表明由于遭受自然灾害、病虫害。动物疫病侵袭或市场需求变化等原因，使消耗性生物资产的</w:t>
      </w:r>
      <w:r>
        <w:rPr>
          <w:spacing w:val="-87"/>
        </w:rPr>
        <w:t> </w:t>
      </w:r>
      <w:r>
        <w:rPr>
          <w:spacing w:val="-87"/>
        </w:rPr>
      </w:r>
      <w:r>
        <w:rPr>
          <w:spacing w:val="-3"/>
        </w:rPr>
        <w:t>可变现净值或生产性生物资产的可收回金额低于其账面价值的，按照可变现净值或可收回金额</w:t>
      </w:r>
      <w:r>
        <w:rPr>
          <w:spacing w:val="-89"/>
        </w:rPr>
        <w:t> </w:t>
      </w:r>
      <w:r>
        <w:rPr>
          <w:spacing w:val="-89"/>
        </w:rPr>
      </w:r>
      <w:r>
        <w:rPr>
          <w:spacing w:val="-3"/>
        </w:rPr>
        <w:t>低于账面价值的差额，计提生物资产跌价准备或减值准备，并计入当期损益。当消耗性生物资</w:t>
      </w:r>
      <w:r>
        <w:rPr>
          <w:spacing w:val="-87"/>
        </w:rPr>
        <w:t> </w:t>
      </w:r>
      <w:r>
        <w:rPr>
          <w:spacing w:val="-87"/>
        </w:rPr>
      </w:r>
      <w:r>
        <w:rPr>
          <w:spacing w:val="-3"/>
        </w:rPr>
        <w:t>产减值的影响因素已经消失的，减记金额予以恢复，并在原已计提的跌价准备金额内转回，转</w:t>
      </w:r>
    </w:p>
    <w:p>
      <w:pPr>
        <w:spacing w:after="0" w:line="396" w:lineRule="auto"/>
        <w:jc w:val="both"/>
        <w:sectPr>
          <w:pgSz w:w="11910" w:h="16840"/>
          <w:pgMar w:header="963" w:footer="893" w:top="1200" w:bottom="1080" w:left="1560" w:right="1480"/>
        </w:sectPr>
      </w:pPr>
    </w:p>
    <w:p>
      <w:pPr>
        <w:spacing w:line="240" w:lineRule="auto" w:before="5"/>
        <w:rPr>
          <w:rFonts w:ascii="宋体" w:hAnsi="宋体" w:cs="宋体" w:eastAsia="宋体" w:hint="default"/>
          <w:sz w:val="23"/>
          <w:szCs w:val="23"/>
        </w:rPr>
      </w:pPr>
    </w:p>
    <w:p>
      <w:pPr>
        <w:pStyle w:val="BodyText"/>
        <w:spacing w:line="240" w:lineRule="auto" w:before="35"/>
        <w:ind w:left="141" w:right="130"/>
        <w:jc w:val="left"/>
      </w:pPr>
      <w:r>
        <w:rPr/>
        <w:t>回的金额计入当期损益。生产性生物资产减值准备一经计提，不再转回。</w:t>
      </w:r>
    </w:p>
    <w:p>
      <w:pPr>
        <w:spacing w:line="240" w:lineRule="auto" w:before="13"/>
        <w:rPr>
          <w:rFonts w:ascii="宋体" w:hAnsi="宋体" w:cs="宋体" w:eastAsia="宋体" w:hint="default"/>
          <w:sz w:val="17"/>
          <w:szCs w:val="17"/>
        </w:rPr>
      </w:pPr>
    </w:p>
    <w:p>
      <w:pPr>
        <w:pStyle w:val="BodyText"/>
        <w:spacing w:line="240" w:lineRule="auto"/>
        <w:ind w:right="130"/>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．处置</w:t>
      </w:r>
    </w:p>
    <w:p>
      <w:pPr>
        <w:spacing w:line="240" w:lineRule="auto" w:before="10"/>
        <w:rPr>
          <w:rFonts w:ascii="黑体" w:hAnsi="黑体" w:cs="黑体" w:eastAsia="黑体" w:hint="default"/>
          <w:sz w:val="16"/>
          <w:szCs w:val="16"/>
        </w:rPr>
      </w:pPr>
    </w:p>
    <w:p>
      <w:pPr>
        <w:pStyle w:val="BodyText"/>
        <w:spacing w:line="379" w:lineRule="auto"/>
        <w:ind w:left="141" w:right="118" w:firstLine="420"/>
        <w:jc w:val="left"/>
      </w:pPr>
      <w:r>
        <w:rPr/>
        <w:t>（</w:t>
      </w:r>
      <w:r>
        <w:rPr>
          <w:rFonts w:ascii="Times New Roman" w:hAnsi="Times New Roman" w:cs="Times New Roman" w:eastAsia="Times New Roman" w:hint="default"/>
        </w:rPr>
        <w:t>1</w:t>
      </w:r>
      <w:r>
        <w:rPr/>
        <w:t>）对于消耗性生物资产，在出售时，按照其账面价值结转成本。结转成本的方法为加 权平均法；</w:t>
      </w:r>
    </w:p>
    <w:p>
      <w:pPr>
        <w:pStyle w:val="BodyText"/>
        <w:spacing w:line="240" w:lineRule="auto" w:before="113"/>
        <w:ind w:right="130"/>
        <w:jc w:val="left"/>
      </w:pPr>
      <w:r>
        <w:rPr/>
        <w:t>（</w:t>
      </w:r>
      <w:r>
        <w:rPr>
          <w:rFonts w:ascii="Times New Roman" w:hAnsi="Times New Roman" w:cs="Times New Roman" w:eastAsia="Times New Roman" w:hint="default"/>
        </w:rPr>
        <w:t>2</w:t>
      </w:r>
      <w:r>
        <w:rPr/>
        <w:t>）生物资产改变用途后的成本，按照改变用途时的账面价值确定；</w:t>
      </w:r>
    </w:p>
    <w:p>
      <w:pPr>
        <w:spacing w:line="240" w:lineRule="auto" w:before="10"/>
        <w:rPr>
          <w:rFonts w:ascii="宋体" w:hAnsi="宋体" w:cs="宋体" w:eastAsia="宋体" w:hint="default"/>
          <w:sz w:val="16"/>
          <w:szCs w:val="16"/>
        </w:rPr>
      </w:pPr>
    </w:p>
    <w:p>
      <w:pPr>
        <w:pStyle w:val="BodyText"/>
        <w:spacing w:line="379" w:lineRule="auto"/>
        <w:ind w:left="141" w:right="118" w:firstLine="420"/>
        <w:jc w:val="left"/>
      </w:pPr>
      <w:r>
        <w:rPr/>
        <w:t>（</w:t>
      </w:r>
      <w:r>
        <w:rPr>
          <w:rFonts w:ascii="Times New Roman" w:hAnsi="Times New Roman" w:cs="Times New Roman" w:eastAsia="Times New Roman" w:hint="default"/>
        </w:rPr>
        <w:t>3</w:t>
      </w:r>
      <w:r>
        <w:rPr/>
        <w:t>）生物资产出售、盘亏或死亡、毁损时，将处置收入扣除其账面价值和相关税费后的 余额计入当期损益。</w:t>
      </w:r>
    </w:p>
    <w:p>
      <w:pPr>
        <w:spacing w:line="240" w:lineRule="auto" w:before="13"/>
        <w:rPr>
          <w:rFonts w:ascii="宋体" w:hAnsi="宋体" w:cs="宋体" w:eastAsia="宋体" w:hint="default"/>
          <w:sz w:val="13"/>
          <w:szCs w:val="13"/>
        </w:rPr>
      </w:pPr>
    </w:p>
    <w:p>
      <w:pPr>
        <w:pStyle w:val="BodyText"/>
        <w:spacing w:line="446" w:lineRule="auto"/>
        <w:ind w:right="1693"/>
        <w:jc w:val="left"/>
        <w:rPr>
          <w:rFonts w:ascii="黑体" w:hAnsi="黑体" w:cs="黑体" w:eastAsia="黑体" w:hint="default"/>
        </w:rPr>
      </w:pPr>
      <w:r>
        <w:rPr>
          <w:rFonts w:ascii="黑体" w:hAnsi="黑体" w:cs="黑体" w:eastAsia="黑体" w:hint="default"/>
        </w:rPr>
        <w:t>（十八）无形资产 </w:t>
      </w:r>
      <w:r>
        <w:rPr/>
        <w:t>无形资产包括使用寿命有限的无形资产和使用寿命不确定的无形资产。 </w:t>
      </w:r>
      <w:r>
        <w:rPr>
          <w:rFonts w:ascii="Times New Roman" w:hAnsi="Times New Roman" w:cs="Times New Roman" w:eastAsia="Times New Roman" w:hint="default"/>
        </w:rPr>
        <w:t>1</w:t>
      </w:r>
      <w:r>
        <w:rPr>
          <w:rFonts w:ascii="黑体" w:hAnsi="黑体" w:cs="黑体" w:eastAsia="黑体" w:hint="default"/>
        </w:rPr>
        <w:t>．无形资产计价</w:t>
      </w:r>
    </w:p>
    <w:p>
      <w:pPr>
        <w:pStyle w:val="BodyText"/>
        <w:spacing w:line="446" w:lineRule="auto" w:before="19"/>
        <w:ind w:left="546" w:right="130" w:firstLine="15"/>
        <w:jc w:val="left"/>
        <w:rPr>
          <w:rFonts w:ascii="黑体" w:hAnsi="黑体" w:cs="黑体" w:eastAsia="黑体" w:hint="default"/>
        </w:rPr>
      </w:pPr>
      <w:r>
        <w:rPr/>
        <w:t>无形资产按实际成本进行初始计量。 </w:t>
      </w:r>
      <w:r>
        <w:rPr>
          <w:spacing w:val="-9"/>
        </w:rPr>
        <w:t>自行开发的无形资产，其成本包括自满足一定条件后至达到预定用途前所发生的支出总额。</w:t>
      </w:r>
      <w:r>
        <w:rPr>
          <w:spacing w:val="-92"/>
        </w:rPr>
        <w:t> </w:t>
      </w:r>
      <w:r>
        <w:rPr>
          <w:spacing w:val="-92"/>
        </w:rPr>
      </w:r>
      <w:r>
        <w:rPr>
          <w:rFonts w:ascii="Times New Roman" w:hAnsi="Times New Roman" w:cs="Times New Roman" w:eastAsia="Times New Roman" w:hint="default"/>
        </w:rPr>
        <w:t>2</w:t>
      </w:r>
      <w:r>
        <w:rPr>
          <w:rFonts w:ascii="黑体" w:hAnsi="黑体" w:cs="黑体" w:eastAsia="黑体" w:hint="default"/>
        </w:rPr>
        <w:t>．无形资产摊销</w:t>
      </w:r>
    </w:p>
    <w:p>
      <w:pPr>
        <w:pStyle w:val="BodyText"/>
        <w:spacing w:line="379" w:lineRule="auto" w:before="19"/>
        <w:ind w:left="141" w:right="118" w:firstLine="420"/>
        <w:jc w:val="left"/>
      </w:pPr>
      <w:r>
        <w:rPr/>
        <w:t>（</w:t>
      </w:r>
      <w:r>
        <w:rPr>
          <w:rFonts w:ascii="Times New Roman" w:hAnsi="Times New Roman" w:cs="Times New Roman" w:eastAsia="Times New Roman" w:hint="default"/>
        </w:rPr>
        <w:t>1</w:t>
      </w:r>
      <w:r>
        <w:rPr/>
        <w:t>）使用寿命有限的无形资产，在使用寿命期限内，采用与该无形资产有关经济利益的 预期实现方式一致的方法摊销，无法可靠确定预期实现方式的，采用直线法摊销；</w:t>
      </w:r>
    </w:p>
    <w:p>
      <w:pPr>
        <w:pStyle w:val="BodyText"/>
        <w:spacing w:line="240" w:lineRule="auto" w:before="113"/>
        <w:ind w:right="130"/>
        <w:jc w:val="left"/>
      </w:pPr>
      <w:r>
        <w:rPr/>
        <w:t>（</w:t>
      </w:r>
      <w:r>
        <w:rPr>
          <w:rFonts w:ascii="Times New Roman" w:hAnsi="Times New Roman" w:cs="Times New Roman" w:eastAsia="Times New Roman" w:hint="default"/>
        </w:rPr>
        <w:t>2</w:t>
      </w:r>
      <w:r>
        <w:rPr/>
        <w:t>）使用寿命不确定的无形资产不摊销。</w:t>
      </w:r>
    </w:p>
    <w:p>
      <w:pPr>
        <w:spacing w:line="240" w:lineRule="auto" w:before="10"/>
        <w:rPr>
          <w:rFonts w:ascii="宋体" w:hAnsi="宋体" w:cs="宋体" w:eastAsia="宋体" w:hint="default"/>
          <w:sz w:val="16"/>
          <w:szCs w:val="16"/>
        </w:rPr>
      </w:pPr>
    </w:p>
    <w:p>
      <w:pPr>
        <w:pStyle w:val="BodyText"/>
        <w:spacing w:line="240" w:lineRule="auto"/>
        <w:ind w:right="130"/>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．无形资产减值准备</w:t>
      </w:r>
    </w:p>
    <w:p>
      <w:pPr>
        <w:spacing w:line="240" w:lineRule="auto" w:before="10"/>
        <w:rPr>
          <w:rFonts w:ascii="黑体" w:hAnsi="黑体" w:cs="黑体" w:eastAsia="黑体" w:hint="default"/>
          <w:sz w:val="16"/>
          <w:szCs w:val="16"/>
        </w:rPr>
      </w:pPr>
    </w:p>
    <w:p>
      <w:pPr>
        <w:pStyle w:val="BodyText"/>
        <w:spacing w:line="400" w:lineRule="auto"/>
        <w:ind w:left="141" w:right="130" w:firstLine="420"/>
        <w:jc w:val="left"/>
      </w:pPr>
      <w:r>
        <w:rPr>
          <w:spacing w:val="-3"/>
        </w:rPr>
        <w:t>对使用寿命不确定的无形资产以及尚未达到可使用状态的无形资产，于资产负债表日进行</w:t>
      </w:r>
      <w:r>
        <w:rPr/>
        <w:t> 减值测试。</w:t>
      </w:r>
    </w:p>
    <w:p>
      <w:pPr>
        <w:pStyle w:val="BodyText"/>
        <w:spacing w:line="400" w:lineRule="auto" w:before="94"/>
        <w:ind w:left="141" w:right="136" w:firstLine="420"/>
        <w:jc w:val="both"/>
      </w:pPr>
      <w:r>
        <w:rPr>
          <w:spacing w:val="-3"/>
        </w:rPr>
        <w:t>对使用寿命有限的无形资产，于资产负债表日，存在减值迹象，估计其可收回金额。可收</w:t>
      </w:r>
      <w:r>
        <w:rPr/>
        <w:t> </w:t>
      </w:r>
      <w:r>
        <w:rPr>
          <w:spacing w:val="-3"/>
        </w:rPr>
        <w:t>回金额低于其账面价值的，将无形资产的账面价值减记至可收回金额，减记的金额确认为无形</w:t>
      </w:r>
      <w:r>
        <w:rPr>
          <w:spacing w:val="-88"/>
        </w:rPr>
        <w:t> </w:t>
      </w:r>
      <w:r>
        <w:rPr>
          <w:spacing w:val="-88"/>
        </w:rPr>
      </w:r>
      <w:r>
        <w:rPr/>
        <w:t>资产减值损失，计入当期损益，同时计提相应的无形资产减值准备。</w:t>
      </w:r>
    </w:p>
    <w:p>
      <w:pPr>
        <w:pStyle w:val="BodyText"/>
        <w:spacing w:line="439" w:lineRule="auto" w:before="94"/>
        <w:ind w:right="643"/>
        <w:jc w:val="left"/>
      </w:pPr>
      <w:r>
        <w:rPr/>
        <w:t>无形资产减值损失一经确认，在以后会计期间不予转回。 </w:t>
      </w:r>
      <w:r>
        <w:rPr>
          <w:rFonts w:ascii="Times New Roman" w:hAnsi="Times New Roman" w:cs="Times New Roman" w:eastAsia="Times New Roman" w:hint="default"/>
        </w:rPr>
        <w:t>4</w:t>
      </w:r>
      <w:r>
        <w:rPr>
          <w:rFonts w:ascii="黑体" w:hAnsi="黑体" w:cs="黑体" w:eastAsia="黑体" w:hint="default"/>
        </w:rPr>
        <w:t>．研究与开发费用的核算方法 </w:t>
      </w:r>
      <w:r>
        <w:rPr/>
        <w:t>公司内部研究开发项目研究阶段的支出，于发生时计入当期损益。 企业内部研究开发项目开发阶段的支出，同时满足下列条件的，确认为无形资产： </w:t>
      </w:r>
      <w:r>
        <w:rPr>
          <w:rFonts w:ascii="Times New Roman" w:hAnsi="Times New Roman" w:cs="Times New Roman" w:eastAsia="Times New Roman" w:hint="default"/>
        </w:rPr>
        <w:t>1</w:t>
      </w:r>
      <w:r>
        <w:rPr/>
        <w:t>、</w:t>
      </w:r>
      <w:r>
        <w:rPr>
          <w:spacing w:val="-1"/>
        </w:rPr>
        <w:t> </w:t>
      </w:r>
      <w:r>
        <w:rPr/>
        <w:t>从技术上来讲，完成该无形资产以使其能够使用或出售具有可行性；</w:t>
      </w:r>
    </w:p>
    <w:p>
      <w:pPr>
        <w:pStyle w:val="BodyText"/>
        <w:spacing w:line="240" w:lineRule="auto" w:before="26"/>
        <w:ind w:right="130"/>
        <w:jc w:val="left"/>
      </w:pPr>
      <w:r>
        <w:rPr>
          <w:rFonts w:ascii="Times New Roman" w:hAnsi="Times New Roman" w:cs="Times New Roman" w:eastAsia="Times New Roman" w:hint="default"/>
        </w:rPr>
        <w:t>2</w:t>
      </w:r>
      <w:r>
        <w:rPr/>
        <w:t>、</w:t>
      </w:r>
      <w:r>
        <w:rPr>
          <w:spacing w:val="-1"/>
        </w:rPr>
        <w:t> </w:t>
      </w:r>
      <w:r>
        <w:rPr/>
        <w:t>具有完成该无形资产并使用或出售的意图；</w:t>
      </w:r>
    </w:p>
    <w:p>
      <w:pPr>
        <w:spacing w:after="0" w:line="240" w:lineRule="auto"/>
        <w:jc w:val="left"/>
        <w:sectPr>
          <w:pgSz w:w="11910" w:h="16840"/>
          <w:pgMar w:header="963" w:footer="893" w:top="1200" w:bottom="1080" w:left="1560" w:right="1560"/>
        </w:sectPr>
      </w:pPr>
    </w:p>
    <w:p>
      <w:pPr>
        <w:spacing w:line="240" w:lineRule="auto" w:before="5"/>
        <w:rPr>
          <w:rFonts w:ascii="宋体" w:hAnsi="宋体" w:cs="宋体" w:eastAsia="宋体" w:hint="default"/>
          <w:sz w:val="23"/>
          <w:szCs w:val="23"/>
        </w:rPr>
      </w:pPr>
    </w:p>
    <w:p>
      <w:pPr>
        <w:pStyle w:val="BodyText"/>
        <w:spacing w:line="379" w:lineRule="auto" w:before="35"/>
        <w:ind w:left="141" w:right="141" w:firstLine="420"/>
        <w:jc w:val="left"/>
      </w:pPr>
      <w:r>
        <w:rPr>
          <w:rFonts w:ascii="Times New Roman" w:hAnsi="Times New Roman" w:cs="Times New Roman" w:eastAsia="Times New Roman" w:hint="default"/>
        </w:rPr>
        <w:t>3</w:t>
      </w:r>
      <w:r>
        <w:rPr/>
        <w:t>、</w:t>
      </w:r>
      <w:r>
        <w:rPr>
          <w:spacing w:val="3"/>
        </w:rPr>
        <w:t> </w:t>
      </w:r>
      <w:r>
        <w:rPr>
          <w:spacing w:val="-3"/>
        </w:rPr>
        <w:t>无形资产产生未来经济利益的方式，包括能够证明运用该无形资产生产的产品存在市</w:t>
      </w:r>
      <w:r>
        <w:rPr/>
        <w:t> 场或无形资产自身存在市场；无形资产将在内部使用时，应证明其有用性；</w:t>
      </w:r>
    </w:p>
    <w:p>
      <w:pPr>
        <w:pStyle w:val="BodyText"/>
        <w:spacing w:line="379" w:lineRule="auto" w:before="113"/>
        <w:ind w:left="141" w:right="140" w:firstLine="420"/>
        <w:jc w:val="left"/>
      </w:pPr>
      <w:r>
        <w:rPr>
          <w:rFonts w:ascii="Times New Roman" w:hAnsi="Times New Roman" w:cs="Times New Roman" w:eastAsia="Times New Roman" w:hint="default"/>
        </w:rPr>
        <w:t>4</w:t>
      </w:r>
      <w:r>
        <w:rPr/>
        <w:t>、</w:t>
      </w:r>
      <w:r>
        <w:rPr>
          <w:spacing w:val="4"/>
        </w:rPr>
        <w:t> </w:t>
      </w:r>
      <w:r>
        <w:rPr>
          <w:spacing w:val="-3"/>
        </w:rPr>
        <w:t>有足够的技术、财务资源和其他资源支持，以完成该无形资产的开发，并有能力使用</w:t>
      </w:r>
      <w:r>
        <w:rPr/>
        <w:t> 或出售该无形资产；</w:t>
      </w:r>
    </w:p>
    <w:p>
      <w:pPr>
        <w:pStyle w:val="BodyText"/>
        <w:spacing w:line="240" w:lineRule="auto" w:before="113"/>
        <w:ind w:right="150"/>
        <w:jc w:val="left"/>
      </w:pPr>
      <w:r>
        <w:rPr>
          <w:rFonts w:ascii="Times New Roman" w:hAnsi="Times New Roman" w:cs="Times New Roman" w:eastAsia="Times New Roman" w:hint="default"/>
        </w:rPr>
        <w:t>5</w:t>
      </w:r>
      <w:r>
        <w:rPr/>
        <w:t>、</w:t>
      </w:r>
      <w:r>
        <w:rPr>
          <w:spacing w:val="-1"/>
        </w:rPr>
        <w:t> </w:t>
      </w:r>
      <w:r>
        <w:rPr/>
        <w:t>归属于该无形资产开发阶段的支出能够可靠计量。</w:t>
      </w:r>
    </w:p>
    <w:p>
      <w:pPr>
        <w:spacing w:line="240" w:lineRule="auto" w:before="1"/>
        <w:rPr>
          <w:rFonts w:ascii="宋体" w:hAnsi="宋体" w:cs="宋体" w:eastAsia="宋体" w:hint="default"/>
          <w:sz w:val="22"/>
          <w:szCs w:val="22"/>
        </w:rPr>
      </w:pPr>
    </w:p>
    <w:p>
      <w:pPr>
        <w:pStyle w:val="BodyText"/>
        <w:spacing w:line="240" w:lineRule="auto"/>
        <w:ind w:right="150"/>
        <w:jc w:val="left"/>
        <w:rPr>
          <w:rFonts w:ascii="黑体" w:hAnsi="黑体" w:cs="黑体" w:eastAsia="黑体" w:hint="default"/>
        </w:rPr>
      </w:pPr>
      <w:r>
        <w:rPr>
          <w:rFonts w:ascii="黑体" w:hAnsi="黑体" w:cs="黑体" w:eastAsia="黑体" w:hint="default"/>
        </w:rPr>
        <w:t>（十九）长期待摊费用</w:t>
      </w:r>
    </w:p>
    <w:p>
      <w:pPr>
        <w:spacing w:line="240" w:lineRule="auto" w:before="1"/>
        <w:rPr>
          <w:rFonts w:ascii="黑体" w:hAnsi="黑体" w:cs="黑体" w:eastAsia="黑体" w:hint="default"/>
          <w:sz w:val="18"/>
          <w:szCs w:val="18"/>
        </w:rPr>
      </w:pPr>
    </w:p>
    <w:p>
      <w:pPr>
        <w:pStyle w:val="BodyText"/>
        <w:spacing w:line="400" w:lineRule="auto"/>
        <w:ind w:left="141" w:right="150" w:firstLine="420"/>
        <w:jc w:val="left"/>
      </w:pPr>
      <w:r>
        <w:rPr>
          <w:spacing w:val="-3"/>
        </w:rPr>
        <w:t>长期待摊费用能确定受益期限的，按受益期限分期平均摊销，不能确定受益期限的按不超</w:t>
      </w:r>
      <w:r>
        <w:rPr/>
        <w:t> 过十年的期限平均摊销。</w:t>
      </w:r>
    </w:p>
    <w:p>
      <w:pPr>
        <w:pStyle w:val="BodyText"/>
        <w:spacing w:line="240" w:lineRule="auto" w:before="164"/>
        <w:ind w:right="150"/>
        <w:jc w:val="left"/>
        <w:rPr>
          <w:rFonts w:ascii="黑体" w:hAnsi="黑体" w:cs="黑体" w:eastAsia="黑体" w:hint="default"/>
        </w:rPr>
      </w:pPr>
      <w:r>
        <w:rPr>
          <w:rFonts w:ascii="黑体" w:hAnsi="黑体" w:cs="黑体" w:eastAsia="黑体" w:hint="default"/>
        </w:rPr>
        <w:t>（二十）预计负债</w:t>
      </w:r>
    </w:p>
    <w:p>
      <w:pPr>
        <w:spacing w:line="240" w:lineRule="auto" w:before="13"/>
        <w:rPr>
          <w:rFonts w:ascii="黑体" w:hAnsi="黑体" w:cs="黑体" w:eastAsia="黑体" w:hint="default"/>
          <w:sz w:val="17"/>
          <w:szCs w:val="17"/>
        </w:rPr>
      </w:pPr>
    </w:p>
    <w:p>
      <w:pPr>
        <w:pStyle w:val="BodyText"/>
        <w:spacing w:line="240" w:lineRule="auto"/>
        <w:ind w:right="150"/>
        <w:jc w:val="left"/>
      </w:pPr>
      <w:r>
        <w:rPr/>
        <w:t>若与或有事项相关的义务同时符合以下条件，确认为预计负债：</w:t>
      </w:r>
    </w:p>
    <w:p>
      <w:pPr>
        <w:spacing w:line="240" w:lineRule="auto" w:before="13"/>
        <w:rPr>
          <w:rFonts w:ascii="宋体" w:hAnsi="宋体" w:cs="宋体" w:eastAsia="宋体" w:hint="default"/>
          <w:sz w:val="17"/>
          <w:szCs w:val="17"/>
        </w:rPr>
      </w:pPr>
    </w:p>
    <w:p>
      <w:pPr>
        <w:pStyle w:val="BodyText"/>
        <w:spacing w:line="240" w:lineRule="auto"/>
        <w:ind w:right="150"/>
        <w:jc w:val="left"/>
      </w:pPr>
      <w:r>
        <w:rPr/>
        <w:t>（</w:t>
      </w:r>
      <w:r>
        <w:rPr>
          <w:rFonts w:ascii="Times New Roman" w:hAnsi="Times New Roman" w:cs="Times New Roman" w:eastAsia="Times New Roman" w:hint="default"/>
        </w:rPr>
        <w:t>1</w:t>
      </w:r>
      <w:r>
        <w:rPr/>
        <w:t>）该义务是企业承担的现时义务；</w:t>
      </w:r>
    </w:p>
    <w:p>
      <w:pPr>
        <w:spacing w:line="240" w:lineRule="auto" w:before="10"/>
        <w:rPr>
          <w:rFonts w:ascii="宋体" w:hAnsi="宋体" w:cs="宋体" w:eastAsia="宋体" w:hint="default"/>
          <w:sz w:val="16"/>
          <w:szCs w:val="16"/>
        </w:rPr>
      </w:pPr>
    </w:p>
    <w:p>
      <w:pPr>
        <w:pStyle w:val="BodyText"/>
        <w:spacing w:line="240" w:lineRule="auto"/>
        <w:ind w:right="150"/>
        <w:jc w:val="left"/>
      </w:pPr>
      <w:r>
        <w:rPr/>
        <w:t>（</w:t>
      </w:r>
      <w:r>
        <w:rPr>
          <w:rFonts w:ascii="Times New Roman" w:hAnsi="Times New Roman" w:cs="Times New Roman" w:eastAsia="Times New Roman" w:hint="default"/>
        </w:rPr>
        <w:t>2</w:t>
      </w:r>
      <w:r>
        <w:rPr/>
        <w:t>）该义务的履行很可能导致经济利益流出企业；</w:t>
      </w:r>
    </w:p>
    <w:p>
      <w:pPr>
        <w:spacing w:line="240" w:lineRule="auto" w:before="10"/>
        <w:rPr>
          <w:rFonts w:ascii="宋体" w:hAnsi="宋体" w:cs="宋体" w:eastAsia="宋体" w:hint="default"/>
          <w:sz w:val="16"/>
          <w:szCs w:val="16"/>
        </w:rPr>
      </w:pPr>
    </w:p>
    <w:p>
      <w:pPr>
        <w:pStyle w:val="BodyText"/>
        <w:spacing w:line="420" w:lineRule="auto"/>
        <w:ind w:right="150"/>
        <w:jc w:val="left"/>
      </w:pPr>
      <w:r>
        <w:rPr/>
        <w:t>（</w:t>
      </w:r>
      <w:r>
        <w:rPr>
          <w:rFonts w:ascii="Times New Roman" w:hAnsi="Times New Roman" w:cs="Times New Roman" w:eastAsia="Times New Roman" w:hint="default"/>
        </w:rPr>
        <w:t>3</w:t>
      </w:r>
      <w:r>
        <w:rPr/>
        <w:t>）该义务的金额能够可靠地计量。 </w:t>
      </w:r>
      <w:r>
        <w:rPr>
          <w:spacing w:val="-3"/>
        </w:rPr>
        <w:t>预计负债按照履行相关现时义务所需支出的最佳估计数进行初始计量，企业清偿预计负债</w:t>
      </w:r>
    </w:p>
    <w:p>
      <w:pPr>
        <w:pStyle w:val="BodyText"/>
        <w:spacing w:line="400" w:lineRule="auto" w:before="28"/>
        <w:ind w:left="141" w:right="150"/>
        <w:jc w:val="left"/>
      </w:pPr>
      <w:r>
        <w:rPr>
          <w:spacing w:val="-3"/>
        </w:rPr>
        <w:t>所需支出全部或部分预期由第三方补偿的，补偿金额只有在基本确定能够收到时才能作为资产</w:t>
      </w:r>
      <w:r>
        <w:rPr>
          <w:spacing w:val="-89"/>
        </w:rPr>
        <w:t> </w:t>
      </w:r>
      <w:r>
        <w:rPr>
          <w:spacing w:val="-89"/>
        </w:rPr>
      </w:r>
      <w:r>
        <w:rPr/>
        <w:t>单独确认。确认的补偿金额不超过预计负债的账面价值。</w:t>
      </w:r>
    </w:p>
    <w:p>
      <w:pPr>
        <w:pStyle w:val="BodyText"/>
        <w:spacing w:line="400" w:lineRule="auto" w:before="94"/>
        <w:ind w:left="141" w:right="156" w:firstLine="420"/>
        <w:jc w:val="both"/>
      </w:pPr>
      <w:r>
        <w:rPr>
          <w:spacing w:val="-3"/>
        </w:rPr>
        <w:t>本公司亏损合同产生的义务和因重组而承担的重组义务同时符合上述条件的，确认为预计</w:t>
      </w:r>
      <w:r>
        <w:rPr/>
        <w:t> </w:t>
      </w:r>
      <w:r>
        <w:rPr>
          <w:spacing w:val="-3"/>
        </w:rPr>
        <w:t>负债。只有在承诺出售部分业务（即签订约束性出售协议）时，才能确认因重组而承担了重组</w:t>
      </w:r>
      <w:r>
        <w:rPr>
          <w:spacing w:val="-90"/>
        </w:rPr>
        <w:t> </w:t>
      </w:r>
      <w:r>
        <w:rPr>
          <w:spacing w:val="-90"/>
        </w:rPr>
      </w:r>
      <w:r>
        <w:rPr/>
        <w:t>义务。</w:t>
      </w:r>
    </w:p>
    <w:p>
      <w:pPr>
        <w:pStyle w:val="BodyText"/>
        <w:spacing w:line="240" w:lineRule="auto" w:before="164"/>
        <w:ind w:right="150"/>
        <w:jc w:val="left"/>
        <w:rPr>
          <w:rFonts w:ascii="黑体" w:hAnsi="黑体" w:cs="黑体" w:eastAsia="黑体" w:hint="default"/>
        </w:rPr>
      </w:pPr>
      <w:r>
        <w:rPr>
          <w:rFonts w:ascii="黑体" w:hAnsi="黑体" w:cs="黑体" w:eastAsia="黑体" w:hint="default"/>
        </w:rPr>
        <w:t>（二十一）股份支付及权益工具</w:t>
      </w:r>
    </w:p>
    <w:p>
      <w:pPr>
        <w:spacing w:line="240" w:lineRule="auto" w:before="13"/>
        <w:rPr>
          <w:rFonts w:ascii="黑体" w:hAnsi="黑体" w:cs="黑体" w:eastAsia="黑体" w:hint="default"/>
          <w:sz w:val="17"/>
          <w:szCs w:val="17"/>
        </w:rPr>
      </w:pPr>
    </w:p>
    <w:p>
      <w:pPr>
        <w:pStyle w:val="BodyText"/>
        <w:spacing w:line="434" w:lineRule="auto"/>
        <w:ind w:right="2343"/>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．股份支付的种类 </w:t>
      </w:r>
      <w:r>
        <w:rPr/>
        <w:t>股份支付分为以权益结算的股份支付和以现金结算的股份支付。 </w:t>
      </w:r>
      <w:r>
        <w:rPr>
          <w:rFonts w:ascii="Times New Roman" w:hAnsi="Times New Roman" w:cs="Times New Roman" w:eastAsia="Times New Roman" w:hint="default"/>
        </w:rPr>
        <w:t>2</w:t>
      </w:r>
      <w:r>
        <w:rPr>
          <w:rFonts w:ascii="黑体" w:hAnsi="黑体" w:cs="黑体" w:eastAsia="黑体" w:hint="default"/>
        </w:rPr>
        <w:t>．权益工具公允价值的确定方法</w:t>
      </w:r>
    </w:p>
    <w:p>
      <w:pPr>
        <w:pStyle w:val="BodyText"/>
        <w:spacing w:line="420" w:lineRule="auto" w:before="31"/>
        <w:ind w:right="150"/>
        <w:jc w:val="left"/>
      </w:pPr>
      <w:r>
        <w:rPr/>
        <w:t>权益工具的公允价值，按照《企业会计准则第</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金融工具确认和计量》确定。 </w:t>
      </w:r>
      <w:r>
        <w:rPr>
          <w:rFonts w:ascii="Times New Roman" w:hAnsi="Times New Roman" w:cs="Times New Roman" w:eastAsia="Times New Roman" w:hint="default"/>
        </w:rPr>
        <w:t>3</w:t>
      </w:r>
      <w:r>
        <w:rPr>
          <w:rFonts w:ascii="黑体" w:hAnsi="黑体" w:cs="黑体" w:eastAsia="黑体" w:hint="default"/>
        </w:rPr>
        <w:t>．确认可行权权益工具最佳估计的依据 </w:t>
      </w:r>
      <w:r>
        <w:rPr>
          <w:spacing w:val="-3"/>
        </w:rPr>
        <w:t>在等待期内每个资产负债表日，根据最新取得的可行权职工人数变动等后续信息做出最佳</w:t>
      </w:r>
    </w:p>
    <w:p>
      <w:pPr>
        <w:pStyle w:val="BodyText"/>
        <w:spacing w:line="240" w:lineRule="auto" w:before="27"/>
        <w:ind w:left="141" w:right="150"/>
        <w:jc w:val="left"/>
      </w:pPr>
      <w:r>
        <w:rPr/>
        <w:t>估计，修正预计可行权的权益工具数量。</w:t>
      </w:r>
    </w:p>
    <w:p>
      <w:pPr>
        <w:spacing w:after="0" w:line="240" w:lineRule="auto"/>
        <w:jc w:val="left"/>
        <w:sectPr>
          <w:pgSz w:w="11910" w:h="16840"/>
          <w:pgMar w:header="963" w:footer="893" w:top="1200" w:bottom="1080" w:left="1560" w:right="1540"/>
        </w:sectPr>
      </w:pPr>
    </w:p>
    <w:p>
      <w:pPr>
        <w:spacing w:line="240" w:lineRule="auto" w:before="5"/>
        <w:rPr>
          <w:rFonts w:ascii="宋体" w:hAnsi="宋体" w:cs="宋体" w:eastAsia="宋体" w:hint="default"/>
          <w:sz w:val="23"/>
          <w:szCs w:val="23"/>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4</w:t>
      </w:r>
      <w:r>
        <w:rPr>
          <w:rFonts w:ascii="黑体" w:hAnsi="黑体" w:cs="黑体" w:eastAsia="黑体" w:hint="default"/>
        </w:rPr>
        <w:t>．实施、修改、终止股份支付计划的相关会计处理</w:t>
      </w:r>
    </w:p>
    <w:p>
      <w:pPr>
        <w:spacing w:line="240" w:lineRule="auto" w:before="10"/>
        <w:rPr>
          <w:rFonts w:ascii="黑体" w:hAnsi="黑体" w:cs="黑体" w:eastAsia="黑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1</w:t>
      </w:r>
      <w:r>
        <w:rPr/>
        <w:t>）股份支付的实施</w:t>
      </w:r>
    </w:p>
    <w:p>
      <w:pPr>
        <w:spacing w:line="240" w:lineRule="auto" w:before="10"/>
        <w:rPr>
          <w:rFonts w:ascii="宋体" w:hAnsi="宋体" w:cs="宋体" w:eastAsia="宋体" w:hint="default"/>
          <w:sz w:val="16"/>
          <w:szCs w:val="16"/>
        </w:rPr>
      </w:pPr>
    </w:p>
    <w:p>
      <w:pPr>
        <w:pStyle w:val="BodyText"/>
        <w:spacing w:line="420" w:lineRule="auto"/>
        <w:ind w:right="210"/>
        <w:jc w:val="left"/>
      </w:pPr>
      <w:r>
        <w:rPr>
          <w:rFonts w:ascii="Times New Roman" w:hAnsi="Times New Roman" w:cs="Times New Roman" w:eastAsia="Times New Roman" w:hint="default"/>
        </w:rPr>
        <w:t>a</w:t>
      </w:r>
      <w:r>
        <w:rPr>
          <w:rFonts w:ascii="黑体" w:hAnsi="黑体" w:cs="黑体" w:eastAsia="黑体" w:hint="default"/>
        </w:rPr>
        <w:t>．</w:t>
      </w:r>
      <w:r>
        <w:rPr/>
        <w:t>以权益结算的股份支付换取职工提供服务的 </w:t>
      </w:r>
      <w:r>
        <w:rPr>
          <w:spacing w:val="-3"/>
        </w:rPr>
        <w:t>以授予职工权益工具的公允价值计量。授予后立即可行权的换取职工服务的以权益结算的</w:t>
      </w:r>
    </w:p>
    <w:p>
      <w:pPr>
        <w:pStyle w:val="BodyText"/>
        <w:spacing w:line="398" w:lineRule="auto" w:before="27"/>
        <w:ind w:left="141" w:right="214"/>
        <w:jc w:val="both"/>
      </w:pPr>
      <w:r>
        <w:rPr>
          <w:spacing w:val="-3"/>
        </w:rPr>
        <w:t>股份支付，在授予日按照权益工具的公允价值计入相关成本或费用，相应增加资本公积。完成</w:t>
      </w:r>
      <w:r>
        <w:rPr>
          <w:spacing w:val="-87"/>
        </w:rPr>
        <w:t> </w:t>
      </w:r>
      <w:r>
        <w:rPr>
          <w:spacing w:val="-87"/>
        </w:rPr>
      </w:r>
      <w:r>
        <w:rPr>
          <w:spacing w:val="-3"/>
        </w:rPr>
        <w:t>等待期内的服务或达到规定业绩条件才可行权的换取职工服务的以权益结算的股份支付，在等</w:t>
      </w:r>
      <w:r>
        <w:rPr>
          <w:spacing w:val="-87"/>
        </w:rPr>
        <w:t> </w:t>
      </w:r>
      <w:r>
        <w:rPr>
          <w:spacing w:val="-87"/>
        </w:rPr>
      </w:r>
      <w:r>
        <w:rPr>
          <w:spacing w:val="-3"/>
        </w:rPr>
        <w:t>待期内的每个资产负债表日，以对可行权权益工具数量的最佳估计为基础，按照权益工具授予</w:t>
      </w:r>
      <w:r>
        <w:rPr>
          <w:spacing w:val="-88"/>
        </w:rPr>
        <w:t> </w:t>
      </w:r>
      <w:r>
        <w:rPr>
          <w:spacing w:val="-88"/>
        </w:rPr>
      </w:r>
      <w:r>
        <w:rPr>
          <w:spacing w:val="-3"/>
        </w:rPr>
        <w:t>日的公允价值，将当期取得的服务计入相关成本或费用和资本公积。在资产负债表日，后续信</w:t>
      </w:r>
      <w:r>
        <w:rPr>
          <w:spacing w:val="-87"/>
        </w:rPr>
        <w:t> </w:t>
      </w:r>
      <w:r>
        <w:rPr>
          <w:spacing w:val="-87"/>
        </w:rPr>
      </w:r>
      <w:r>
        <w:rPr>
          <w:spacing w:val="-3"/>
        </w:rPr>
        <w:t>息表明可行权权益工具的数量与以前估计不同的，进行调整，并在可行权日调整至实际可行权</w:t>
      </w:r>
      <w:r>
        <w:rPr>
          <w:spacing w:val="-88"/>
        </w:rPr>
        <w:t> </w:t>
      </w:r>
      <w:r>
        <w:rPr>
          <w:spacing w:val="-88"/>
        </w:rPr>
      </w:r>
      <w:r>
        <w:rPr/>
        <w:t>的权益工具数量。对于可行权条件为规定服务期间的股份支付</w:t>
      </w:r>
      <w:r>
        <w:rPr>
          <w:rFonts w:ascii="Times New Roman" w:hAnsi="Times New Roman" w:cs="Times New Roman" w:eastAsia="Times New Roman" w:hint="default"/>
        </w:rPr>
        <w:t>,</w:t>
      </w:r>
      <w:r>
        <w:rPr/>
        <w:t>等待期为授予日至可行权日的</w:t>
      </w:r>
      <w:r>
        <w:rPr>
          <w:spacing w:val="-65"/>
        </w:rPr>
        <w:t> </w:t>
      </w:r>
      <w:r>
        <w:rPr>
          <w:spacing w:val="-3"/>
        </w:rPr>
        <w:t>期间；对于可行权条件为规定业绩的股份支付，在授予日根据最可能的业绩结果预计等待期的</w:t>
      </w:r>
      <w:r>
        <w:rPr>
          <w:spacing w:val="-88"/>
        </w:rPr>
        <w:t> </w:t>
      </w:r>
      <w:r>
        <w:rPr>
          <w:spacing w:val="-88"/>
        </w:rPr>
      </w:r>
      <w:r>
        <w:rPr/>
        <w:t>长度。企业在可行权日之后不再对已确认的相关成本或费用和所有者权益总额进行调整。</w:t>
      </w:r>
    </w:p>
    <w:p>
      <w:pPr>
        <w:pStyle w:val="BodyText"/>
        <w:spacing w:line="420" w:lineRule="auto" w:before="96"/>
        <w:ind w:right="210"/>
        <w:jc w:val="left"/>
      </w:pPr>
      <w:r>
        <w:rPr>
          <w:rFonts w:ascii="Times New Roman" w:hAnsi="Times New Roman" w:cs="Times New Roman" w:eastAsia="Times New Roman" w:hint="default"/>
        </w:rPr>
        <w:t>b</w:t>
      </w:r>
      <w:r>
        <w:rPr/>
        <w:t>．以权益结算的股份支付换取其他方服务的，分别下列情况处理： </w:t>
      </w:r>
      <w:r>
        <w:rPr>
          <w:spacing w:val="-3"/>
        </w:rPr>
        <w:t>其他方服务的公允价值能够可靠计量的，按照其他方服务在取得日的公允价值，计入相关</w:t>
      </w:r>
    </w:p>
    <w:p>
      <w:pPr>
        <w:pStyle w:val="BodyText"/>
        <w:spacing w:line="446" w:lineRule="auto" w:before="28"/>
        <w:ind w:right="210" w:hanging="420"/>
        <w:jc w:val="left"/>
      </w:pPr>
      <w:r>
        <w:rPr/>
        <w:t>成本或费用，相应增加所有者权益。 </w:t>
      </w:r>
      <w:r>
        <w:rPr>
          <w:spacing w:val="-3"/>
        </w:rPr>
        <w:t>其他方服务的公允价值不能可靠计量但权益工具公允价值能够可靠计量的，按照权益工具</w:t>
      </w:r>
    </w:p>
    <w:p>
      <w:pPr>
        <w:pStyle w:val="BodyText"/>
        <w:spacing w:line="446" w:lineRule="auto" w:before="4"/>
        <w:ind w:right="93" w:hanging="420"/>
        <w:jc w:val="left"/>
      </w:pPr>
      <w:r>
        <w:rPr/>
        <w:t>在服务取得日的公允价值，计入相关成本或费用，相应增加所有者权益。 在行权日，企业根据实际行权的权益工具数量，计算确定应转入实收资本或股本的金额，</w:t>
      </w:r>
    </w:p>
    <w:p>
      <w:pPr>
        <w:pStyle w:val="BodyText"/>
        <w:spacing w:line="240" w:lineRule="auto" w:before="4"/>
        <w:ind w:left="141" w:right="0"/>
        <w:jc w:val="both"/>
      </w:pPr>
      <w:r>
        <w:rPr/>
        <w:t>将其转入实收资本或股本。</w:t>
      </w:r>
    </w:p>
    <w:p>
      <w:pPr>
        <w:spacing w:line="240" w:lineRule="auto" w:before="13"/>
        <w:rPr>
          <w:rFonts w:ascii="宋体" w:hAnsi="宋体" w:cs="宋体" w:eastAsia="宋体" w:hint="default"/>
          <w:sz w:val="17"/>
          <w:szCs w:val="17"/>
        </w:rPr>
      </w:pPr>
    </w:p>
    <w:p>
      <w:pPr>
        <w:pStyle w:val="BodyText"/>
        <w:spacing w:line="420" w:lineRule="auto"/>
        <w:ind w:right="210"/>
        <w:jc w:val="left"/>
      </w:pPr>
      <w:r>
        <w:rPr>
          <w:rFonts w:ascii="Times New Roman" w:hAnsi="Times New Roman" w:cs="Times New Roman" w:eastAsia="Times New Roman" w:hint="default"/>
        </w:rPr>
        <w:t>c</w:t>
      </w:r>
      <w:r>
        <w:rPr/>
        <w:t>．以现金结算的股份支付 </w:t>
      </w:r>
      <w:r>
        <w:rPr>
          <w:spacing w:val="-3"/>
        </w:rPr>
        <w:t>按照企业承担的以股份或其他权益工具为基础计算确定的负债的公允价值计量。授予后立</w:t>
      </w:r>
    </w:p>
    <w:p>
      <w:pPr>
        <w:pStyle w:val="BodyText"/>
        <w:spacing w:line="400" w:lineRule="auto" w:before="28"/>
        <w:ind w:left="141" w:right="215"/>
        <w:jc w:val="both"/>
      </w:pPr>
      <w:r>
        <w:rPr>
          <w:spacing w:val="2"/>
        </w:rPr>
        <w:t>即可行权的以现金结算的股份支付，在授予日以企业承担负债的公允价值计入相关成本或费</w:t>
      </w:r>
      <w:r>
        <w:rPr>
          <w:spacing w:val="-100"/>
        </w:rPr>
        <w:t> </w:t>
      </w:r>
      <w:r>
        <w:rPr>
          <w:spacing w:val="-100"/>
        </w:rPr>
      </w:r>
      <w:r>
        <w:rPr>
          <w:spacing w:val="-3"/>
        </w:rPr>
        <w:t>用，相应增加负债。完成等待期内的服务或达到规定业绩条件以后才可行权的以现金结算的股</w:t>
      </w:r>
      <w:r>
        <w:rPr>
          <w:spacing w:val="-88"/>
        </w:rPr>
        <w:t> </w:t>
      </w:r>
      <w:r>
        <w:rPr>
          <w:spacing w:val="-88"/>
        </w:rPr>
      </w:r>
      <w:r>
        <w:rPr>
          <w:spacing w:val="-3"/>
        </w:rPr>
        <w:t>份支付，在等待期内的每个资产负债表日，以对可行权情况的最佳估计为基础，按照企业承担</w:t>
      </w:r>
      <w:r>
        <w:rPr>
          <w:spacing w:val="-87"/>
        </w:rPr>
        <w:t> </w:t>
      </w:r>
      <w:r>
        <w:rPr>
          <w:spacing w:val="-87"/>
        </w:rPr>
      </w:r>
      <w:r>
        <w:rPr>
          <w:spacing w:val="-3"/>
        </w:rPr>
        <w:t>负债的公允价值金额，将当期取得的服务计入成本或费用和相应的负债。在资产负债表日，后</w:t>
      </w:r>
      <w:r>
        <w:rPr>
          <w:spacing w:val="-87"/>
        </w:rPr>
        <w:t> </w:t>
      </w:r>
      <w:r>
        <w:rPr>
          <w:spacing w:val="-87"/>
        </w:rPr>
      </w:r>
      <w:r>
        <w:rPr>
          <w:spacing w:val="-3"/>
        </w:rPr>
        <w:t>续信息表明企业当期承担债务的公允价值与以前估计不同的，进行调整，并在可行权日调整至</w:t>
      </w:r>
      <w:r>
        <w:rPr>
          <w:spacing w:val="-88"/>
        </w:rPr>
        <w:t> </w:t>
      </w:r>
      <w:r>
        <w:rPr>
          <w:spacing w:val="-88"/>
        </w:rPr>
      </w:r>
      <w:r>
        <w:rPr>
          <w:spacing w:val="-3"/>
        </w:rPr>
        <w:t>实际可行权水平。企业在相关负债结算前的每个资产负债表日以及结算日，对负债的公允价值</w:t>
      </w:r>
      <w:r>
        <w:rPr>
          <w:spacing w:val="-88"/>
        </w:rPr>
        <w:t> </w:t>
      </w:r>
      <w:r>
        <w:rPr>
          <w:spacing w:val="-88"/>
        </w:rPr>
      </w:r>
      <w:r>
        <w:rPr/>
        <w:t>重新计量，其变动计入当期损益。</w:t>
      </w:r>
    </w:p>
    <w:p>
      <w:pPr>
        <w:spacing w:after="0" w:line="400" w:lineRule="auto"/>
        <w:jc w:val="both"/>
        <w:sectPr>
          <w:pgSz w:w="11910" w:h="16840"/>
          <w:pgMar w:header="963" w:footer="893" w:top="1200" w:bottom="1080" w:left="1560" w:right="1480"/>
        </w:sectPr>
      </w:pPr>
    </w:p>
    <w:p>
      <w:pPr>
        <w:spacing w:line="240" w:lineRule="auto" w:before="5"/>
        <w:rPr>
          <w:rFonts w:ascii="宋体" w:hAnsi="宋体" w:cs="宋体" w:eastAsia="宋体" w:hint="default"/>
          <w:sz w:val="23"/>
          <w:szCs w:val="23"/>
        </w:rPr>
      </w:pPr>
    </w:p>
    <w:p>
      <w:pPr>
        <w:pStyle w:val="BodyText"/>
        <w:spacing w:line="240" w:lineRule="auto" w:before="35"/>
        <w:ind w:right="0"/>
        <w:jc w:val="left"/>
      </w:pPr>
      <w:r>
        <w:rPr/>
        <w:t>（</w:t>
      </w:r>
      <w:r>
        <w:rPr>
          <w:rFonts w:ascii="Times New Roman" w:hAnsi="Times New Roman" w:cs="Times New Roman" w:eastAsia="Times New Roman" w:hint="default"/>
        </w:rPr>
        <w:t>2</w:t>
      </w:r>
      <w:r>
        <w:rPr/>
        <w:t>）股份支付的修改</w:t>
      </w:r>
    </w:p>
    <w:p>
      <w:pPr>
        <w:spacing w:line="240" w:lineRule="auto" w:before="10"/>
        <w:rPr>
          <w:rFonts w:ascii="宋体" w:hAnsi="宋体" w:cs="宋体" w:eastAsia="宋体" w:hint="default"/>
          <w:sz w:val="16"/>
          <w:szCs w:val="16"/>
        </w:rPr>
      </w:pPr>
    </w:p>
    <w:p>
      <w:pPr>
        <w:pStyle w:val="BodyText"/>
        <w:spacing w:line="398" w:lineRule="auto"/>
        <w:ind w:left="141" w:right="0" w:firstLine="420"/>
        <w:jc w:val="left"/>
      </w:pPr>
      <w:r>
        <w:rPr>
          <w:rFonts w:ascii="Times New Roman" w:hAnsi="Times New Roman" w:cs="Times New Roman" w:eastAsia="Times New Roman" w:hint="default"/>
        </w:rPr>
        <w:t>a</w:t>
      </w:r>
      <w:r>
        <w:rPr/>
        <w:t>．修改增加了所授予的权益工具的公允价值，按照权益工具公允价值的增加相应地确认 </w:t>
      </w:r>
      <w:r>
        <w:rPr>
          <w:spacing w:val="-3"/>
        </w:rPr>
        <w:t>取得服务的增加。修改发生在等待期内，在确认修改日至修改后的可行权日之间取得服务的公</w:t>
      </w:r>
      <w:r>
        <w:rPr>
          <w:spacing w:val="-88"/>
        </w:rPr>
        <w:t> </w:t>
      </w:r>
      <w:r>
        <w:rPr>
          <w:spacing w:val="-88"/>
        </w:rPr>
      </w:r>
      <w:r>
        <w:rPr>
          <w:spacing w:val="-3"/>
        </w:rPr>
        <w:t>允价值时，既包括在剩余原等待期内以原权益工具授予日公允价值为基础确定的服务金额，也</w:t>
      </w:r>
      <w:r>
        <w:rPr>
          <w:spacing w:val="-88"/>
        </w:rPr>
        <w:t> </w:t>
      </w:r>
      <w:r>
        <w:rPr>
          <w:spacing w:val="-88"/>
        </w:rPr>
      </w:r>
      <w:r>
        <w:rPr>
          <w:spacing w:val="-6"/>
        </w:rPr>
        <w:t>包括权益工具公允价值的增加。修改发生在可行权日之后，立即确认权益工具公允价值的增加。</w:t>
      </w:r>
      <w:r>
        <w:rPr>
          <w:spacing w:val="-66"/>
        </w:rPr>
        <w:t> </w:t>
      </w:r>
      <w:r>
        <w:rPr>
          <w:spacing w:val="-66"/>
        </w:rPr>
      </w:r>
      <w:r>
        <w:rPr>
          <w:spacing w:val="-3"/>
        </w:rPr>
        <w:t>如果股份支付协议要求职工只有先完成更长期间的服务才能取得修改后的权益工具，则在整个</w:t>
      </w:r>
      <w:r>
        <w:rPr>
          <w:spacing w:val="-87"/>
        </w:rPr>
        <w:t> </w:t>
      </w:r>
      <w:r>
        <w:rPr>
          <w:spacing w:val="-87"/>
        </w:rPr>
      </w:r>
      <w:r>
        <w:rPr/>
        <w:t>等待期内确认权益工具公允价值的增加。</w:t>
      </w:r>
    </w:p>
    <w:p>
      <w:pPr>
        <w:pStyle w:val="BodyText"/>
        <w:spacing w:line="393" w:lineRule="auto" w:before="96"/>
        <w:ind w:left="141" w:right="216" w:firstLine="420"/>
        <w:jc w:val="both"/>
      </w:pPr>
      <w:r>
        <w:rPr>
          <w:rFonts w:ascii="Times New Roman" w:hAnsi="Times New Roman" w:cs="Times New Roman" w:eastAsia="Times New Roman" w:hint="default"/>
        </w:rPr>
        <w:t>b</w:t>
      </w:r>
      <w:r>
        <w:rPr/>
        <w:t>．修改增加了所授予的权益工具的数量，将增加的权益工具的公允价值相应地确认为取 </w:t>
      </w:r>
      <w:r>
        <w:rPr>
          <w:spacing w:val="-3"/>
        </w:rPr>
        <w:t>得服务的增加。如果修改发生在等待期内，在确认修改日至增加的权益工具可行权日之间取得</w:t>
      </w:r>
      <w:r>
        <w:rPr>
          <w:spacing w:val="-88"/>
        </w:rPr>
        <w:t> </w:t>
      </w:r>
      <w:r>
        <w:rPr>
          <w:spacing w:val="-88"/>
        </w:rPr>
      </w:r>
      <w:r>
        <w:rPr>
          <w:spacing w:val="-3"/>
        </w:rPr>
        <w:t>服务的公允价值时，既包括在剩余原等待期内以原权益工具授予日公允价值为基础确定的服务</w:t>
      </w:r>
      <w:r>
        <w:rPr>
          <w:spacing w:val="-89"/>
        </w:rPr>
        <w:t> </w:t>
      </w:r>
      <w:r>
        <w:rPr>
          <w:spacing w:val="-89"/>
        </w:rPr>
      </w:r>
      <w:r>
        <w:rPr/>
        <w:t>金额，也包括权益工具公允价值的增加。</w:t>
      </w:r>
    </w:p>
    <w:p>
      <w:pPr>
        <w:pStyle w:val="BodyText"/>
        <w:spacing w:line="379" w:lineRule="auto" w:before="101"/>
        <w:ind w:left="141" w:right="214" w:firstLine="420"/>
        <w:jc w:val="both"/>
      </w:pPr>
      <w:r>
        <w:rPr>
          <w:rFonts w:ascii="Times New Roman" w:hAnsi="Times New Roman" w:cs="Times New Roman" w:eastAsia="Times New Roman" w:hint="default"/>
          <w:spacing w:val="-6"/>
        </w:rPr>
        <w:t>c</w:t>
      </w:r>
      <w:r>
        <w:rPr>
          <w:spacing w:val="-6"/>
        </w:rPr>
        <w:t>．如果按照有利于职工的方式修改可行权条件，如缩短等待期、变更或取消业绩条件（而</w:t>
      </w:r>
      <w:r>
        <w:rPr/>
        <w:t> </w:t>
      </w:r>
      <w:r>
        <w:rPr>
          <w:spacing w:val="-4"/>
        </w:rPr>
        <w:t>非市场条件），在处理可行权条件时，考虑修改后的可行权条件。</w:t>
      </w:r>
    </w:p>
    <w:p>
      <w:pPr>
        <w:pStyle w:val="BodyText"/>
        <w:spacing w:line="379" w:lineRule="auto" w:before="113"/>
        <w:ind w:left="141" w:right="216" w:firstLine="420"/>
        <w:jc w:val="both"/>
      </w:pPr>
      <w:r>
        <w:rPr>
          <w:rFonts w:ascii="Times New Roman" w:hAnsi="Times New Roman" w:cs="Times New Roman" w:eastAsia="Times New Roman" w:hint="default"/>
        </w:rPr>
        <w:t>d</w:t>
      </w:r>
      <w:r>
        <w:rPr/>
        <w:t>．修改减少了所授予的权益工具的公允价值，继续以权益工具在授予日的公允价值为基 础，确认取得服务的金额，而不考虑权益工具公允价值的减少。</w:t>
      </w:r>
    </w:p>
    <w:p>
      <w:pPr>
        <w:pStyle w:val="BodyText"/>
        <w:spacing w:line="379" w:lineRule="auto" w:before="113"/>
        <w:ind w:left="141" w:right="215" w:firstLine="420"/>
        <w:jc w:val="both"/>
      </w:pPr>
      <w:r>
        <w:rPr>
          <w:rFonts w:ascii="Times New Roman" w:hAnsi="Times New Roman" w:cs="Times New Roman" w:eastAsia="Times New Roman" w:hint="default"/>
        </w:rPr>
        <w:t>e</w:t>
      </w:r>
      <w:r>
        <w:rPr/>
        <w:t>．修改减少了授予的权益工具的数量，将减少部分作为已授予的权益工具的取消来进行 处理。</w:t>
      </w:r>
    </w:p>
    <w:p>
      <w:pPr>
        <w:pStyle w:val="BodyText"/>
        <w:spacing w:line="379" w:lineRule="auto" w:before="113"/>
        <w:ind w:left="141" w:right="213" w:firstLine="420"/>
        <w:jc w:val="both"/>
      </w:pPr>
      <w:r>
        <w:rPr>
          <w:rFonts w:ascii="Times New Roman" w:hAnsi="Times New Roman" w:cs="Times New Roman" w:eastAsia="Times New Roman" w:hint="default"/>
        </w:rPr>
        <w:t>f</w:t>
      </w:r>
      <w:r>
        <w:rPr/>
        <w:t>．以不利于职工的方式修改了可行权条件，如延长等待期、增加或变更业绩条件（而非</w:t>
      </w:r>
      <w:r>
        <w:rPr>
          <w:spacing w:val="1"/>
          <w:w w:val="99"/>
        </w:rPr>
        <w:t> </w:t>
      </w:r>
      <w:r>
        <w:rPr>
          <w:spacing w:val="-4"/>
          <w:w w:val="99"/>
        </w:rPr>
        <w:t>市场条件），在处理可行权条件时，不考虑修改后的可行权条件。</w:t>
      </w:r>
      <w:r>
        <w:rPr>
          <w:spacing w:val="-4"/>
        </w:rPr>
      </w:r>
    </w:p>
    <w:p>
      <w:pPr>
        <w:pStyle w:val="BodyText"/>
        <w:spacing w:line="420" w:lineRule="auto" w:before="113"/>
        <w:ind w:right="198"/>
        <w:jc w:val="left"/>
      </w:pPr>
      <w:r>
        <w:rPr/>
        <w:t>（</w:t>
      </w:r>
      <w:r>
        <w:rPr>
          <w:rFonts w:ascii="Times New Roman" w:hAnsi="Times New Roman" w:cs="Times New Roman" w:eastAsia="Times New Roman" w:hint="default"/>
        </w:rPr>
        <w:t>3</w:t>
      </w:r>
      <w:r>
        <w:rPr/>
        <w:t>）股份支付的终止 </w:t>
      </w:r>
      <w:r>
        <w:rPr>
          <w:rFonts w:ascii="Times New Roman" w:hAnsi="Times New Roman" w:cs="Times New Roman" w:eastAsia="Times New Roman" w:hint="default"/>
        </w:rPr>
        <w:t>a</w:t>
      </w:r>
      <w:r>
        <w:rPr/>
        <w:t>．将取消或结算作为加速可行权处理，立即确认原本应在剩余等待期内确认的金额。 </w:t>
      </w:r>
      <w:r>
        <w:rPr>
          <w:rFonts w:ascii="Times New Roman" w:hAnsi="Times New Roman" w:cs="Times New Roman" w:eastAsia="Times New Roman" w:hint="default"/>
        </w:rPr>
        <w:t>b</w:t>
      </w:r>
      <w:r>
        <w:rPr/>
        <w:t>．在取消或结算时支付给职工的所有款项均应作为权益的回购处理，回购支付的金额高</w:t>
      </w:r>
    </w:p>
    <w:p>
      <w:pPr>
        <w:pStyle w:val="BodyText"/>
        <w:spacing w:line="269" w:lineRule="exact"/>
        <w:ind w:left="141" w:right="0"/>
        <w:jc w:val="left"/>
      </w:pPr>
      <w:r>
        <w:rPr/>
        <w:t>于该权益工具在回购日公允价值的部分，计入当期费用。</w:t>
      </w:r>
    </w:p>
    <w:p>
      <w:pPr>
        <w:spacing w:line="240" w:lineRule="auto" w:before="13"/>
        <w:rPr>
          <w:rFonts w:ascii="宋体" w:hAnsi="宋体" w:cs="宋体" w:eastAsia="宋体" w:hint="default"/>
          <w:sz w:val="17"/>
          <w:szCs w:val="17"/>
        </w:rPr>
      </w:pPr>
    </w:p>
    <w:p>
      <w:pPr>
        <w:pStyle w:val="BodyText"/>
        <w:spacing w:line="393" w:lineRule="auto"/>
        <w:ind w:left="141" w:right="215" w:firstLine="420"/>
        <w:jc w:val="both"/>
      </w:pPr>
      <w:r>
        <w:rPr>
          <w:rFonts w:ascii="Times New Roman" w:hAnsi="Times New Roman" w:cs="Times New Roman" w:eastAsia="Times New Roman" w:hint="default"/>
        </w:rPr>
        <w:t>c</w:t>
      </w:r>
      <w:r>
        <w:rPr/>
        <w:t>．如果向职工授予新的权益工具，并在新权益工具授予日认定所授予的新权益工具是用 </w:t>
      </w:r>
      <w:r>
        <w:rPr>
          <w:spacing w:val="-3"/>
        </w:rPr>
        <w:t>于替代被取消的权益工具的，企业应以处理原权益工具条款和条件修改相同的方式，对所授予</w:t>
      </w:r>
      <w:r>
        <w:rPr>
          <w:spacing w:val="-88"/>
        </w:rPr>
        <w:t> </w:t>
      </w:r>
      <w:r>
        <w:rPr>
          <w:spacing w:val="-88"/>
        </w:rPr>
      </w:r>
      <w:r>
        <w:rPr>
          <w:spacing w:val="-3"/>
        </w:rPr>
        <w:t>的替代权益工具进行处理。企业如果回购其职工已可行权的权益工具，借记所有者权益，回购</w:t>
      </w:r>
      <w:r>
        <w:rPr>
          <w:spacing w:val="-87"/>
        </w:rPr>
        <w:t> </w:t>
      </w:r>
      <w:r>
        <w:rPr>
          <w:spacing w:val="-87"/>
        </w:rPr>
      </w:r>
      <w:r>
        <w:rPr/>
        <w:t>支付的金额高于该权益工具在回购日公允价值的部分，计入当期费用。</w:t>
      </w:r>
    </w:p>
    <w:p>
      <w:pPr>
        <w:spacing w:after="0" w:line="393" w:lineRule="auto"/>
        <w:jc w:val="both"/>
        <w:sectPr>
          <w:pgSz w:w="11910" w:h="16840"/>
          <w:pgMar w:header="963" w:footer="893" w:top="1200" w:bottom="1080" w:left="1560" w:right="1480"/>
        </w:sectPr>
      </w:pPr>
    </w:p>
    <w:p>
      <w:pPr>
        <w:spacing w:line="240" w:lineRule="auto" w:before="4"/>
        <w:rPr>
          <w:rFonts w:ascii="宋体" w:hAnsi="宋体" w:cs="宋体" w:eastAsia="宋体" w:hint="default"/>
          <w:sz w:val="23"/>
          <w:szCs w:val="23"/>
        </w:rPr>
      </w:pPr>
    </w:p>
    <w:p>
      <w:pPr>
        <w:pStyle w:val="BodyText"/>
        <w:spacing w:line="240" w:lineRule="auto" w:before="35"/>
        <w:ind w:right="0"/>
        <w:jc w:val="left"/>
        <w:rPr>
          <w:rFonts w:ascii="黑体" w:hAnsi="黑体" w:cs="黑体" w:eastAsia="黑体" w:hint="default"/>
        </w:rPr>
      </w:pPr>
      <w:r>
        <w:rPr>
          <w:rFonts w:ascii="黑体" w:hAnsi="黑体" w:cs="黑体" w:eastAsia="黑体" w:hint="default"/>
        </w:rPr>
        <w:t>（二十二）收入</w:t>
      </w:r>
    </w:p>
    <w:p>
      <w:pPr>
        <w:spacing w:line="240" w:lineRule="auto" w:before="5"/>
        <w:rPr>
          <w:rFonts w:ascii="黑体" w:hAnsi="黑体" w:cs="黑体" w:eastAsia="黑体" w:hint="default"/>
          <w:sz w:val="23"/>
          <w:szCs w:val="23"/>
        </w:rPr>
      </w:pPr>
    </w:p>
    <w:p>
      <w:pPr>
        <w:pStyle w:val="BodyText"/>
        <w:spacing w:line="240" w:lineRule="auto"/>
        <w:ind w:right="0"/>
        <w:jc w:val="left"/>
      </w:pPr>
      <w:r>
        <w:rPr>
          <w:rFonts w:ascii="Times New Roman" w:hAnsi="Times New Roman" w:cs="Times New Roman" w:eastAsia="Times New Roman" w:hint="default"/>
        </w:rPr>
        <w:t>1</w:t>
      </w:r>
      <w:r>
        <w:rPr/>
        <w:t>．销售商品收入同时满足下列条件的，予以确认：</w:t>
      </w:r>
    </w:p>
    <w:p>
      <w:pPr>
        <w:spacing w:line="240" w:lineRule="auto" w:before="10"/>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1</w:t>
      </w:r>
      <w:r>
        <w:rPr/>
        <w:t>）公司已将商品所有权上的主要风险和报酬转移给购货方；</w:t>
      </w:r>
    </w:p>
    <w:p>
      <w:pPr>
        <w:spacing w:line="240" w:lineRule="auto" w:before="10"/>
        <w:rPr>
          <w:rFonts w:ascii="宋体" w:hAnsi="宋体" w:cs="宋体" w:eastAsia="宋体" w:hint="default"/>
          <w:sz w:val="16"/>
          <w:szCs w:val="16"/>
        </w:rPr>
      </w:pPr>
    </w:p>
    <w:p>
      <w:pPr>
        <w:pStyle w:val="BodyText"/>
        <w:spacing w:line="379" w:lineRule="auto"/>
        <w:ind w:left="141" w:right="198" w:firstLine="420"/>
        <w:jc w:val="left"/>
      </w:pPr>
      <w:r>
        <w:rPr/>
        <w:t>（</w:t>
      </w:r>
      <w:r>
        <w:rPr>
          <w:rFonts w:ascii="Times New Roman" w:hAnsi="Times New Roman" w:cs="Times New Roman" w:eastAsia="Times New Roman" w:hint="default"/>
        </w:rPr>
        <w:t>2</w:t>
      </w:r>
      <w:r>
        <w:rPr/>
        <w:t>）公司既没有保留通常与所有权相联系的继续管理权，也没有对已售出的商品实施有 效控制；</w:t>
      </w:r>
    </w:p>
    <w:p>
      <w:pPr>
        <w:pStyle w:val="BodyText"/>
        <w:spacing w:line="240" w:lineRule="auto" w:before="113"/>
        <w:ind w:right="0"/>
        <w:jc w:val="left"/>
      </w:pPr>
      <w:r>
        <w:rPr/>
        <w:t>（</w:t>
      </w:r>
      <w:r>
        <w:rPr>
          <w:rFonts w:ascii="Times New Roman" w:hAnsi="Times New Roman" w:cs="Times New Roman" w:eastAsia="Times New Roman" w:hint="default"/>
        </w:rPr>
        <w:t>3</w:t>
      </w:r>
      <w:r>
        <w:rPr/>
        <w:t>）收入的金额能够可靠地计量；</w:t>
      </w:r>
    </w:p>
    <w:p>
      <w:pPr>
        <w:spacing w:line="240" w:lineRule="auto" w:before="10"/>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4</w:t>
      </w:r>
      <w:r>
        <w:rPr/>
        <w:t>）相关的经济利益很可能流入企业；</w:t>
      </w:r>
    </w:p>
    <w:p>
      <w:pPr>
        <w:spacing w:line="240" w:lineRule="auto" w:before="10"/>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10"/>
        <w:rPr>
          <w:rFonts w:ascii="宋体" w:hAnsi="宋体" w:cs="宋体" w:eastAsia="宋体" w:hint="default"/>
          <w:sz w:val="16"/>
          <w:szCs w:val="16"/>
        </w:rPr>
      </w:pPr>
    </w:p>
    <w:p>
      <w:pPr>
        <w:pStyle w:val="BodyText"/>
        <w:spacing w:line="379" w:lineRule="auto"/>
        <w:ind w:left="141" w:right="198" w:firstLine="420"/>
        <w:jc w:val="left"/>
      </w:pPr>
      <w:r>
        <w:rPr>
          <w:rFonts w:ascii="Times New Roman" w:hAnsi="Times New Roman" w:cs="Times New Roman" w:eastAsia="Times New Roman" w:hint="default"/>
        </w:rPr>
        <w:t>2</w:t>
      </w:r>
      <w:r>
        <w:rPr/>
        <w:t>．提供劳务，在资产负债表日提供劳务交易的结果能够可靠估计的，采用完工百分比法 确认提供劳务收入。</w:t>
      </w:r>
    </w:p>
    <w:p>
      <w:pPr>
        <w:pStyle w:val="BodyText"/>
        <w:spacing w:line="446" w:lineRule="auto" w:before="113"/>
        <w:ind w:right="210"/>
        <w:jc w:val="left"/>
      </w:pPr>
      <w:r>
        <w:rPr/>
        <w:t>公司采用已经发生的成本占估计总成本的比例确定提供劳务交易的完工进度。 </w:t>
      </w:r>
      <w:r>
        <w:rPr>
          <w:spacing w:val="-3"/>
        </w:rPr>
        <w:t>在资产负债表日提供劳务交易结果不能够可靠估计的，已经发生的劳务成本预计能够得到</w:t>
      </w:r>
    </w:p>
    <w:p>
      <w:pPr>
        <w:pStyle w:val="BodyText"/>
        <w:spacing w:line="400" w:lineRule="auto" w:before="4"/>
        <w:ind w:left="141" w:right="215"/>
        <w:jc w:val="both"/>
      </w:pPr>
      <w:r>
        <w:rPr>
          <w:spacing w:val="-3"/>
        </w:rPr>
        <w:t>补偿的，按照已经发生的劳务成本金额确认提供劳务收入，并按相同金额结转劳务成本；已经</w:t>
      </w:r>
      <w:r>
        <w:rPr>
          <w:spacing w:val="-87"/>
        </w:rPr>
        <w:t> </w:t>
      </w:r>
      <w:r>
        <w:rPr>
          <w:spacing w:val="-87"/>
        </w:rPr>
      </w:r>
      <w:r>
        <w:rPr>
          <w:spacing w:val="-3"/>
        </w:rPr>
        <w:t>发生的劳务成本预计不能够得到补偿的，将已经发生的劳务成本计入当期损益，不确认提供劳</w:t>
      </w:r>
      <w:r>
        <w:rPr>
          <w:spacing w:val="-88"/>
        </w:rPr>
        <w:t> </w:t>
      </w:r>
      <w:r>
        <w:rPr>
          <w:spacing w:val="-88"/>
        </w:rPr>
      </w:r>
      <w:r>
        <w:rPr/>
        <w:t>务收入。</w:t>
      </w:r>
    </w:p>
    <w:p>
      <w:pPr>
        <w:pStyle w:val="BodyText"/>
        <w:spacing w:line="391" w:lineRule="auto" w:before="94"/>
        <w:ind w:left="141" w:right="108" w:firstLine="420"/>
        <w:jc w:val="left"/>
      </w:pPr>
      <w:r>
        <w:rPr>
          <w:rFonts w:ascii="Times New Roman" w:hAnsi="Times New Roman" w:cs="Times New Roman" w:eastAsia="Times New Roman" w:hint="default"/>
          <w:spacing w:val="-3"/>
        </w:rPr>
        <w:t>3</w:t>
      </w:r>
      <w:r>
        <w:rPr>
          <w:spacing w:val="-3"/>
        </w:rPr>
        <w:t>．让渡资产使用权，相关的经济利益很可能流入企业，且收入的金额能够可靠地计量的，</w:t>
      </w:r>
      <w:r>
        <w:rPr/>
        <w:t> </w:t>
      </w:r>
      <w:r>
        <w:rPr>
          <w:spacing w:val="-3"/>
        </w:rPr>
        <w:t>确认收入。利息收入金额，按照他人使用本企业货币资金的时间和实际利率计算确定。使用费</w:t>
      </w:r>
      <w:r>
        <w:rPr>
          <w:spacing w:val="-87"/>
        </w:rPr>
        <w:t> </w:t>
      </w:r>
      <w:r>
        <w:rPr>
          <w:spacing w:val="-87"/>
        </w:rPr>
      </w:r>
      <w:r>
        <w:rPr/>
        <w:t>收入金额，按照有关合同或协议约定的收费时间和方法计算确定。</w:t>
      </w:r>
    </w:p>
    <w:p>
      <w:pPr>
        <w:pStyle w:val="BodyText"/>
        <w:spacing w:line="391" w:lineRule="auto" w:before="103"/>
        <w:ind w:left="141" w:right="216" w:firstLine="420"/>
        <w:jc w:val="both"/>
      </w:pPr>
      <w:r>
        <w:rPr>
          <w:rFonts w:ascii="Times New Roman" w:hAnsi="Times New Roman" w:cs="Times New Roman" w:eastAsia="Times New Roman" w:hint="default"/>
        </w:rPr>
        <w:t>4</w:t>
      </w:r>
      <w:r>
        <w:rPr/>
        <w:t>．在资产负债表日，建造合同的结果能够可靠估计的，根据完工百分比法确认合同收入 </w:t>
      </w:r>
      <w:r>
        <w:rPr>
          <w:spacing w:val="-3"/>
        </w:rPr>
        <w:t>和合同费用。公司采用累计实际发生的合同成本占合同预计总成本的比例（已经完成的合同工</w:t>
      </w:r>
      <w:r>
        <w:rPr>
          <w:spacing w:val="-88"/>
        </w:rPr>
        <w:t> </w:t>
      </w:r>
      <w:r>
        <w:rPr>
          <w:spacing w:val="-88"/>
        </w:rPr>
      </w:r>
      <w:r>
        <w:rPr/>
        <w:t>作量占合同预计总工作量的比例或实际测定的完工进度）确定合同完工进度。</w:t>
      </w:r>
    </w:p>
    <w:p>
      <w:pPr>
        <w:pStyle w:val="BodyText"/>
        <w:spacing w:line="400" w:lineRule="auto" w:before="103"/>
        <w:ind w:left="141" w:right="215" w:firstLine="420"/>
        <w:jc w:val="both"/>
      </w:pPr>
      <w:r>
        <w:rPr>
          <w:spacing w:val="-3"/>
        </w:rPr>
        <w:t>建造合同的结果不能可靠估计的，合同成本能够收回的，合同收入根据能够收回的实际合</w:t>
      </w:r>
      <w:r>
        <w:rPr/>
        <w:t> </w:t>
      </w:r>
      <w:r>
        <w:rPr>
          <w:spacing w:val="-3"/>
        </w:rPr>
        <w:t>同成本予以确认，合同成本在其发生的当期确认为合同费用；合同成本不可能收回的，在发生</w:t>
      </w:r>
      <w:r>
        <w:rPr>
          <w:spacing w:val="-87"/>
        </w:rPr>
        <w:t> </w:t>
      </w:r>
      <w:r>
        <w:rPr>
          <w:spacing w:val="-87"/>
        </w:rPr>
      </w:r>
      <w:r>
        <w:rPr/>
        <w:t>时立即确认为合同费用，不确认合同收入。</w:t>
      </w:r>
    </w:p>
    <w:p>
      <w:pPr>
        <w:pStyle w:val="BodyText"/>
        <w:spacing w:line="240" w:lineRule="auto" w:before="164"/>
        <w:ind w:right="0"/>
        <w:jc w:val="left"/>
        <w:rPr>
          <w:rFonts w:ascii="黑体" w:hAnsi="黑体" w:cs="黑体" w:eastAsia="黑体" w:hint="default"/>
        </w:rPr>
      </w:pPr>
      <w:r>
        <w:rPr>
          <w:rFonts w:ascii="黑体" w:hAnsi="黑体" w:cs="黑体" w:eastAsia="黑体" w:hint="default"/>
        </w:rPr>
        <w:t>（二十三）政府补助</w:t>
      </w:r>
    </w:p>
    <w:p>
      <w:pPr>
        <w:spacing w:line="240" w:lineRule="auto" w:before="13"/>
        <w:rPr>
          <w:rFonts w:ascii="黑体" w:hAnsi="黑体" w:cs="黑体" w:eastAsia="黑体" w:hint="default"/>
          <w:sz w:val="17"/>
          <w:szCs w:val="17"/>
        </w:rPr>
      </w:pPr>
    </w:p>
    <w:p>
      <w:pPr>
        <w:pStyle w:val="BodyText"/>
        <w:spacing w:line="400" w:lineRule="auto"/>
        <w:ind w:left="141" w:right="0" w:firstLine="420"/>
        <w:jc w:val="left"/>
      </w:pPr>
      <w:r>
        <w:rPr>
          <w:spacing w:val="-3"/>
        </w:rPr>
        <w:t>政府补助，是指本公司从政府无偿取得货币性资产或非货币性资产，但不包括政府作为企</w:t>
      </w:r>
      <w:r>
        <w:rPr/>
        <w:t> </w:t>
      </w:r>
      <w:r>
        <w:rPr>
          <w:spacing w:val="-9"/>
        </w:rPr>
        <w:t>业所有者投入的资本。本公司政府补助分为与资产相关的政府补助和与收益相关的政府补助。</w:t>
      </w:r>
    </w:p>
    <w:p>
      <w:pPr>
        <w:pStyle w:val="BodyText"/>
        <w:spacing w:line="240" w:lineRule="auto" w:before="94"/>
        <w:ind w:left="546" w:right="0"/>
        <w:jc w:val="left"/>
      </w:pPr>
      <w:r>
        <w:rPr>
          <w:spacing w:val="-8"/>
        </w:rPr>
        <w:t>与资产相关的政府补助，取得时确认为递延收益，自相关资产达到预定可使用状态时起，在</w:t>
      </w:r>
    </w:p>
    <w:p>
      <w:pPr>
        <w:spacing w:after="0" w:line="240" w:lineRule="auto"/>
        <w:jc w:val="left"/>
        <w:sectPr>
          <w:pgSz w:w="11910" w:h="16840"/>
          <w:pgMar w:header="963" w:footer="893" w:top="1200" w:bottom="1080" w:left="1560" w:right="1480"/>
        </w:sectPr>
      </w:pPr>
    </w:p>
    <w:p>
      <w:pPr>
        <w:spacing w:line="240" w:lineRule="auto" w:before="5"/>
        <w:rPr>
          <w:rFonts w:ascii="宋体" w:hAnsi="宋体" w:cs="宋体" w:eastAsia="宋体" w:hint="default"/>
          <w:sz w:val="23"/>
          <w:szCs w:val="23"/>
        </w:rPr>
      </w:pPr>
    </w:p>
    <w:p>
      <w:pPr>
        <w:pStyle w:val="BodyText"/>
        <w:spacing w:line="400" w:lineRule="auto" w:before="35"/>
        <w:ind w:left="141" w:right="147"/>
        <w:jc w:val="both"/>
      </w:pPr>
      <w:r>
        <w:rPr>
          <w:spacing w:val="-8"/>
        </w:rPr>
        <w:t>该资产使用寿命内平均分配，分次计入以后各期的营业外收入。相关资产在使用寿命结束前被出</w:t>
      </w:r>
      <w:r>
        <w:rPr/>
        <w:t> </w:t>
      </w:r>
      <w:r>
        <w:rPr>
          <w:spacing w:val="-8"/>
        </w:rPr>
        <w:t>售、转让、报废或发生毁损的，将尚未分配的递延收益余额一次性转入资产处置当期的营业外收</w:t>
      </w:r>
      <w:r>
        <w:rPr/>
        <w:t> </w:t>
      </w:r>
      <w:r>
        <w:rPr>
          <w:spacing w:val="-8"/>
        </w:rPr>
        <w:t>入。</w:t>
      </w:r>
      <w:r>
        <w:rPr/>
      </w:r>
    </w:p>
    <w:p>
      <w:pPr>
        <w:pStyle w:val="BodyText"/>
        <w:spacing w:line="384" w:lineRule="auto" w:before="148"/>
        <w:ind w:left="141" w:right="147" w:firstLine="404"/>
        <w:jc w:val="both"/>
      </w:pPr>
      <w:r>
        <w:rPr>
          <w:spacing w:val="-8"/>
        </w:rPr>
        <w:t>与收益相关的政府补助，用于补偿企业以后期间的相关费用或损失的，取得时确认为递延收</w:t>
      </w:r>
      <w:r>
        <w:rPr/>
        <w:t> </w:t>
      </w:r>
      <w:r>
        <w:rPr>
          <w:spacing w:val="-8"/>
        </w:rPr>
        <w:t>益，在确认相关费用的期间计入当期营业外收入；用于补偿企业已经发生的费用或损失的，取得</w:t>
      </w:r>
      <w:r>
        <w:rPr/>
        <w:t> </w:t>
      </w:r>
      <w:r>
        <w:rPr>
          <w:spacing w:val="-9"/>
        </w:rPr>
        <w:t>时直接计入当期营业外收入。</w:t>
      </w:r>
      <w:r>
        <w:rPr/>
      </w:r>
    </w:p>
    <w:p>
      <w:pPr>
        <w:pStyle w:val="BodyText"/>
        <w:spacing w:line="240" w:lineRule="auto" w:before="159"/>
        <w:ind w:right="150"/>
        <w:jc w:val="left"/>
        <w:rPr>
          <w:rFonts w:ascii="黑体" w:hAnsi="黑体" w:cs="黑体" w:eastAsia="黑体" w:hint="default"/>
        </w:rPr>
      </w:pPr>
      <w:r>
        <w:rPr>
          <w:rFonts w:ascii="黑体" w:hAnsi="黑体" w:cs="黑体" w:eastAsia="黑体" w:hint="default"/>
        </w:rPr>
        <w:t>（二十四）递延所得税资产和递延所得税负债</w:t>
      </w:r>
    </w:p>
    <w:p>
      <w:pPr>
        <w:spacing w:line="240" w:lineRule="auto" w:before="10"/>
        <w:rPr>
          <w:rFonts w:ascii="黑体" w:hAnsi="黑体" w:cs="黑体" w:eastAsia="黑体" w:hint="default"/>
          <w:sz w:val="21"/>
          <w:szCs w:val="21"/>
        </w:rPr>
      </w:pPr>
    </w:p>
    <w:p>
      <w:pPr>
        <w:pStyle w:val="BodyText"/>
        <w:spacing w:line="384" w:lineRule="auto"/>
        <w:ind w:left="141" w:right="156" w:firstLine="420"/>
        <w:jc w:val="both"/>
      </w:pPr>
      <w:r>
        <w:rPr>
          <w:spacing w:val="-3"/>
        </w:rPr>
        <w:t>本公司的所得税费用采用资产负债表债务法核算。递延所得税资产和递延所得税负债根据</w:t>
      </w:r>
      <w:r>
        <w:rPr/>
        <w:t> </w:t>
      </w:r>
      <w:r>
        <w:rPr>
          <w:spacing w:val="-3"/>
        </w:rPr>
        <w:t>资产和负债的计税基础与账面价值的差额（暂时性差异），于资产负债表日按照预期收回该资</w:t>
      </w:r>
      <w:r>
        <w:rPr>
          <w:spacing w:val="-89"/>
        </w:rPr>
        <w:t> </w:t>
      </w:r>
      <w:r>
        <w:rPr>
          <w:spacing w:val="-89"/>
        </w:rPr>
      </w:r>
      <w:r>
        <w:rPr/>
        <w:t>产或清偿该负债期间的适用税率计量确认递延所得税资产和递延所得税负债。</w:t>
      </w:r>
    </w:p>
    <w:p>
      <w:pPr>
        <w:pStyle w:val="BodyText"/>
        <w:spacing w:line="384" w:lineRule="auto" w:before="158"/>
        <w:ind w:left="141" w:right="152" w:firstLine="420"/>
        <w:jc w:val="both"/>
      </w:pPr>
      <w:r>
        <w:rPr>
          <w:spacing w:val="2"/>
        </w:rPr>
        <w:t>对子公司及联营企业及合营企业投资相关的应纳税暂时性差异确认相应的递延所得税负 </w:t>
      </w:r>
      <w:r>
        <w:rPr>
          <w:spacing w:val="-3"/>
        </w:rPr>
        <w:t>债，但能够控制暂时性差异转回时间且该暂时性差异在可预见的未来很可能不会转回的，不予</w:t>
      </w:r>
      <w:r>
        <w:rPr>
          <w:spacing w:val="-88"/>
        </w:rPr>
        <w:t> </w:t>
      </w:r>
      <w:r>
        <w:rPr>
          <w:spacing w:val="-88"/>
        </w:rPr>
      </w:r>
      <w:r>
        <w:rPr/>
        <w:t>确认。</w:t>
      </w:r>
    </w:p>
    <w:p>
      <w:pPr>
        <w:pStyle w:val="BodyText"/>
        <w:spacing w:line="384" w:lineRule="auto" w:before="158"/>
        <w:ind w:left="141" w:right="152" w:firstLine="420"/>
        <w:jc w:val="both"/>
      </w:pPr>
      <w:r>
        <w:rPr>
          <w:spacing w:val="2"/>
        </w:rPr>
        <w:t>递延所得税资产的确认以本公司未来期间很可能取得用来抵扣可抵扣暂时性差异的应纳 </w:t>
      </w:r>
      <w:r>
        <w:rPr/>
        <w:t>税所得额为限。</w:t>
      </w:r>
    </w:p>
    <w:p>
      <w:pPr>
        <w:pStyle w:val="BodyText"/>
        <w:spacing w:line="384" w:lineRule="auto" w:before="159"/>
        <w:ind w:left="141" w:right="156" w:firstLine="420"/>
        <w:jc w:val="both"/>
      </w:pPr>
      <w:r>
        <w:rPr>
          <w:spacing w:val="-3"/>
        </w:rPr>
        <w:t>对子公司、联营企业及合营企业投资相关的可抵扣暂时性差异同时满足暂时性差异在可预</w:t>
      </w:r>
      <w:r>
        <w:rPr/>
        <w:t> </w:t>
      </w:r>
      <w:r>
        <w:rPr>
          <w:spacing w:val="2"/>
        </w:rPr>
        <w:t>见的未来很可能转回且未来很可能获得用来抵扣暂时性差异的应纳税所得额时确认相应的递</w:t>
      </w:r>
      <w:r>
        <w:rPr>
          <w:spacing w:val="-100"/>
        </w:rPr>
        <w:t> </w:t>
      </w:r>
      <w:r>
        <w:rPr>
          <w:spacing w:val="-100"/>
        </w:rPr>
      </w:r>
      <w:r>
        <w:rPr/>
        <w:t>延所得税资产。</w:t>
      </w:r>
    </w:p>
    <w:p>
      <w:pPr>
        <w:pStyle w:val="BodyText"/>
        <w:spacing w:line="384" w:lineRule="auto" w:before="159"/>
        <w:ind w:left="141" w:right="156" w:firstLine="420"/>
        <w:jc w:val="both"/>
      </w:pPr>
      <w:r>
        <w:rPr>
          <w:spacing w:val="-3"/>
        </w:rPr>
        <w:t>对于能够结转以后年度的可抵扣亏损和税款抵减，以很可能获得用来抵扣可抵扣亏损和税</w:t>
      </w:r>
      <w:r>
        <w:rPr/>
        <w:t> 款抵减的未来应纳税所得额为限，确认相应的递延所得税资产。</w:t>
      </w:r>
    </w:p>
    <w:p>
      <w:pPr>
        <w:pStyle w:val="BodyText"/>
        <w:spacing w:line="475" w:lineRule="auto" w:before="159"/>
        <w:ind w:right="4233"/>
        <w:jc w:val="left"/>
      </w:pPr>
      <w:r>
        <w:rPr>
          <w:rFonts w:ascii="黑体" w:hAnsi="黑体" w:cs="黑体" w:eastAsia="黑体" w:hint="default"/>
        </w:rPr>
        <w:t>（二十五）主要会计政策、会计估计的变更 </w:t>
      </w:r>
      <w:r>
        <w:rPr>
          <w:rFonts w:ascii="Times New Roman" w:hAnsi="Times New Roman" w:cs="Times New Roman" w:eastAsia="Times New Roman" w:hint="default"/>
        </w:rPr>
        <w:t>1</w:t>
      </w:r>
      <w:r>
        <w:rPr>
          <w:rFonts w:ascii="黑体" w:hAnsi="黑体" w:cs="黑体" w:eastAsia="黑体" w:hint="default"/>
        </w:rPr>
        <w:t>．会计政策变更 </w:t>
      </w:r>
      <w:r>
        <w:rPr/>
        <w:t>本报告期内无会计政策变更。 </w:t>
      </w:r>
      <w:r>
        <w:rPr>
          <w:rFonts w:ascii="Times New Roman" w:hAnsi="Times New Roman" w:cs="Times New Roman" w:eastAsia="Times New Roman" w:hint="default"/>
        </w:rPr>
        <w:t>2</w:t>
      </w:r>
      <w:r>
        <w:rPr>
          <w:rFonts w:ascii="黑体" w:hAnsi="黑体" w:cs="黑体" w:eastAsia="黑体" w:hint="default"/>
        </w:rPr>
        <w:t>．会计估计变更 </w:t>
      </w:r>
      <w:r>
        <w:rPr/>
        <w:t>本报告期内无会计估计变更。</w:t>
      </w:r>
    </w:p>
    <w:p>
      <w:pPr>
        <w:pStyle w:val="BodyText"/>
        <w:spacing w:line="240" w:lineRule="auto" w:before="78"/>
        <w:ind w:left="457" w:right="150"/>
        <w:jc w:val="left"/>
        <w:rPr>
          <w:rFonts w:ascii="黑体" w:hAnsi="黑体" w:cs="黑体" w:eastAsia="黑体" w:hint="default"/>
        </w:rPr>
      </w:pPr>
      <w:r>
        <w:rPr>
          <w:rFonts w:ascii="黑体" w:hAnsi="黑体" w:cs="黑体" w:eastAsia="黑体" w:hint="default"/>
        </w:rPr>
        <w:t>（二十六）前期会计差错更正</w:t>
      </w:r>
    </w:p>
    <w:p>
      <w:pPr>
        <w:spacing w:line="240" w:lineRule="auto" w:before="11"/>
        <w:rPr>
          <w:rFonts w:ascii="黑体" w:hAnsi="黑体" w:cs="黑体" w:eastAsia="黑体" w:hint="default"/>
          <w:sz w:val="21"/>
          <w:szCs w:val="21"/>
        </w:rPr>
      </w:pPr>
    </w:p>
    <w:p>
      <w:pPr>
        <w:pStyle w:val="BodyText"/>
        <w:spacing w:line="240" w:lineRule="auto"/>
        <w:ind w:right="150"/>
        <w:jc w:val="left"/>
      </w:pPr>
      <w:r>
        <w:rPr/>
        <w:t>本报告期内无前期会计差错更正。</w:t>
      </w:r>
    </w:p>
    <w:p>
      <w:pPr>
        <w:spacing w:after="0" w:line="240" w:lineRule="auto"/>
        <w:jc w:val="left"/>
        <w:sectPr>
          <w:pgSz w:w="11910" w:h="16840"/>
          <w:pgMar w:header="963" w:footer="893" w:top="1200" w:bottom="1080" w:left="1560" w:right="1540"/>
        </w:sectPr>
      </w:pPr>
    </w:p>
    <w:p>
      <w:pPr>
        <w:spacing w:line="240" w:lineRule="auto" w:before="2"/>
        <w:rPr>
          <w:rFonts w:ascii="宋体" w:hAnsi="宋体" w:cs="宋体" w:eastAsia="宋体" w:hint="default"/>
          <w:sz w:val="22"/>
          <w:szCs w:val="22"/>
        </w:rPr>
      </w:pPr>
    </w:p>
    <w:p>
      <w:pPr>
        <w:pStyle w:val="BodyText"/>
        <w:spacing w:line="240" w:lineRule="auto" w:before="35"/>
        <w:ind w:left="641" w:right="230"/>
        <w:jc w:val="left"/>
        <w:rPr>
          <w:rFonts w:ascii="黑体" w:hAnsi="黑体" w:cs="黑体" w:eastAsia="黑体" w:hint="default"/>
        </w:rPr>
      </w:pPr>
      <w:r>
        <w:rPr>
          <w:rFonts w:ascii="黑体" w:hAnsi="黑体" w:cs="黑体" w:eastAsia="黑体" w:hint="default"/>
        </w:rPr>
        <w:t>附注三、税项</w:t>
      </w:r>
    </w:p>
    <w:p>
      <w:pPr>
        <w:spacing w:line="240" w:lineRule="auto" w:before="10"/>
        <w:rPr>
          <w:rFonts w:ascii="黑体" w:hAnsi="黑体" w:cs="黑体" w:eastAsia="黑体" w:hint="default"/>
          <w:sz w:val="21"/>
          <w:szCs w:val="21"/>
        </w:rPr>
      </w:pPr>
    </w:p>
    <w:p>
      <w:pPr>
        <w:pStyle w:val="BodyText"/>
        <w:spacing w:line="240" w:lineRule="auto"/>
        <w:ind w:left="641" w:right="230"/>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75"/>
        </w:rPr>
        <w:t> </w:t>
      </w:r>
      <w:r>
        <w:rPr>
          <w:rFonts w:ascii="黑体" w:hAnsi="黑体" w:cs="黑体" w:eastAsia="黑体" w:hint="default"/>
        </w:rPr>
        <w:t>主要税种及税率</w:t>
      </w:r>
    </w:p>
    <w:p>
      <w:pPr>
        <w:spacing w:line="240" w:lineRule="auto" w:before="9"/>
        <w:rPr>
          <w:rFonts w:ascii="黑体" w:hAnsi="黑体" w:cs="黑体" w:eastAsia="黑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729"/>
        <w:gridCol w:w="3959"/>
        <w:gridCol w:w="3034"/>
      </w:tblGrid>
      <w:tr>
        <w:trPr>
          <w:trHeight w:val="452" w:hRule="exact"/>
        </w:trPr>
        <w:tc>
          <w:tcPr>
            <w:tcW w:w="172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95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3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55" w:hRule="exact"/>
        </w:trPr>
        <w:tc>
          <w:tcPr>
            <w:tcW w:w="17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销售收入、加工及修理修配劳务收入</w:t>
            </w:r>
          </w:p>
        </w:tc>
        <w:tc>
          <w:tcPr>
            <w:tcW w:w="30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w:t>
            </w:r>
          </w:p>
        </w:tc>
      </w:tr>
      <w:tr>
        <w:trPr>
          <w:trHeight w:val="455" w:hRule="exact"/>
        </w:trPr>
        <w:tc>
          <w:tcPr>
            <w:tcW w:w="17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应税劳务收入、转让无形资产及销售不动产收入</w:t>
            </w:r>
          </w:p>
        </w:tc>
        <w:tc>
          <w:tcPr>
            <w:tcW w:w="30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455" w:hRule="exact"/>
        </w:trPr>
        <w:tc>
          <w:tcPr>
            <w:tcW w:w="17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已纳增值税及应交营业税额</w:t>
            </w:r>
          </w:p>
        </w:tc>
        <w:tc>
          <w:tcPr>
            <w:tcW w:w="30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1-11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54" w:hRule="exact"/>
        </w:trPr>
        <w:tc>
          <w:tcPr>
            <w:tcW w:w="172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企业所得税  </w:t>
            </w:r>
            <w:r>
              <w:rPr>
                <w:rFonts w:ascii="Times New Roman" w:hAnsi="Times New Roman" w:cs="Times New Roman" w:eastAsia="Times New Roman" w:hint="default"/>
                <w:sz w:val="18"/>
                <w:szCs w:val="18"/>
              </w:rPr>
              <w:t>*</w:t>
            </w:r>
          </w:p>
        </w:tc>
        <w:tc>
          <w:tcPr>
            <w:tcW w:w="395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3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240" w:lineRule="auto" w:before="12"/>
        <w:rPr>
          <w:rFonts w:ascii="黑体" w:hAnsi="黑体" w:cs="黑体" w:eastAsia="黑体" w:hint="default"/>
          <w:sz w:val="15"/>
          <w:szCs w:val="15"/>
        </w:rPr>
      </w:pPr>
    </w:p>
    <w:p>
      <w:pPr>
        <w:pStyle w:val="BodyText"/>
        <w:tabs>
          <w:tab w:pos="957" w:val="left" w:leader="none"/>
        </w:tabs>
        <w:spacing w:line="240" w:lineRule="auto" w:before="35"/>
        <w:ind w:left="641" w:right="0"/>
        <w:jc w:val="left"/>
      </w:pPr>
      <w:r>
        <w:rPr>
          <w:rFonts w:ascii="Times New Roman" w:hAnsi="Times New Roman" w:cs="Times New Roman" w:eastAsia="Times New Roman" w:hint="default"/>
        </w:rPr>
        <w:t>*</w:t>
        <w:tab/>
      </w:r>
      <w:r>
        <w:rPr/>
        <w:t>本公司之二级子公司深圳市汇德祥贸易有限公司于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日成立，其余纳入</w:t>
      </w:r>
    </w:p>
    <w:p>
      <w:pPr>
        <w:pStyle w:val="BodyText"/>
        <w:spacing w:line="240" w:lineRule="auto" w:before="169"/>
        <w:ind w:left="221" w:right="0"/>
        <w:jc w:val="both"/>
      </w:pPr>
      <w:r>
        <w:rPr/>
        <w:t>合并报表范围内的子公司均于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年前成立。根据相关规定：在</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日以后经工</w:t>
      </w:r>
    </w:p>
    <w:p>
      <w:pPr>
        <w:pStyle w:val="BodyText"/>
        <w:spacing w:line="391" w:lineRule="auto" w:before="170"/>
        <w:ind w:left="221" w:right="226"/>
        <w:jc w:val="both"/>
      </w:pPr>
      <w:r>
        <w:rPr/>
        <w:t>商等登记管理机关登记成立的企业所得税纳税人，自</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日起按</w:t>
      </w:r>
      <w:r>
        <w:rPr>
          <w:spacing w:val="-57"/>
        </w:rPr>
        <w:t> </w:t>
      </w:r>
      <w:r>
        <w:rPr>
          <w:rFonts w:ascii="Times New Roman" w:hAnsi="Times New Roman" w:cs="Times New Roman" w:eastAsia="Times New Roman" w:hint="default"/>
        </w:rPr>
        <w:t>25%</w:t>
      </w:r>
      <w:r>
        <w:rPr/>
        <w:t>税率执行。故 </w:t>
      </w:r>
      <w:r>
        <w:rPr>
          <w:spacing w:val="7"/>
        </w:rPr>
        <w:t>本公司纳入合并报表范围内的子公司除深圳市汇德祥贸易有限公司企业所得税适用税率为</w:t>
      </w:r>
      <w:r>
        <w:rPr>
          <w:spacing w:val="-69"/>
        </w:rPr>
        <w:t> </w:t>
      </w:r>
      <w:r>
        <w:rPr>
          <w:spacing w:val="-69"/>
        </w:rPr>
      </w:r>
      <w:r>
        <w:rPr>
          <w:rFonts w:ascii="Times New Roman" w:hAnsi="Times New Roman" w:cs="Times New Roman" w:eastAsia="Times New Roman" w:hint="default"/>
        </w:rPr>
        <w:t>25%</w:t>
      </w:r>
      <w:r>
        <w:rPr/>
        <w:t>以外，其余均适用</w:t>
      </w:r>
      <w:r>
        <w:rPr>
          <w:spacing w:val="-56"/>
        </w:rPr>
        <w:t> </w:t>
      </w:r>
      <w:r>
        <w:rPr>
          <w:rFonts w:ascii="Times New Roman" w:hAnsi="Times New Roman" w:cs="Times New Roman" w:eastAsia="Times New Roman" w:hint="default"/>
        </w:rPr>
        <w:t>22%</w:t>
      </w:r>
      <w:r>
        <w:rPr/>
        <w:t>的企业所得税税率。</w:t>
      </w:r>
    </w:p>
    <w:p>
      <w:pPr>
        <w:pStyle w:val="BodyText"/>
        <w:spacing w:line="240" w:lineRule="auto" w:before="142"/>
        <w:ind w:left="641" w:right="230"/>
        <w:jc w:val="left"/>
        <w:rPr>
          <w:rFonts w:ascii="黑体" w:hAnsi="黑体" w:cs="黑体" w:eastAsia="黑体" w:hint="default"/>
        </w:rPr>
      </w:pPr>
      <w:r>
        <w:rPr>
          <w:rFonts w:ascii="黑体" w:hAnsi="黑体" w:cs="黑体" w:eastAsia="黑体" w:hint="default"/>
        </w:rPr>
        <w:t>（二）税收优惠及批文</w:t>
      </w:r>
    </w:p>
    <w:p>
      <w:pPr>
        <w:spacing w:line="240" w:lineRule="auto" w:before="13"/>
        <w:rPr>
          <w:rFonts w:ascii="黑体" w:hAnsi="黑体" w:cs="黑体" w:eastAsia="黑体" w:hint="default"/>
          <w:sz w:val="27"/>
          <w:szCs w:val="27"/>
        </w:rPr>
      </w:pPr>
    </w:p>
    <w:p>
      <w:pPr>
        <w:pStyle w:val="BodyText"/>
        <w:spacing w:line="240" w:lineRule="auto"/>
        <w:ind w:left="641" w:right="0"/>
        <w:jc w:val="left"/>
      </w:pPr>
      <w:r>
        <w:rPr/>
        <w:t>本公司农畜业及饲料销售收入根</w:t>
      </w:r>
      <w:r>
        <w:rPr>
          <w:spacing w:val="-105"/>
        </w:rPr>
        <w:t>据</w:t>
      </w:r>
      <w:r>
        <w:rPr>
          <w:spacing w:val="-2"/>
        </w:rPr>
        <w:t>《</w:t>
      </w:r>
      <w:r>
        <w:rPr/>
        <w:t>中华人民共和国增值税暂行条例</w:t>
      </w:r>
      <w:r>
        <w:rPr>
          <w:spacing w:val="-105"/>
        </w:rPr>
        <w:t>》</w:t>
      </w:r>
      <w:r>
        <w:rPr>
          <w:spacing w:val="-2"/>
        </w:rPr>
        <w:t>的</w:t>
      </w:r>
      <w:r>
        <w:rPr/>
        <w:t>规定免征增值税。</w:t>
      </w:r>
    </w:p>
    <w:p>
      <w:pPr>
        <w:spacing w:line="240" w:lineRule="auto" w:before="0"/>
        <w:rPr>
          <w:rFonts w:ascii="宋体" w:hAnsi="宋体" w:cs="宋体" w:eastAsia="宋体" w:hint="default"/>
          <w:sz w:val="20"/>
          <w:szCs w:val="20"/>
        </w:rPr>
      </w:pPr>
    </w:p>
    <w:p>
      <w:pPr>
        <w:pStyle w:val="BodyText"/>
        <w:spacing w:line="240" w:lineRule="auto" w:before="163"/>
        <w:ind w:left="641" w:right="230"/>
        <w:jc w:val="left"/>
        <w:rPr>
          <w:rFonts w:ascii="黑体" w:hAnsi="黑体" w:cs="黑体" w:eastAsia="黑体" w:hint="default"/>
        </w:rPr>
      </w:pPr>
      <w:r>
        <w:rPr>
          <w:rFonts w:ascii="黑体" w:hAnsi="黑体" w:cs="黑体" w:eastAsia="黑体" w:hint="default"/>
        </w:rPr>
        <w:t>附注四、企业合并及合并财务报表</w:t>
      </w:r>
    </w:p>
    <w:p>
      <w:pPr>
        <w:spacing w:line="240" w:lineRule="auto" w:before="4"/>
        <w:rPr>
          <w:rFonts w:ascii="黑体" w:hAnsi="黑体" w:cs="黑体" w:eastAsia="黑体" w:hint="default"/>
          <w:sz w:val="23"/>
          <w:szCs w:val="23"/>
        </w:rPr>
      </w:pPr>
    </w:p>
    <w:p>
      <w:pPr>
        <w:pStyle w:val="BodyText"/>
        <w:spacing w:line="240" w:lineRule="auto"/>
        <w:ind w:left="641" w:right="230"/>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75"/>
        </w:rPr>
        <w:t> </w:t>
      </w:r>
      <w:r>
        <w:rPr>
          <w:rFonts w:ascii="黑体" w:hAnsi="黑体" w:cs="黑体" w:eastAsia="黑体" w:hint="default"/>
        </w:rPr>
        <w:t>子公司情况</w:t>
      </w:r>
    </w:p>
    <w:p>
      <w:pPr>
        <w:spacing w:line="240" w:lineRule="auto" w:before="13"/>
        <w:rPr>
          <w:rFonts w:ascii="黑体" w:hAnsi="黑体" w:cs="黑体" w:eastAsia="黑体" w:hint="default"/>
          <w:sz w:val="27"/>
          <w:szCs w:val="27"/>
        </w:rPr>
      </w:pPr>
    </w:p>
    <w:p>
      <w:pPr>
        <w:pStyle w:val="BodyText"/>
        <w:spacing w:line="240" w:lineRule="auto"/>
        <w:ind w:left="641" w:right="23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、通过设立或投资等方式取得的子公司</w:t>
      </w:r>
    </w:p>
    <w:p>
      <w:pPr>
        <w:spacing w:line="240" w:lineRule="auto" w:before="9"/>
        <w:rPr>
          <w:rFonts w:ascii="黑体" w:hAnsi="黑体" w:cs="黑体" w:eastAsia="黑体" w:hint="default"/>
          <w:sz w:val="12"/>
          <w:szCs w:val="12"/>
        </w:rPr>
      </w:pPr>
    </w:p>
    <w:tbl>
      <w:tblPr>
        <w:tblW w:w="0" w:type="auto"/>
        <w:jc w:val="left"/>
        <w:tblInd w:w="189" w:type="dxa"/>
        <w:tblLayout w:type="fixed"/>
        <w:tblCellMar>
          <w:top w:w="0" w:type="dxa"/>
          <w:left w:w="0" w:type="dxa"/>
          <w:bottom w:w="0" w:type="dxa"/>
          <w:right w:w="0" w:type="dxa"/>
        </w:tblCellMar>
        <w:tblLook w:val="01E0"/>
      </w:tblPr>
      <w:tblGrid>
        <w:gridCol w:w="1003"/>
        <w:gridCol w:w="446"/>
        <w:gridCol w:w="406"/>
        <w:gridCol w:w="361"/>
        <w:gridCol w:w="534"/>
        <w:gridCol w:w="2473"/>
        <w:gridCol w:w="725"/>
        <w:gridCol w:w="1193"/>
        <w:gridCol w:w="466"/>
        <w:gridCol w:w="508"/>
        <w:gridCol w:w="446"/>
      </w:tblGrid>
      <w:tr>
        <w:trPr>
          <w:trHeight w:val="492" w:hRule="exact"/>
        </w:trPr>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446" w:type="dxa"/>
            <w:vMerge w:val="restart"/>
            <w:tcBorders>
              <w:top w:val="single" w:sz="4" w:space="0" w:color="000000"/>
              <w:left w:val="single" w:sz="4" w:space="0" w:color="000000"/>
              <w:right w:val="single" w:sz="4" w:space="0" w:color="000000"/>
            </w:tcBorders>
          </w:tcPr>
          <w:p>
            <w:pPr>
              <w:pStyle w:val="TableParagraph"/>
              <w:spacing w:line="244" w:lineRule="auto" w:before="101"/>
              <w:ind w:left="38" w:right="36"/>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406" w:type="dxa"/>
            <w:vMerge w:val="restart"/>
            <w:tcBorders>
              <w:top w:val="single" w:sz="4" w:space="0" w:color="000000"/>
              <w:left w:val="single" w:sz="4" w:space="0" w:color="000000"/>
              <w:right w:val="single" w:sz="4" w:space="0" w:color="000000"/>
            </w:tcBorders>
          </w:tcPr>
          <w:p>
            <w:pPr>
              <w:pStyle w:val="TableParagraph"/>
              <w:spacing w:line="244" w:lineRule="auto" w:before="101"/>
              <w:ind w:left="150" w:right="65"/>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61" w:type="dxa"/>
            <w:vMerge w:val="restart"/>
            <w:tcBorders>
              <w:top w:val="single" w:sz="4" w:space="0" w:color="000000"/>
              <w:left w:val="single" w:sz="4" w:space="0" w:color="000000"/>
              <w:right w:val="single" w:sz="4" w:space="0" w:color="000000"/>
            </w:tcBorders>
          </w:tcPr>
          <w:p>
            <w:pPr>
              <w:pStyle w:val="TableParagraph"/>
              <w:spacing w:line="240" w:lineRule="exact"/>
              <w:ind w:left="85" w:right="84"/>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53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81" w:right="80"/>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4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725" w:type="dxa"/>
            <w:vMerge w:val="restart"/>
            <w:tcBorders>
              <w:top w:val="single" w:sz="4" w:space="0" w:color="000000"/>
              <w:left w:val="single" w:sz="4" w:space="0" w:color="000000"/>
              <w:right w:val="single" w:sz="4" w:space="0" w:color="000000"/>
            </w:tcBorders>
          </w:tcPr>
          <w:p>
            <w:pPr>
              <w:pStyle w:val="TableParagraph"/>
              <w:spacing w:line="217" w:lineRule="exact"/>
              <w:ind w:left="85" w:right="0"/>
              <w:jc w:val="left"/>
              <w:rPr>
                <w:rFonts w:ascii="宋体" w:hAnsi="宋体" w:cs="宋体" w:eastAsia="宋体" w:hint="default"/>
                <w:sz w:val="18"/>
                <w:szCs w:val="18"/>
              </w:rPr>
            </w:pPr>
            <w:r>
              <w:rPr>
                <w:rFonts w:ascii="宋体" w:hAnsi="宋体" w:cs="宋体" w:eastAsia="宋体" w:hint="default"/>
                <w:sz w:val="18"/>
                <w:szCs w:val="18"/>
              </w:rPr>
              <w:t>期末实</w:t>
            </w:r>
          </w:p>
          <w:p>
            <w:pPr>
              <w:pStyle w:val="TableParagraph"/>
              <w:spacing w:line="244" w:lineRule="auto" w:before="4"/>
              <w:ind w:left="265" w:right="87" w:hanging="180"/>
              <w:jc w:val="left"/>
              <w:rPr>
                <w:rFonts w:ascii="宋体" w:hAnsi="宋体" w:cs="宋体" w:eastAsia="宋体" w:hint="default"/>
                <w:sz w:val="18"/>
                <w:szCs w:val="18"/>
              </w:rPr>
            </w:pPr>
            <w:r>
              <w:rPr>
                <w:rFonts w:ascii="宋体" w:hAnsi="宋体" w:cs="宋体" w:eastAsia="宋体" w:hint="default"/>
                <w:sz w:val="18"/>
                <w:szCs w:val="18"/>
              </w:rPr>
              <w:t>际出资 额</w:t>
            </w:r>
          </w:p>
        </w:tc>
        <w:tc>
          <w:tcPr>
            <w:tcW w:w="1193" w:type="dxa"/>
            <w:vMerge w:val="restart"/>
            <w:tcBorders>
              <w:top w:val="single" w:sz="4" w:space="0" w:color="000000"/>
              <w:left w:val="single" w:sz="4" w:space="0" w:color="000000"/>
              <w:right w:val="single" w:sz="4" w:space="0" w:color="000000"/>
            </w:tcBorders>
          </w:tcPr>
          <w:p>
            <w:pPr>
              <w:pStyle w:val="TableParagraph"/>
              <w:spacing w:line="217" w:lineRule="exact"/>
              <w:ind w:left="51" w:right="0"/>
              <w:jc w:val="both"/>
              <w:rPr>
                <w:rFonts w:ascii="宋体" w:hAnsi="宋体" w:cs="宋体" w:eastAsia="宋体" w:hint="default"/>
                <w:sz w:val="18"/>
                <w:szCs w:val="18"/>
              </w:rPr>
            </w:pPr>
            <w:r>
              <w:rPr>
                <w:rFonts w:ascii="宋体" w:hAnsi="宋体" w:cs="宋体" w:eastAsia="宋体" w:hint="default"/>
                <w:sz w:val="18"/>
                <w:szCs w:val="18"/>
              </w:rPr>
              <w:t>实质上构成对</w:t>
            </w:r>
          </w:p>
          <w:p>
            <w:pPr>
              <w:pStyle w:val="TableParagraph"/>
              <w:spacing w:line="244" w:lineRule="auto" w:before="4"/>
              <w:ind w:left="51" w:right="49"/>
              <w:jc w:val="both"/>
              <w:rPr>
                <w:rFonts w:ascii="Times New Roman" w:hAnsi="Times New Roman" w:cs="Times New Roman" w:eastAsia="Times New Roman" w:hint="default"/>
                <w:sz w:val="18"/>
                <w:szCs w:val="18"/>
              </w:rPr>
            </w:pPr>
            <w:r>
              <w:rPr>
                <w:rFonts w:ascii="宋体" w:hAnsi="宋体" w:cs="宋体" w:eastAsia="宋体" w:hint="default"/>
                <w:sz w:val="18"/>
                <w:szCs w:val="18"/>
              </w:rPr>
              <w:t>子公司的净投 资的其他项目 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466" w:type="dxa"/>
            <w:vMerge w:val="restart"/>
            <w:tcBorders>
              <w:top w:val="single" w:sz="4" w:space="0" w:color="000000"/>
              <w:left w:val="single" w:sz="4" w:space="0" w:color="000000"/>
              <w:right w:val="single" w:sz="4" w:space="0" w:color="000000"/>
            </w:tcBorders>
          </w:tcPr>
          <w:p>
            <w:pPr>
              <w:pStyle w:val="TableParagraph"/>
              <w:spacing w:line="244" w:lineRule="auto" w:before="101"/>
              <w:ind w:left="48" w:right="45"/>
              <w:jc w:val="center"/>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8" w:type="dxa"/>
            <w:vMerge w:val="restart"/>
            <w:tcBorders>
              <w:top w:val="single" w:sz="4" w:space="0" w:color="000000"/>
              <w:left w:val="single" w:sz="4" w:space="0" w:color="000000"/>
              <w:right w:val="single" w:sz="4" w:space="0" w:color="000000"/>
            </w:tcBorders>
          </w:tcPr>
          <w:p>
            <w:pPr>
              <w:pStyle w:val="TableParagraph"/>
              <w:spacing w:line="244" w:lineRule="auto" w:before="101"/>
              <w:ind w:left="68"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446" w:type="dxa"/>
            <w:vMerge w:val="restart"/>
            <w:tcBorders>
              <w:top w:val="single" w:sz="4" w:space="0" w:color="000000"/>
              <w:left w:val="single" w:sz="4" w:space="0" w:color="000000"/>
              <w:right w:val="single" w:sz="4" w:space="0" w:color="000000"/>
            </w:tcBorders>
          </w:tcPr>
          <w:p>
            <w:pPr>
              <w:pStyle w:val="TableParagraph"/>
              <w:spacing w:line="244" w:lineRule="auto" w:before="100"/>
              <w:ind w:left="38" w:right="36"/>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240" w:hRule="exact"/>
        </w:trPr>
        <w:tc>
          <w:tcPr>
            <w:tcW w:w="1003" w:type="dxa"/>
            <w:vMerge/>
            <w:tcBorders>
              <w:left w:val="single" w:sz="4" w:space="0" w:color="000000"/>
              <w:right w:val="single" w:sz="4" w:space="0" w:color="000000"/>
            </w:tcBorders>
          </w:tcPr>
          <w:p>
            <w:pPr/>
          </w:p>
        </w:tc>
        <w:tc>
          <w:tcPr>
            <w:tcW w:w="446" w:type="dxa"/>
            <w:vMerge/>
            <w:tcBorders>
              <w:left w:val="single" w:sz="4" w:space="0" w:color="000000"/>
              <w:right w:val="single" w:sz="4" w:space="0" w:color="000000"/>
            </w:tcBorders>
          </w:tcPr>
          <w:p>
            <w:pPr/>
          </w:p>
        </w:tc>
        <w:tc>
          <w:tcPr>
            <w:tcW w:w="406" w:type="dxa"/>
            <w:vMerge/>
            <w:tcBorders>
              <w:left w:val="single" w:sz="4" w:space="0" w:color="000000"/>
              <w:right w:val="single" w:sz="4" w:space="0" w:color="000000"/>
            </w:tcBorders>
          </w:tcPr>
          <w:p>
            <w:pPr/>
          </w:p>
        </w:tc>
        <w:tc>
          <w:tcPr>
            <w:tcW w:w="361" w:type="dxa"/>
            <w:vMerge/>
            <w:tcBorders>
              <w:left w:val="single" w:sz="4" w:space="0" w:color="000000"/>
              <w:right w:val="single" w:sz="4" w:space="0" w:color="000000"/>
            </w:tcBorders>
          </w:tcPr>
          <w:p>
            <w:pPr/>
          </w:p>
        </w:tc>
        <w:tc>
          <w:tcPr>
            <w:tcW w:w="534" w:type="dxa"/>
            <w:vMerge w:val="restart"/>
            <w:tcBorders>
              <w:top w:val="nil" w:sz="6" w:space="0" w:color="auto"/>
              <w:left w:val="single" w:sz="4" w:space="0" w:color="000000"/>
              <w:right w:val="single" w:sz="4" w:space="0" w:color="000000"/>
            </w:tcBorders>
          </w:tcPr>
          <w:p>
            <w:pPr>
              <w:pStyle w:val="TableParagraph"/>
              <w:spacing w:line="219" w:lineRule="exact"/>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w:t>
            </w:r>
          </w:p>
          <w:p>
            <w:pPr>
              <w:pStyle w:val="TableParagraph"/>
              <w:spacing w:line="245" w:lineRule="exact"/>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473" w:type="dxa"/>
            <w:vMerge/>
            <w:tcBorders>
              <w:left w:val="single" w:sz="4" w:space="0" w:color="000000"/>
              <w:right w:val="single" w:sz="4" w:space="0" w:color="000000"/>
            </w:tcBorders>
          </w:tcPr>
          <w:p>
            <w:pPr/>
          </w:p>
        </w:tc>
        <w:tc>
          <w:tcPr>
            <w:tcW w:w="725" w:type="dxa"/>
            <w:vMerge/>
            <w:tcBorders>
              <w:left w:val="single" w:sz="4" w:space="0" w:color="000000"/>
              <w:bottom w:val="nil" w:sz="6" w:space="0" w:color="auto"/>
              <w:right w:val="single" w:sz="4" w:space="0" w:color="000000"/>
            </w:tcBorders>
          </w:tcPr>
          <w:p>
            <w:pPr/>
          </w:p>
        </w:tc>
        <w:tc>
          <w:tcPr>
            <w:tcW w:w="11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446" w:type="dxa"/>
            <w:vMerge/>
            <w:tcBorders>
              <w:left w:val="single" w:sz="4" w:space="0" w:color="000000"/>
              <w:right w:val="single" w:sz="4" w:space="0" w:color="000000"/>
            </w:tcBorders>
          </w:tcPr>
          <w:p>
            <w:pPr/>
          </w:p>
        </w:tc>
      </w:tr>
      <w:tr>
        <w:trPr>
          <w:trHeight w:val="239" w:hRule="exact"/>
        </w:trPr>
        <w:tc>
          <w:tcPr>
            <w:tcW w:w="1003"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c>
          <w:tcPr>
            <w:tcW w:w="406" w:type="dxa"/>
            <w:vMerge/>
            <w:tcBorders>
              <w:left w:val="single" w:sz="4" w:space="0" w:color="000000"/>
              <w:bottom w:val="single" w:sz="4" w:space="0" w:color="000000"/>
              <w:right w:val="single" w:sz="4" w:space="0" w:color="000000"/>
            </w:tcBorders>
          </w:tcPr>
          <w:p>
            <w:pPr/>
          </w:p>
        </w:tc>
        <w:tc>
          <w:tcPr>
            <w:tcW w:w="361" w:type="dxa"/>
            <w:vMerge/>
            <w:tcBorders>
              <w:left w:val="single" w:sz="4" w:space="0" w:color="000000"/>
              <w:bottom w:val="single" w:sz="4" w:space="0" w:color="000000"/>
              <w:right w:val="single" w:sz="4" w:space="0" w:color="000000"/>
            </w:tcBorders>
          </w:tcPr>
          <w:p>
            <w:pPr/>
          </w:p>
        </w:tc>
        <w:tc>
          <w:tcPr>
            <w:tcW w:w="534" w:type="dxa"/>
            <w:vMerge/>
            <w:tcBorders>
              <w:left w:val="single" w:sz="4" w:space="0" w:color="000000"/>
              <w:bottom w:val="single" w:sz="4" w:space="0" w:color="000000"/>
              <w:right w:val="single" w:sz="4" w:space="0" w:color="000000"/>
            </w:tcBorders>
          </w:tcPr>
          <w:p>
            <w:pPr/>
          </w:p>
        </w:tc>
        <w:tc>
          <w:tcPr>
            <w:tcW w:w="2473" w:type="dxa"/>
            <w:vMerge/>
            <w:tcBorders>
              <w:left w:val="single" w:sz="4" w:space="0" w:color="000000"/>
              <w:bottom w:val="single" w:sz="4" w:space="0" w:color="000000"/>
              <w:right w:val="single" w:sz="4" w:space="0" w:color="000000"/>
            </w:tcBorders>
          </w:tcPr>
          <w:p>
            <w:pPr/>
          </w:p>
        </w:tc>
        <w:tc>
          <w:tcPr>
            <w:tcW w:w="725"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508"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r>
      <w:tr>
        <w:trPr>
          <w:trHeight w:val="730"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8"/>
              <w:jc w:val="both"/>
              <w:rPr>
                <w:rFonts w:ascii="宋体" w:hAnsi="宋体" w:cs="宋体" w:eastAsia="宋体" w:hint="default"/>
                <w:sz w:val="18"/>
                <w:szCs w:val="18"/>
              </w:rPr>
            </w:pPr>
            <w:r>
              <w:rPr>
                <w:rFonts w:ascii="宋体" w:hAnsi="宋体" w:cs="宋体" w:eastAsia="宋体" w:hint="default"/>
                <w:spacing w:val="12"/>
                <w:sz w:val="18"/>
                <w:szCs w:val="18"/>
              </w:rPr>
              <w:t>深圳市深信 西部房地产 </w:t>
            </w:r>
            <w:r>
              <w:rPr>
                <w:rFonts w:ascii="宋体" w:hAnsi="宋体" w:cs="宋体" w:eastAsia="宋体" w:hint="default"/>
                <w:sz w:val="18"/>
                <w:szCs w:val="18"/>
              </w:rPr>
              <w:t>有限公司</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3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49" w:right="0"/>
              <w:jc w:val="left"/>
              <w:rPr>
                <w:rFonts w:ascii="宋体" w:hAnsi="宋体" w:cs="宋体" w:eastAsia="宋体" w:hint="default"/>
                <w:sz w:val="18"/>
                <w:szCs w:val="18"/>
              </w:rPr>
            </w:pPr>
            <w:r>
              <w:rPr>
                <w:rFonts w:ascii="宋体" w:hAnsi="宋体" w:cs="宋体" w:eastAsia="宋体" w:hint="default"/>
                <w:sz w:val="18"/>
                <w:szCs w:val="18"/>
              </w:rPr>
              <w:t>深</w:t>
            </w:r>
          </w:p>
          <w:p>
            <w:pPr>
              <w:pStyle w:val="TableParagraph"/>
              <w:spacing w:line="244" w:lineRule="auto" w:before="4"/>
              <w:ind w:left="149" w:right="65"/>
              <w:jc w:val="left"/>
              <w:rPr>
                <w:rFonts w:ascii="宋体" w:hAnsi="宋体" w:cs="宋体" w:eastAsia="宋体" w:hint="default"/>
                <w:sz w:val="18"/>
                <w:szCs w:val="18"/>
              </w:rPr>
            </w:pPr>
            <w:r>
              <w:rPr>
                <w:rFonts w:ascii="宋体" w:hAnsi="宋体" w:cs="宋体" w:eastAsia="宋体" w:hint="default"/>
                <w:sz w:val="18"/>
                <w:szCs w:val="18"/>
              </w:rPr>
              <w:t>圳 市</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5" w:right="0"/>
              <w:jc w:val="left"/>
              <w:rPr>
                <w:rFonts w:ascii="宋体" w:hAnsi="宋体" w:cs="宋体" w:eastAsia="宋体" w:hint="default"/>
                <w:sz w:val="18"/>
                <w:szCs w:val="18"/>
              </w:rPr>
            </w:pPr>
            <w:r>
              <w:rPr>
                <w:rFonts w:ascii="宋体" w:hAnsi="宋体" w:cs="宋体" w:eastAsia="宋体" w:hint="default"/>
                <w:sz w:val="18"/>
                <w:szCs w:val="18"/>
              </w:rPr>
              <w:t>房</w:t>
            </w:r>
          </w:p>
          <w:p>
            <w:pPr>
              <w:pStyle w:val="TableParagraph"/>
              <w:spacing w:line="244" w:lineRule="auto" w:before="4"/>
              <w:ind w:left="85" w:right="84"/>
              <w:jc w:val="left"/>
              <w:rPr>
                <w:rFonts w:ascii="宋体" w:hAnsi="宋体" w:cs="宋体" w:eastAsia="宋体" w:hint="default"/>
                <w:sz w:val="18"/>
                <w:szCs w:val="18"/>
              </w:rPr>
            </w:pPr>
            <w:r>
              <w:rPr>
                <w:rFonts w:ascii="宋体" w:hAnsi="宋体" w:cs="宋体" w:eastAsia="宋体" w:hint="default"/>
                <w:sz w:val="18"/>
                <w:szCs w:val="18"/>
              </w:rPr>
              <w:t>地 产</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6,230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3" w:right="20"/>
              <w:jc w:val="left"/>
              <w:rPr>
                <w:rFonts w:ascii="宋体" w:hAnsi="宋体" w:cs="宋体" w:eastAsia="宋体" w:hint="default"/>
                <w:sz w:val="18"/>
                <w:szCs w:val="18"/>
              </w:rPr>
            </w:pPr>
            <w:r>
              <w:rPr>
                <w:rFonts w:ascii="宋体" w:hAnsi="宋体" w:cs="宋体" w:eastAsia="宋体" w:hint="default"/>
                <w:spacing w:val="5"/>
                <w:sz w:val="18"/>
                <w:szCs w:val="18"/>
              </w:rPr>
              <w:t>房地产开发经营、兴办实业、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国内商业</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11,830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8"/>
              <w:jc w:val="both"/>
              <w:rPr>
                <w:rFonts w:ascii="宋体" w:hAnsi="宋体" w:cs="宋体" w:eastAsia="宋体" w:hint="default"/>
                <w:sz w:val="18"/>
                <w:szCs w:val="18"/>
              </w:rPr>
            </w:pPr>
            <w:r>
              <w:rPr>
                <w:rFonts w:ascii="宋体" w:hAnsi="宋体" w:cs="宋体" w:eastAsia="宋体" w:hint="default"/>
                <w:spacing w:val="12"/>
                <w:sz w:val="18"/>
                <w:szCs w:val="18"/>
              </w:rPr>
              <w:t>深圳市深信 泰丰投资发 </w:t>
            </w:r>
            <w:r>
              <w:rPr>
                <w:rFonts w:ascii="宋体" w:hAnsi="宋体" w:cs="宋体" w:eastAsia="宋体" w:hint="default"/>
                <w:sz w:val="18"/>
                <w:szCs w:val="18"/>
              </w:rPr>
              <w:t>展有限公司</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3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9" w:right="65"/>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 w:right="84"/>
              <w:jc w:val="both"/>
              <w:rPr>
                <w:rFonts w:ascii="宋体" w:hAnsi="宋体" w:cs="宋体" w:eastAsia="宋体" w:hint="default"/>
                <w:sz w:val="18"/>
                <w:szCs w:val="18"/>
              </w:rPr>
            </w:pPr>
            <w:r>
              <w:rPr>
                <w:rFonts w:ascii="宋体" w:hAnsi="宋体" w:cs="宋体" w:eastAsia="宋体" w:hint="default"/>
                <w:sz w:val="18"/>
                <w:szCs w:val="18"/>
              </w:rPr>
              <w:t>出 租 物 业</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5,000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23" w:right="20"/>
              <w:jc w:val="left"/>
              <w:rPr>
                <w:rFonts w:ascii="宋体" w:hAnsi="宋体" w:cs="宋体" w:eastAsia="宋体" w:hint="default"/>
                <w:sz w:val="18"/>
                <w:szCs w:val="18"/>
              </w:rPr>
            </w:pPr>
            <w:r>
              <w:rPr>
                <w:rFonts w:ascii="宋体" w:hAnsi="宋体" w:cs="宋体" w:eastAsia="宋体" w:hint="default"/>
                <w:spacing w:val="5"/>
                <w:sz w:val="18"/>
                <w:szCs w:val="18"/>
              </w:rPr>
              <w:t>投资兴办实业、国内商业、物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资销</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5,000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71"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pacing w:val="12"/>
                <w:sz w:val="18"/>
                <w:szCs w:val="18"/>
              </w:rPr>
              <w:t>深圳市华宝</w:t>
            </w:r>
            <w:r>
              <w:rPr>
                <w:rFonts w:ascii="宋体" w:hAnsi="宋体" w:cs="宋体" w:eastAsia="宋体" w:hint="default"/>
                <w:sz w:val="18"/>
                <w:szCs w:val="18"/>
              </w:rPr>
            </w:r>
          </w:p>
          <w:p>
            <w:pPr>
              <w:pStyle w:val="TableParagraph"/>
              <w:spacing w:line="244" w:lineRule="auto" w:before="4"/>
              <w:ind w:left="22" w:right="8"/>
              <w:jc w:val="left"/>
              <w:rPr>
                <w:rFonts w:ascii="宋体" w:hAnsi="宋体" w:cs="宋体" w:eastAsia="宋体" w:hint="default"/>
                <w:sz w:val="18"/>
                <w:szCs w:val="18"/>
              </w:rPr>
            </w:pPr>
            <w:r>
              <w:rPr>
                <w:rFonts w:ascii="宋体" w:hAnsi="宋体" w:cs="宋体" w:eastAsia="宋体" w:hint="default"/>
                <w:spacing w:val="12"/>
                <w:sz w:val="18"/>
                <w:szCs w:val="18"/>
              </w:rPr>
              <w:t>（集团）饲 </w:t>
            </w:r>
            <w:r>
              <w:rPr>
                <w:rFonts w:ascii="宋体" w:hAnsi="宋体" w:cs="宋体" w:eastAsia="宋体" w:hint="default"/>
                <w:sz w:val="18"/>
                <w:szCs w:val="18"/>
              </w:rPr>
              <w:t>料有限公司</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3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9" w:right="65"/>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 w:right="84"/>
              <w:jc w:val="both"/>
              <w:rPr>
                <w:rFonts w:ascii="宋体" w:hAnsi="宋体" w:cs="宋体" w:eastAsia="宋体" w:hint="default"/>
                <w:sz w:val="18"/>
                <w:szCs w:val="18"/>
              </w:rPr>
            </w:pPr>
            <w:r>
              <w:rPr>
                <w:rFonts w:ascii="宋体" w:hAnsi="宋体" w:cs="宋体" w:eastAsia="宋体" w:hint="default"/>
                <w:sz w:val="18"/>
                <w:szCs w:val="18"/>
              </w:rPr>
              <w:t>饲 料 生 产</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6,130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饲料生产与销售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6,130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8"/>
              <w:jc w:val="both"/>
              <w:rPr>
                <w:rFonts w:ascii="宋体" w:hAnsi="宋体" w:cs="宋体" w:eastAsia="宋体" w:hint="default"/>
                <w:sz w:val="18"/>
                <w:szCs w:val="18"/>
              </w:rPr>
            </w:pPr>
            <w:r>
              <w:rPr>
                <w:rFonts w:ascii="宋体" w:hAnsi="宋体" w:cs="宋体" w:eastAsia="宋体" w:hint="default"/>
                <w:spacing w:val="12"/>
                <w:sz w:val="18"/>
                <w:szCs w:val="18"/>
              </w:rPr>
              <w:t>深圳市宝安 华宝实业有 </w:t>
            </w:r>
            <w:r>
              <w:rPr>
                <w:rFonts w:ascii="宋体" w:hAnsi="宋体" w:cs="宋体" w:eastAsia="宋体" w:hint="default"/>
                <w:sz w:val="18"/>
                <w:szCs w:val="18"/>
              </w:rPr>
              <w:t>限公司</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3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9" w:right="65"/>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 w:right="84"/>
              <w:jc w:val="both"/>
              <w:rPr>
                <w:rFonts w:ascii="宋体" w:hAnsi="宋体" w:cs="宋体" w:eastAsia="宋体" w:hint="default"/>
                <w:sz w:val="18"/>
                <w:szCs w:val="18"/>
              </w:rPr>
            </w:pPr>
            <w:r>
              <w:rPr>
                <w:rFonts w:ascii="宋体" w:hAnsi="宋体" w:cs="宋体" w:eastAsia="宋体" w:hint="default"/>
                <w:sz w:val="18"/>
                <w:szCs w:val="18"/>
              </w:rPr>
              <w:t>家 禽 养 殖</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3,620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3,620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963" w:footer="893" w:top="1200" w:bottom="1080" w:left="1480" w:right="1460"/>
        </w:sectPr>
      </w:pPr>
    </w:p>
    <w:p>
      <w:pPr>
        <w:spacing w:line="240" w:lineRule="auto" w:before="9"/>
        <w:rPr>
          <w:rFonts w:ascii="黑体" w:hAnsi="黑体" w:cs="黑体" w:eastAsia="黑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003"/>
        <w:gridCol w:w="446"/>
        <w:gridCol w:w="406"/>
        <w:gridCol w:w="361"/>
        <w:gridCol w:w="534"/>
        <w:gridCol w:w="2473"/>
        <w:gridCol w:w="725"/>
        <w:gridCol w:w="1193"/>
        <w:gridCol w:w="466"/>
        <w:gridCol w:w="508"/>
        <w:gridCol w:w="446"/>
      </w:tblGrid>
      <w:tr>
        <w:trPr>
          <w:trHeight w:val="970"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26"/>
                <w:szCs w:val="26"/>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0"/>
              <w:ind w:left="38" w:right="36"/>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50" w:right="65"/>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 w:right="84"/>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1"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before="4"/>
              <w:ind w:left="81" w:right="0"/>
              <w:jc w:val="left"/>
              <w:rPr>
                <w:rFonts w:ascii="宋体" w:hAnsi="宋体" w:cs="宋体" w:eastAsia="宋体" w:hint="default"/>
                <w:sz w:val="18"/>
                <w:szCs w:val="18"/>
              </w:rPr>
            </w:pPr>
            <w:r>
              <w:rPr>
                <w:rFonts w:ascii="宋体" w:hAnsi="宋体" w:cs="宋体" w:eastAsia="宋体" w:hint="default"/>
                <w:sz w:val="18"/>
                <w:szCs w:val="18"/>
              </w:rPr>
              <w:t>资本</w:t>
            </w:r>
          </w:p>
          <w:p>
            <w:pPr>
              <w:pStyle w:val="TableParagraph"/>
              <w:spacing w:line="245" w:lineRule="exact" w:before="4"/>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w:t>
            </w:r>
          </w:p>
          <w:p>
            <w:pPr>
              <w:pStyle w:val="TableParagraph"/>
              <w:spacing w:line="245" w:lineRule="exact"/>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期末实</w:t>
            </w:r>
          </w:p>
          <w:p>
            <w:pPr>
              <w:pStyle w:val="TableParagraph"/>
              <w:spacing w:line="244" w:lineRule="auto" w:before="4"/>
              <w:ind w:left="85" w:right="87"/>
              <w:jc w:val="center"/>
              <w:rPr>
                <w:rFonts w:ascii="Times New Roman" w:hAnsi="Times New Roman" w:cs="Times New Roman" w:eastAsia="Times New Roman" w:hint="default"/>
                <w:sz w:val="18"/>
                <w:szCs w:val="18"/>
              </w:rPr>
            </w:pPr>
            <w:r>
              <w:rPr>
                <w:rFonts w:ascii="宋体" w:hAnsi="宋体" w:cs="宋体" w:eastAsia="宋体" w:hint="default"/>
                <w:sz w:val="18"/>
                <w:szCs w:val="18"/>
              </w:rPr>
              <w:t>际出资 额 </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1" w:right="0"/>
              <w:jc w:val="both"/>
              <w:rPr>
                <w:rFonts w:ascii="宋体" w:hAnsi="宋体" w:cs="宋体" w:eastAsia="宋体" w:hint="default"/>
                <w:sz w:val="18"/>
                <w:szCs w:val="18"/>
              </w:rPr>
            </w:pPr>
            <w:r>
              <w:rPr>
                <w:rFonts w:ascii="宋体" w:hAnsi="宋体" w:cs="宋体" w:eastAsia="宋体" w:hint="default"/>
                <w:sz w:val="18"/>
                <w:szCs w:val="18"/>
              </w:rPr>
              <w:t>实质上构成对</w:t>
            </w:r>
          </w:p>
          <w:p>
            <w:pPr>
              <w:pStyle w:val="TableParagraph"/>
              <w:spacing w:line="244" w:lineRule="auto" w:before="4"/>
              <w:ind w:left="51" w:right="49"/>
              <w:jc w:val="both"/>
              <w:rPr>
                <w:rFonts w:ascii="Times New Roman" w:hAnsi="Times New Roman" w:cs="Times New Roman" w:eastAsia="Times New Roman" w:hint="default"/>
                <w:sz w:val="18"/>
                <w:szCs w:val="18"/>
              </w:rPr>
            </w:pPr>
            <w:r>
              <w:rPr>
                <w:rFonts w:ascii="宋体" w:hAnsi="宋体" w:cs="宋体" w:eastAsia="宋体" w:hint="default"/>
                <w:sz w:val="18"/>
                <w:szCs w:val="18"/>
              </w:rPr>
              <w:t>子公司的净投 资的其他项目 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48" w:right="45"/>
              <w:jc w:val="center"/>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68"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0"/>
              <w:ind w:left="38" w:right="36"/>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970"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8"/>
              <w:jc w:val="both"/>
              <w:rPr>
                <w:rFonts w:ascii="宋体" w:hAnsi="宋体" w:cs="宋体" w:eastAsia="宋体" w:hint="default"/>
                <w:sz w:val="18"/>
                <w:szCs w:val="18"/>
              </w:rPr>
            </w:pPr>
            <w:r>
              <w:rPr>
                <w:rFonts w:ascii="宋体" w:hAnsi="宋体" w:cs="宋体" w:eastAsia="宋体" w:hint="default"/>
                <w:spacing w:val="12"/>
                <w:sz w:val="18"/>
                <w:szCs w:val="18"/>
              </w:rPr>
              <w:t>深圳市龙岗 区华宝经济 发展有限公 </w:t>
            </w:r>
            <w:r>
              <w:rPr>
                <w:rFonts w:ascii="宋体" w:hAnsi="宋体" w:cs="宋体" w:eastAsia="宋体" w:hint="default"/>
                <w:sz w:val="18"/>
                <w:szCs w:val="18"/>
              </w:rPr>
              <w:t>司</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3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50" w:right="65"/>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48" w:right="0"/>
              <w:jc w:val="both"/>
              <w:rPr>
                <w:rFonts w:ascii="宋体" w:hAnsi="宋体" w:cs="宋体" w:eastAsia="宋体" w:hint="default"/>
                <w:sz w:val="18"/>
                <w:szCs w:val="18"/>
              </w:rPr>
            </w:pPr>
            <w:r>
              <w:rPr>
                <w:rFonts w:ascii="宋体" w:hAnsi="宋体" w:cs="宋体" w:eastAsia="宋体" w:hint="default"/>
                <w:sz w:val="18"/>
                <w:szCs w:val="18"/>
              </w:rPr>
              <w:t>种</w:t>
            </w:r>
          </w:p>
          <w:p>
            <w:pPr>
              <w:pStyle w:val="TableParagraph"/>
              <w:spacing w:line="244" w:lineRule="auto" w:before="4"/>
              <w:ind w:left="148" w:right="20"/>
              <w:jc w:val="both"/>
              <w:rPr>
                <w:rFonts w:ascii="宋体" w:hAnsi="宋体" w:cs="宋体" w:eastAsia="宋体" w:hint="default"/>
                <w:sz w:val="18"/>
                <w:szCs w:val="18"/>
              </w:rPr>
            </w:pPr>
            <w:r>
              <w:rPr>
                <w:rFonts w:ascii="宋体" w:hAnsi="宋体" w:cs="宋体" w:eastAsia="宋体" w:hint="default"/>
                <w:sz w:val="18"/>
                <w:szCs w:val="18"/>
              </w:rPr>
              <w:t>殖 果 树</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450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450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71"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8"/>
              <w:jc w:val="both"/>
              <w:rPr>
                <w:rFonts w:ascii="宋体" w:hAnsi="宋体" w:cs="宋体" w:eastAsia="宋体" w:hint="default"/>
                <w:sz w:val="18"/>
                <w:szCs w:val="18"/>
              </w:rPr>
            </w:pPr>
            <w:r>
              <w:rPr>
                <w:rFonts w:ascii="宋体" w:hAnsi="宋体" w:cs="宋体" w:eastAsia="宋体" w:hint="default"/>
                <w:spacing w:val="12"/>
                <w:sz w:val="18"/>
                <w:szCs w:val="18"/>
              </w:rPr>
              <w:t>深圳市华宝 西部物业管 </w:t>
            </w:r>
            <w:r>
              <w:rPr>
                <w:rFonts w:ascii="宋体" w:hAnsi="宋体" w:cs="宋体" w:eastAsia="宋体" w:hint="default"/>
                <w:sz w:val="18"/>
                <w:szCs w:val="18"/>
              </w:rPr>
              <w:t>理有限公司</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8" w:right="3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8" w:right="105"/>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物</w:t>
            </w:r>
          </w:p>
          <w:p>
            <w:pPr>
              <w:pStyle w:val="TableParagraph"/>
              <w:spacing w:line="244" w:lineRule="auto" w:before="4"/>
              <w:ind w:left="22" w:right="146"/>
              <w:jc w:val="both"/>
              <w:rPr>
                <w:rFonts w:ascii="宋体" w:hAnsi="宋体" w:cs="宋体" w:eastAsia="宋体" w:hint="default"/>
                <w:sz w:val="18"/>
                <w:szCs w:val="18"/>
              </w:rPr>
            </w:pPr>
            <w:r>
              <w:rPr>
                <w:rFonts w:ascii="宋体" w:hAnsi="宋体" w:cs="宋体" w:eastAsia="宋体" w:hint="default"/>
                <w:sz w:val="18"/>
                <w:szCs w:val="18"/>
              </w:rPr>
              <w:t>业 管 理</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300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24" w:right="20"/>
              <w:jc w:val="left"/>
              <w:rPr>
                <w:rFonts w:ascii="宋体" w:hAnsi="宋体" w:cs="宋体" w:eastAsia="宋体" w:hint="default"/>
                <w:sz w:val="18"/>
                <w:szCs w:val="18"/>
              </w:rPr>
            </w:pPr>
            <w:r>
              <w:rPr>
                <w:rFonts w:ascii="宋体" w:hAnsi="宋体" w:cs="宋体" w:eastAsia="宋体" w:hint="default"/>
                <w:spacing w:val="5"/>
                <w:sz w:val="18"/>
                <w:szCs w:val="18"/>
              </w:rPr>
              <w:t>物业管理及经营国内商业。机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动车停放服务。</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300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8"/>
              <w:jc w:val="both"/>
              <w:rPr>
                <w:rFonts w:ascii="宋体" w:hAnsi="宋体" w:cs="宋体" w:eastAsia="宋体" w:hint="default"/>
                <w:sz w:val="18"/>
                <w:szCs w:val="18"/>
              </w:rPr>
            </w:pPr>
            <w:r>
              <w:rPr>
                <w:rFonts w:ascii="宋体" w:hAnsi="宋体" w:cs="宋体" w:eastAsia="宋体" w:hint="default"/>
                <w:spacing w:val="12"/>
                <w:sz w:val="18"/>
                <w:szCs w:val="18"/>
              </w:rPr>
              <w:t>深圳市汇德 祥贸易有限 </w:t>
            </w:r>
            <w:r>
              <w:rPr>
                <w:rFonts w:ascii="宋体" w:hAnsi="宋体" w:cs="宋体" w:eastAsia="宋体" w:hint="default"/>
                <w:sz w:val="18"/>
                <w:szCs w:val="18"/>
              </w:rPr>
              <w:t>公司</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8" w:right="3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8" w:right="105"/>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44" w:lineRule="auto" w:before="4"/>
              <w:ind w:left="22" w:right="146"/>
              <w:jc w:val="both"/>
              <w:rPr>
                <w:rFonts w:ascii="宋体" w:hAnsi="宋体" w:cs="宋体" w:eastAsia="宋体" w:hint="default"/>
                <w:sz w:val="18"/>
                <w:szCs w:val="18"/>
              </w:rPr>
            </w:pPr>
            <w:r>
              <w:rPr>
                <w:rFonts w:ascii="宋体" w:hAnsi="宋体" w:cs="宋体" w:eastAsia="宋体" w:hint="default"/>
                <w:sz w:val="18"/>
                <w:szCs w:val="18"/>
              </w:rPr>
              <w:t>品 贸 易</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both"/>
              <w:rPr>
                <w:rFonts w:ascii="宋体" w:hAnsi="宋体" w:cs="宋体" w:eastAsia="宋体" w:hint="default"/>
                <w:sz w:val="18"/>
                <w:szCs w:val="18"/>
              </w:rPr>
            </w:pPr>
            <w:r>
              <w:rPr>
                <w:rFonts w:ascii="宋体" w:hAnsi="宋体" w:cs="宋体" w:eastAsia="宋体" w:hint="default"/>
                <w:spacing w:val="5"/>
                <w:sz w:val="18"/>
                <w:szCs w:val="18"/>
              </w:rPr>
              <w:t>投资兴办实业；塑料制品、通</w:t>
            </w:r>
          </w:p>
          <w:p>
            <w:pPr>
              <w:pStyle w:val="TableParagraph"/>
              <w:spacing w:line="244" w:lineRule="auto" w:before="4"/>
              <w:ind w:left="24" w:right="20"/>
              <w:jc w:val="both"/>
              <w:rPr>
                <w:rFonts w:ascii="宋体" w:hAnsi="宋体" w:cs="宋体" w:eastAsia="宋体" w:hint="default"/>
                <w:sz w:val="18"/>
                <w:szCs w:val="18"/>
              </w:rPr>
            </w:pPr>
            <w:r>
              <w:rPr>
                <w:rFonts w:ascii="宋体" w:hAnsi="宋体" w:cs="宋体" w:eastAsia="宋体" w:hint="default"/>
                <w:spacing w:val="5"/>
                <w:sz w:val="18"/>
                <w:szCs w:val="18"/>
              </w:rPr>
              <w:t>讯产品、多功能电话、无绳电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话的购销及其他国内商业、物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资供销业；企业形象设计。</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1000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71"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8"/>
              <w:jc w:val="both"/>
              <w:rPr>
                <w:rFonts w:ascii="宋体" w:hAnsi="宋体" w:cs="宋体" w:eastAsia="宋体" w:hint="default"/>
                <w:sz w:val="18"/>
                <w:szCs w:val="18"/>
              </w:rPr>
            </w:pPr>
            <w:r>
              <w:rPr>
                <w:rFonts w:ascii="宋体" w:hAnsi="宋体" w:cs="宋体" w:eastAsia="宋体" w:hint="default"/>
                <w:spacing w:val="12"/>
                <w:sz w:val="18"/>
                <w:szCs w:val="18"/>
              </w:rPr>
              <w:t>惠州市华宝 饲料有限公 </w:t>
            </w:r>
            <w:r>
              <w:rPr>
                <w:rFonts w:ascii="宋体" w:hAnsi="宋体" w:cs="宋体" w:eastAsia="宋体" w:hint="default"/>
                <w:sz w:val="18"/>
                <w:szCs w:val="18"/>
              </w:rPr>
              <w:t>司</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8" w:right="3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8" w:right="105"/>
              <w:jc w:val="both"/>
              <w:rPr>
                <w:rFonts w:ascii="宋体" w:hAnsi="宋体" w:cs="宋体" w:eastAsia="宋体" w:hint="default"/>
                <w:sz w:val="18"/>
                <w:szCs w:val="18"/>
              </w:rPr>
            </w:pPr>
            <w:r>
              <w:rPr>
                <w:rFonts w:ascii="宋体" w:hAnsi="宋体" w:cs="宋体" w:eastAsia="宋体" w:hint="default"/>
                <w:sz w:val="18"/>
                <w:szCs w:val="18"/>
              </w:rPr>
              <w:t>惠 州 市</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饲</w:t>
            </w:r>
          </w:p>
          <w:p>
            <w:pPr>
              <w:pStyle w:val="TableParagraph"/>
              <w:spacing w:line="244" w:lineRule="auto" w:before="4"/>
              <w:ind w:left="22" w:right="146"/>
              <w:jc w:val="both"/>
              <w:rPr>
                <w:rFonts w:ascii="宋体" w:hAnsi="宋体" w:cs="宋体" w:eastAsia="宋体" w:hint="default"/>
                <w:sz w:val="18"/>
                <w:szCs w:val="18"/>
              </w:rPr>
            </w:pPr>
            <w:r>
              <w:rPr>
                <w:rFonts w:ascii="宋体" w:hAnsi="宋体" w:cs="宋体" w:eastAsia="宋体" w:hint="default"/>
                <w:sz w:val="18"/>
                <w:szCs w:val="18"/>
              </w:rPr>
              <w:t>料 生 产</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销售饲料</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1000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黑体" w:hAnsi="黑体" w:cs="黑体" w:eastAsia="黑体" w:hint="default"/>
          <w:sz w:val="20"/>
          <w:szCs w:val="20"/>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．非同一控制下的企业合并取得子公司</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81"/>
        <w:gridCol w:w="521"/>
        <w:gridCol w:w="412"/>
        <w:gridCol w:w="559"/>
        <w:gridCol w:w="632"/>
        <w:gridCol w:w="1644"/>
        <w:gridCol w:w="826"/>
        <w:gridCol w:w="1625"/>
        <w:gridCol w:w="517"/>
        <w:gridCol w:w="400"/>
        <w:gridCol w:w="545"/>
      </w:tblGrid>
      <w:tr>
        <w:trPr>
          <w:trHeight w:val="492" w:hRule="exact"/>
        </w:trPr>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351" w:right="67"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21" w:right="37"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4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99" w:right="30"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632" w:type="dxa"/>
            <w:vMerge w:val="restart"/>
            <w:tcBorders>
              <w:top w:val="single" w:sz="4" w:space="0" w:color="000000"/>
              <w:left w:val="single" w:sz="4" w:space="0" w:color="000000"/>
              <w:right w:val="single" w:sz="4" w:space="0" w:color="000000"/>
            </w:tcBorders>
          </w:tcPr>
          <w:p>
            <w:pPr>
              <w:pStyle w:val="TableParagraph"/>
              <w:spacing w:line="244" w:lineRule="auto" w:before="101"/>
              <w:ind w:left="16" w:right="39" w:firstLine="23"/>
              <w:jc w:val="center"/>
              <w:rPr>
                <w:rFonts w:ascii="Times New Roman" w:hAnsi="Times New Roman" w:cs="Times New Roman" w:eastAsia="Times New Roman" w:hint="default"/>
                <w:sz w:val="18"/>
                <w:szCs w:val="18"/>
              </w:rPr>
            </w:pPr>
            <w:r>
              <w:rPr>
                <w:rFonts w:ascii="宋体" w:hAnsi="宋体" w:cs="宋体" w:eastAsia="宋体" w:hint="default"/>
                <w:sz w:val="18"/>
                <w:szCs w:val="18"/>
              </w:rPr>
              <w:t>注册资 本 </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26" w:type="dxa"/>
            <w:vMerge w:val="restart"/>
            <w:tcBorders>
              <w:top w:val="single" w:sz="4" w:space="0" w:color="000000"/>
              <w:left w:val="single" w:sz="4" w:space="0" w:color="000000"/>
              <w:right w:val="single" w:sz="4" w:space="0" w:color="000000"/>
            </w:tcBorders>
          </w:tcPr>
          <w:p>
            <w:pPr>
              <w:pStyle w:val="TableParagraph"/>
              <w:spacing w:line="244" w:lineRule="auto" w:before="101"/>
              <w:ind w:left="136" w:right="47" w:hanging="90"/>
              <w:jc w:val="left"/>
              <w:rPr>
                <w:rFonts w:ascii="宋体" w:hAnsi="宋体" w:cs="宋体" w:eastAsia="宋体" w:hint="default"/>
                <w:sz w:val="18"/>
                <w:szCs w:val="18"/>
              </w:rPr>
            </w:pPr>
            <w:r>
              <w:rPr>
                <w:rFonts w:ascii="宋体" w:hAnsi="宋体" w:cs="宋体" w:eastAsia="宋体" w:hint="default"/>
                <w:sz w:val="18"/>
                <w:szCs w:val="18"/>
              </w:rPr>
              <w:t>期末实际 投资额</w:t>
            </w:r>
          </w:p>
        </w:tc>
        <w:tc>
          <w:tcPr>
            <w:tcW w:w="1625" w:type="dxa"/>
            <w:vMerge w:val="restart"/>
            <w:tcBorders>
              <w:top w:val="single" w:sz="4" w:space="0" w:color="000000"/>
              <w:left w:val="single" w:sz="4" w:space="0" w:color="000000"/>
              <w:right w:val="single" w:sz="4" w:space="0" w:color="000000"/>
            </w:tcBorders>
          </w:tcPr>
          <w:p>
            <w:pPr>
              <w:pStyle w:val="TableParagraph"/>
              <w:spacing w:line="244" w:lineRule="auto" w:before="101"/>
              <w:ind w:left="5" w:right="-1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实质上构成对子公司 的净投资的其他项目 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5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6" w:right="-9" w:firstLine="7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40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10" w:right="7" w:hanging="90"/>
              <w:jc w:val="left"/>
              <w:rPr>
                <w:rFonts w:ascii="宋体" w:hAnsi="宋体" w:cs="宋体" w:eastAsia="宋体" w:hint="default"/>
                <w:sz w:val="18"/>
                <w:szCs w:val="18"/>
              </w:rPr>
            </w:pPr>
            <w:r>
              <w:rPr>
                <w:rFonts w:ascii="宋体" w:hAnsi="宋体" w:cs="宋体" w:eastAsia="宋体" w:hint="default"/>
                <w:sz w:val="18"/>
                <w:szCs w:val="18"/>
              </w:rPr>
              <w:t>表决 权</w:t>
            </w:r>
          </w:p>
        </w:tc>
        <w:tc>
          <w:tcPr>
            <w:tcW w:w="545" w:type="dxa"/>
            <w:vMerge w:val="restart"/>
            <w:tcBorders>
              <w:top w:val="single" w:sz="4" w:space="0" w:color="000000"/>
              <w:left w:val="single" w:sz="4" w:space="0" w:color="000000"/>
              <w:right w:val="single" w:sz="4" w:space="0" w:color="000000"/>
            </w:tcBorders>
          </w:tcPr>
          <w:p>
            <w:pPr>
              <w:pStyle w:val="TableParagraph"/>
              <w:spacing w:line="244" w:lineRule="auto" w:before="101"/>
              <w:ind w:left="106" w:right="66"/>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120" w:hRule="exact"/>
        </w:trPr>
        <w:tc>
          <w:tcPr>
            <w:tcW w:w="88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412" w:type="dxa"/>
            <w:vMerge/>
            <w:tcBorders>
              <w:left w:val="single" w:sz="4" w:space="0" w:color="000000"/>
              <w:right w:val="single" w:sz="4" w:space="0" w:color="000000"/>
            </w:tcBorders>
          </w:tcPr>
          <w:p>
            <w:pPr/>
          </w:p>
        </w:tc>
        <w:tc>
          <w:tcPr>
            <w:tcW w:w="559" w:type="dxa"/>
            <w:vMerge w:val="restart"/>
            <w:tcBorders>
              <w:top w:val="nil" w:sz="6" w:space="0" w:color="auto"/>
              <w:left w:val="single" w:sz="4" w:space="0" w:color="000000"/>
              <w:right w:val="single" w:sz="4" w:space="0" w:color="000000"/>
            </w:tcBorders>
          </w:tcPr>
          <w:p>
            <w:pPr>
              <w:pStyle w:val="TableParagraph"/>
              <w:spacing w:line="210" w:lineRule="exact"/>
              <w:ind w:left="94"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632" w:type="dxa"/>
            <w:vMerge/>
            <w:tcBorders>
              <w:left w:val="single" w:sz="4" w:space="0" w:color="000000"/>
              <w:right w:val="single" w:sz="4" w:space="0" w:color="000000"/>
            </w:tcBorders>
          </w:tcPr>
          <w:p>
            <w:pPr/>
          </w:p>
        </w:tc>
        <w:tc>
          <w:tcPr>
            <w:tcW w:w="1644" w:type="dxa"/>
            <w:vMerge/>
            <w:tcBorders>
              <w:left w:val="single" w:sz="4" w:space="0" w:color="000000"/>
              <w:right w:val="single" w:sz="4" w:space="0" w:color="000000"/>
            </w:tcBorders>
          </w:tcPr>
          <w:p>
            <w:pPr/>
          </w:p>
        </w:tc>
        <w:tc>
          <w:tcPr>
            <w:tcW w:w="826" w:type="dxa"/>
            <w:vMerge/>
            <w:tcBorders>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c>
          <w:tcPr>
            <w:tcW w:w="517" w:type="dxa"/>
            <w:vMerge/>
            <w:tcBorders>
              <w:left w:val="single" w:sz="4" w:space="0" w:color="000000"/>
              <w:right w:val="single" w:sz="4" w:space="0" w:color="000000"/>
            </w:tcBorders>
          </w:tcPr>
          <w:p>
            <w:pPr/>
          </w:p>
        </w:tc>
        <w:tc>
          <w:tcPr>
            <w:tcW w:w="400" w:type="dxa"/>
            <w:vMerge w:val="restart"/>
            <w:tcBorders>
              <w:top w:val="nil" w:sz="6" w:space="0" w:color="auto"/>
              <w:left w:val="single" w:sz="4" w:space="0" w:color="000000"/>
              <w:right w:val="single" w:sz="4" w:space="0" w:color="000000"/>
            </w:tcBorders>
          </w:tcPr>
          <w:p>
            <w:pPr>
              <w:pStyle w:val="TableParagraph"/>
              <w:spacing w:line="210" w:lineRule="exact"/>
              <w:ind w:left="10"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5" w:type="dxa"/>
            <w:vMerge/>
            <w:tcBorders>
              <w:left w:val="single" w:sz="4" w:space="0" w:color="000000"/>
              <w:right w:val="single" w:sz="4" w:space="0" w:color="000000"/>
            </w:tcBorders>
          </w:tcPr>
          <w:p>
            <w:pPr/>
          </w:p>
        </w:tc>
      </w:tr>
      <w:tr>
        <w:trPr>
          <w:trHeight w:val="358" w:hRule="exact"/>
        </w:trPr>
        <w:tc>
          <w:tcPr>
            <w:tcW w:w="88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41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632" w:type="dxa"/>
            <w:vMerge/>
            <w:tcBorders>
              <w:left w:val="single" w:sz="4" w:space="0" w:color="000000"/>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16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625" w:type="dxa"/>
            <w:vMerge/>
            <w:tcBorders>
              <w:left w:val="single" w:sz="4" w:space="0" w:color="000000"/>
              <w:bottom w:val="single" w:sz="4" w:space="0" w:color="000000"/>
              <w:right w:val="single" w:sz="4" w:space="0" w:color="000000"/>
            </w:tcBorders>
          </w:tcPr>
          <w:p>
            <w:pPr/>
          </w:p>
        </w:tc>
        <w:tc>
          <w:tcPr>
            <w:tcW w:w="517" w:type="dxa"/>
            <w:vMerge/>
            <w:tcBorders>
              <w:left w:val="single" w:sz="4" w:space="0" w:color="000000"/>
              <w:bottom w:val="single" w:sz="4" w:space="0" w:color="000000"/>
              <w:right w:val="single" w:sz="4" w:space="0" w:color="000000"/>
            </w:tcBorders>
          </w:tcPr>
          <w:p>
            <w:pPr/>
          </w:p>
        </w:tc>
        <w:tc>
          <w:tcPr>
            <w:tcW w:w="400" w:type="dxa"/>
            <w:vMerge/>
            <w:tcBorders>
              <w:left w:val="single" w:sz="4" w:space="0" w:color="000000"/>
              <w:bottom w:val="single" w:sz="4" w:space="0" w:color="000000"/>
              <w:right w:val="single" w:sz="4" w:space="0" w:color="000000"/>
            </w:tcBorders>
          </w:tcPr>
          <w:p>
            <w:pPr/>
          </w:p>
        </w:tc>
        <w:tc>
          <w:tcPr>
            <w:tcW w:w="545" w:type="dxa"/>
            <w:vMerge/>
            <w:tcBorders>
              <w:left w:val="single" w:sz="4" w:space="0" w:color="000000"/>
              <w:bottom w:val="single" w:sz="4" w:space="0" w:color="000000"/>
              <w:right w:val="single" w:sz="4" w:space="0" w:color="000000"/>
            </w:tcBorders>
          </w:tcPr>
          <w:p>
            <w:pPr/>
          </w:p>
        </w:tc>
      </w:tr>
      <w:tr>
        <w:trPr>
          <w:trHeight w:val="73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1"/>
              <w:jc w:val="both"/>
              <w:rPr>
                <w:rFonts w:ascii="宋体" w:hAnsi="宋体" w:cs="宋体" w:eastAsia="宋体" w:hint="default"/>
                <w:sz w:val="18"/>
                <w:szCs w:val="18"/>
              </w:rPr>
            </w:pPr>
            <w:r>
              <w:rPr>
                <w:rFonts w:ascii="宋体" w:hAnsi="宋体" w:cs="宋体" w:eastAsia="宋体" w:hint="default"/>
                <w:spacing w:val="25"/>
                <w:sz w:val="18"/>
                <w:szCs w:val="18"/>
              </w:rPr>
              <w:t>深圳市泰</w:t>
            </w:r>
            <w:r>
              <w:rPr>
                <w:rFonts w:ascii="宋体" w:hAnsi="宋体" w:cs="宋体" w:eastAsia="宋体" w:hint="default"/>
                <w:spacing w:val="-56"/>
                <w:sz w:val="18"/>
                <w:szCs w:val="18"/>
              </w:rPr>
              <w:t> </w:t>
            </w:r>
            <w:r>
              <w:rPr>
                <w:rFonts w:ascii="宋体" w:hAnsi="宋体" w:cs="宋体" w:eastAsia="宋体" w:hint="default"/>
                <w:spacing w:val="25"/>
                <w:sz w:val="18"/>
                <w:szCs w:val="18"/>
              </w:rPr>
              <w:t>丰科技有</w:t>
            </w:r>
            <w:r>
              <w:rPr>
                <w:rFonts w:ascii="宋体" w:hAnsi="宋体" w:cs="宋体" w:eastAsia="宋体" w:hint="default"/>
                <w:spacing w:val="-56"/>
                <w:sz w:val="18"/>
                <w:szCs w:val="18"/>
              </w:rPr>
              <w:t> </w:t>
            </w:r>
            <w:r>
              <w:rPr>
                <w:rFonts w:ascii="宋体" w:hAnsi="宋体" w:cs="宋体" w:eastAsia="宋体" w:hint="default"/>
                <w:sz w:val="18"/>
                <w:szCs w:val="18"/>
              </w:rPr>
              <w:t>限公司</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85" w:right="6"/>
              <w:jc w:val="left"/>
              <w:rPr>
                <w:rFonts w:ascii="宋体" w:hAnsi="宋体" w:cs="宋体" w:eastAsia="宋体" w:hint="default"/>
                <w:sz w:val="18"/>
                <w:szCs w:val="18"/>
              </w:rPr>
            </w:pPr>
            <w:r>
              <w:rPr>
                <w:rFonts w:ascii="宋体" w:hAnsi="宋体" w:cs="宋体" w:eastAsia="宋体" w:hint="default"/>
                <w:spacing w:val="15"/>
                <w:sz w:val="18"/>
                <w:szCs w:val="18"/>
              </w:rPr>
              <w:t>有限责 </w:t>
            </w:r>
            <w:r>
              <w:rPr>
                <w:rFonts w:ascii="宋体" w:hAnsi="宋体" w:cs="宋体" w:eastAsia="宋体" w:hint="default"/>
                <w:sz w:val="18"/>
                <w:szCs w:val="18"/>
              </w:rPr>
              <w:t>任公司</w:t>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 w:right="2"/>
              <w:jc w:val="left"/>
              <w:rPr>
                <w:rFonts w:ascii="宋体" w:hAnsi="宋体" w:cs="宋体" w:eastAsia="宋体" w:hint="default"/>
                <w:sz w:val="18"/>
                <w:szCs w:val="18"/>
              </w:rPr>
            </w:pPr>
            <w:r>
              <w:rPr>
                <w:rFonts w:ascii="宋体" w:hAnsi="宋体" w:cs="宋体" w:eastAsia="宋体" w:hint="default"/>
                <w:spacing w:val="9"/>
                <w:sz w:val="18"/>
                <w:szCs w:val="18"/>
              </w:rPr>
              <w:t>深圳</w:t>
            </w:r>
            <w:r>
              <w:rPr>
                <w:rFonts w:ascii="宋体" w:hAnsi="宋体" w:cs="宋体" w:eastAsia="宋体" w:hint="default"/>
                <w:spacing w:val="-72"/>
                <w:sz w:val="18"/>
                <w:szCs w:val="18"/>
              </w:rPr>
              <w:t> </w:t>
            </w:r>
            <w:r>
              <w:rPr>
                <w:rFonts w:ascii="宋体" w:hAnsi="宋体" w:cs="宋体" w:eastAsia="宋体" w:hint="default"/>
                <w:sz w:val="18"/>
                <w:szCs w:val="18"/>
              </w:rPr>
              <w:t>市</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pacing w:val="52"/>
                <w:sz w:val="18"/>
                <w:szCs w:val="18"/>
              </w:rPr>
              <w:t> </w:t>
            </w:r>
            <w:r>
              <w:rPr>
                <w:rFonts w:ascii="宋体" w:hAnsi="宋体" w:cs="宋体" w:eastAsia="宋体" w:hint="default"/>
                <w:sz w:val="18"/>
                <w:szCs w:val="18"/>
              </w:rPr>
              <w:t>产</w:t>
            </w:r>
          </w:p>
          <w:p>
            <w:pPr>
              <w:pStyle w:val="TableParagraph"/>
              <w:spacing w:line="244" w:lineRule="auto" w:before="4"/>
              <w:ind w:left="23" w:right="2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pacing w:val="52"/>
                <w:sz w:val="18"/>
                <w:szCs w:val="18"/>
              </w:rPr>
              <w:t> </w:t>
            </w:r>
            <w:r>
              <w:rPr>
                <w:rFonts w:ascii="宋体" w:hAnsi="宋体" w:cs="宋体" w:eastAsia="宋体" w:hint="default"/>
                <w:sz w:val="18"/>
                <w:szCs w:val="18"/>
              </w:rPr>
              <w:t>子</w:t>
            </w:r>
            <w:r>
              <w:rPr>
                <w:rFonts w:ascii="宋体" w:hAnsi="宋体" w:cs="宋体" w:eastAsia="宋体" w:hint="default"/>
                <w:sz w:val="18"/>
                <w:szCs w:val="18"/>
              </w:rPr>
              <w:t> 产品</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both"/>
              <w:rPr>
                <w:rFonts w:ascii="宋体" w:hAnsi="宋体" w:cs="宋体" w:eastAsia="宋体" w:hint="default"/>
                <w:sz w:val="18"/>
                <w:szCs w:val="18"/>
              </w:rPr>
            </w:pPr>
            <w:r>
              <w:rPr>
                <w:rFonts w:ascii="宋体" w:hAnsi="宋体" w:cs="宋体" w:eastAsia="宋体" w:hint="default"/>
                <w:spacing w:val="-4"/>
                <w:sz w:val="18"/>
                <w:szCs w:val="18"/>
              </w:rPr>
              <w:t>开发、生产、销售无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绳电话机、多功能电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话机等</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16,000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100</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8"/>
        <w:rPr>
          <w:rFonts w:ascii="黑体" w:hAnsi="黑体" w:cs="黑体" w:eastAsia="黑体" w:hint="default"/>
          <w:sz w:val="14"/>
          <w:szCs w:val="14"/>
        </w:rPr>
      </w:pPr>
    </w:p>
    <w:p>
      <w:pPr>
        <w:pStyle w:val="BodyText"/>
        <w:spacing w:line="240" w:lineRule="auto" w:before="35"/>
        <w:ind w:right="0"/>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75"/>
        </w:rPr>
        <w:t> </w:t>
      </w:r>
      <w:r>
        <w:rPr>
          <w:rFonts w:ascii="黑体" w:hAnsi="黑体" w:cs="黑体" w:eastAsia="黑体" w:hint="default"/>
        </w:rPr>
        <w:t>子公司少数股东权益情况</w:t>
      </w:r>
    </w:p>
    <w:p>
      <w:pPr>
        <w:spacing w:line="240" w:lineRule="auto" w:before="7"/>
        <w:rPr>
          <w:rFonts w:ascii="黑体" w:hAnsi="黑体" w:cs="黑体" w:eastAsia="黑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797"/>
        <w:gridCol w:w="2855"/>
        <w:gridCol w:w="2909"/>
      </w:tblGrid>
      <w:tr>
        <w:trPr>
          <w:trHeight w:val="730"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07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01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953" w:right="323" w:hanging="360"/>
              <w:jc w:val="left"/>
              <w:rPr>
                <w:rFonts w:ascii="宋体" w:hAnsi="宋体" w:cs="宋体" w:eastAsia="宋体" w:hint="default"/>
                <w:sz w:val="18"/>
                <w:szCs w:val="18"/>
              </w:rPr>
            </w:pPr>
            <w:r>
              <w:rPr>
                <w:rFonts w:ascii="宋体" w:hAnsi="宋体" w:cs="宋体" w:eastAsia="宋体" w:hint="default"/>
                <w:sz w:val="18"/>
                <w:szCs w:val="18"/>
              </w:rPr>
              <w:t>少数股东权益中冲减少数 股东损益的金额</w:t>
            </w:r>
          </w:p>
        </w:tc>
      </w:tr>
      <w:tr>
        <w:trPr>
          <w:trHeight w:val="890"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18"/>
                <w:szCs w:val="18"/>
              </w:rPr>
            </w:pPr>
            <w:r>
              <w:rPr>
                <w:rFonts w:ascii="宋体" w:hAnsi="宋体" w:cs="宋体" w:eastAsia="宋体" w:hint="default"/>
                <w:spacing w:val="9"/>
                <w:sz w:val="18"/>
                <w:szCs w:val="18"/>
              </w:rPr>
              <w:t>深圳市宝安华宝实业有限公司</w:t>
            </w:r>
          </w:p>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50"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深圳市泰丰科技有限公司  </w:t>
            </w:r>
            <w:r>
              <w:rPr>
                <w:rFonts w:ascii="Times New Roman" w:hAnsi="Times New Roman" w:cs="Times New Roman" w:eastAsia="Times New Roman" w:hint="default"/>
                <w:sz w:val="18"/>
                <w:szCs w:val="18"/>
              </w:rPr>
              <w:t>*</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12"/>
        <w:rPr>
          <w:rFonts w:ascii="黑体" w:hAnsi="黑体" w:cs="黑体" w:eastAsia="黑体" w:hint="default"/>
          <w:sz w:val="15"/>
          <w:szCs w:val="15"/>
        </w:rPr>
      </w:pPr>
    </w:p>
    <w:p>
      <w:pPr>
        <w:pStyle w:val="BodyText"/>
        <w:spacing w:line="391" w:lineRule="auto" w:before="35"/>
        <w:ind w:left="141" w:right="215"/>
        <w:jc w:val="both"/>
      </w:pP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因这两家公司本年进行重整，根据重整计划该两家公司除本公司外的其他股东让渡持有的 </w:t>
      </w:r>
      <w:r>
        <w:rPr>
          <w:spacing w:val="-3"/>
        </w:rPr>
        <w:t>公司股份，让渡的股份由本公司受让，该两家公司在重整计划执行完毕后成为本公司的全资子</w:t>
      </w:r>
      <w:r>
        <w:rPr>
          <w:spacing w:val="-88"/>
        </w:rPr>
        <w:t> </w:t>
      </w:r>
      <w:r>
        <w:rPr>
          <w:spacing w:val="-88"/>
        </w:rPr>
      </w:r>
      <w:r>
        <w:rPr/>
        <w:t>公司，详见附注十说明。故截止</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日，少数股东权益和少数股东损益为</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42"/>
        <w:ind w:right="0"/>
        <w:jc w:val="left"/>
        <w:rPr>
          <w:rFonts w:ascii="黑体" w:hAnsi="黑体" w:cs="黑体" w:eastAsia="黑体" w:hint="default"/>
        </w:rPr>
      </w:pPr>
      <w:r>
        <w:rPr/>
        <w:t>（三）</w:t>
      </w:r>
      <w:r>
        <w:rPr>
          <w:spacing w:val="-75"/>
        </w:rPr>
        <w:t> </w:t>
      </w:r>
      <w:r>
        <w:rPr>
          <w:rFonts w:ascii="黑体" w:hAnsi="黑体" w:cs="黑体" w:eastAsia="黑体" w:hint="default"/>
        </w:rPr>
        <w:t>合并范围发生变更的说明</w:t>
      </w:r>
    </w:p>
    <w:p>
      <w:pPr>
        <w:spacing w:line="240" w:lineRule="auto" w:before="13"/>
        <w:rPr>
          <w:rFonts w:ascii="黑体" w:hAnsi="黑体" w:cs="黑体" w:eastAsia="黑体" w:hint="default"/>
          <w:sz w:val="17"/>
          <w:szCs w:val="17"/>
        </w:rPr>
      </w:pPr>
    </w:p>
    <w:p>
      <w:pPr>
        <w:pStyle w:val="BodyText"/>
        <w:spacing w:line="400" w:lineRule="auto"/>
        <w:ind w:left="141" w:right="0" w:firstLine="420"/>
        <w:jc w:val="left"/>
      </w:pPr>
      <w:r>
        <w:rPr>
          <w:spacing w:val="-6"/>
        </w:rPr>
        <w:t>本公司报告期内合并范围新增一家二级子公司，系本公司之一级子公司深圳市华宝（集团）</w:t>
      </w:r>
      <w:r>
        <w:rPr/>
        <w:t> 饲料有限公司于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月在惠州投资</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spacing w:val="-3"/>
        </w:rPr>
        <w:t>万元新建惠州市华宝饲料有限公司，该二级子</w:t>
      </w:r>
    </w:p>
    <w:p>
      <w:pPr>
        <w:pStyle w:val="BodyText"/>
        <w:spacing w:line="240" w:lineRule="auto" w:before="14"/>
        <w:ind w:left="141" w:right="0"/>
        <w:jc w:val="both"/>
      </w:pPr>
      <w:r>
        <w:rPr/>
        <w:t>公司注册资本为</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万元。截止</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日，该二级子公司处于筹办期。</w:t>
      </w:r>
    </w:p>
    <w:p>
      <w:pPr>
        <w:spacing w:after="0" w:line="240" w:lineRule="auto"/>
        <w:jc w:val="both"/>
        <w:sectPr>
          <w:pgSz w:w="11910" w:h="16840"/>
          <w:pgMar w:header="963" w:footer="893" w:top="1200" w:bottom="1080" w:left="1560" w:right="1480"/>
        </w:sectPr>
      </w:pPr>
    </w:p>
    <w:p>
      <w:pPr>
        <w:spacing w:line="240" w:lineRule="auto" w:before="4"/>
        <w:rPr>
          <w:rFonts w:ascii="宋体" w:hAnsi="宋体" w:cs="宋体" w:eastAsia="宋体" w:hint="default"/>
          <w:sz w:val="23"/>
          <w:szCs w:val="23"/>
        </w:rPr>
      </w:pPr>
    </w:p>
    <w:p>
      <w:pPr>
        <w:pStyle w:val="BodyText"/>
        <w:spacing w:line="240" w:lineRule="auto" w:before="35"/>
        <w:ind w:left="641" w:right="23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75"/>
        </w:rPr>
        <w:t> </w:t>
      </w:r>
      <w:r>
        <w:rPr>
          <w:rFonts w:ascii="黑体" w:hAnsi="黑体" w:cs="黑体" w:eastAsia="黑体" w:hint="default"/>
        </w:rPr>
        <w:t>本期新纳入合并范围的主体</w:t>
      </w:r>
    </w:p>
    <w:p>
      <w:pPr>
        <w:spacing w:line="240" w:lineRule="auto" w:before="5"/>
        <w:rPr>
          <w:rFonts w:ascii="黑体" w:hAnsi="黑体" w:cs="黑体" w:eastAsia="黑体" w:hint="default"/>
          <w:sz w:val="23"/>
          <w:szCs w:val="23"/>
        </w:rPr>
      </w:pPr>
    </w:p>
    <w:p>
      <w:pPr>
        <w:pStyle w:val="BodyText"/>
        <w:spacing w:line="240" w:lineRule="auto"/>
        <w:ind w:left="641" w:right="230"/>
        <w:jc w:val="left"/>
      </w:pPr>
      <w:r>
        <w:rPr>
          <w:rFonts w:ascii="Times New Roman" w:hAnsi="Times New Roman" w:cs="Times New Roman" w:eastAsia="Times New Roman" w:hint="default"/>
        </w:rPr>
        <w:t>1</w:t>
      </w:r>
      <w:r>
        <w:rPr/>
        <w:t>．本期新纳入合并范围的子公司</w:t>
      </w:r>
    </w:p>
    <w:p>
      <w:pPr>
        <w:spacing w:line="240" w:lineRule="auto" w:before="5"/>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08"/>
        <w:gridCol w:w="2908"/>
        <w:gridCol w:w="2906"/>
      </w:tblGrid>
      <w:tr>
        <w:trPr>
          <w:trHeight w:val="37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32"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3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71"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0" w:right="0"/>
              <w:jc w:val="center"/>
              <w:rPr>
                <w:rFonts w:ascii="宋体" w:hAnsi="宋体" w:cs="宋体" w:eastAsia="宋体" w:hint="default"/>
                <w:sz w:val="18"/>
                <w:szCs w:val="18"/>
              </w:rPr>
            </w:pPr>
            <w:r>
              <w:rPr>
                <w:rFonts w:ascii="宋体" w:hAnsi="宋体" w:cs="宋体" w:eastAsia="宋体" w:hint="default"/>
                <w:sz w:val="18"/>
                <w:szCs w:val="18"/>
              </w:rPr>
              <w:t>惠州市华宝饲料有限公司</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48" w:right="0"/>
              <w:jc w:val="left"/>
              <w:rPr>
                <w:rFonts w:ascii="Times New Roman" w:hAnsi="Times New Roman" w:cs="Times New Roman" w:eastAsia="Times New Roman" w:hint="default"/>
                <w:sz w:val="18"/>
                <w:szCs w:val="18"/>
              </w:rPr>
            </w:pPr>
            <w:r>
              <w:rPr>
                <w:rFonts w:ascii="Times New Roman"/>
                <w:sz w:val="18"/>
              </w:rPr>
              <w:t>9,975,645.00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-24,355.00</w:t>
            </w:r>
          </w:p>
        </w:tc>
      </w:tr>
    </w:tbl>
    <w:p>
      <w:pPr>
        <w:spacing w:line="240" w:lineRule="auto" w:before="1"/>
        <w:rPr>
          <w:rFonts w:ascii="宋体" w:hAnsi="宋体" w:cs="宋体" w:eastAsia="宋体" w:hint="default"/>
          <w:sz w:val="25"/>
          <w:szCs w:val="25"/>
        </w:rPr>
      </w:pPr>
    </w:p>
    <w:p>
      <w:pPr>
        <w:pStyle w:val="BodyText"/>
        <w:spacing w:line="240" w:lineRule="auto" w:before="35"/>
        <w:ind w:left="641" w:right="230"/>
        <w:jc w:val="left"/>
        <w:rPr>
          <w:rFonts w:ascii="黑体" w:hAnsi="黑体" w:cs="黑体" w:eastAsia="黑体" w:hint="default"/>
        </w:rPr>
      </w:pPr>
      <w:r>
        <w:rPr>
          <w:rFonts w:ascii="黑体" w:hAnsi="黑体" w:cs="黑体" w:eastAsia="黑体" w:hint="default"/>
        </w:rPr>
        <w:t>附注五、合并财务报表主要项目注释</w:t>
      </w:r>
    </w:p>
    <w:p>
      <w:pPr>
        <w:spacing w:line="240" w:lineRule="auto" w:before="13"/>
        <w:rPr>
          <w:rFonts w:ascii="黑体" w:hAnsi="黑体" w:cs="黑体" w:eastAsia="黑体" w:hint="default"/>
          <w:sz w:val="17"/>
          <w:szCs w:val="17"/>
        </w:rPr>
      </w:pPr>
    </w:p>
    <w:p>
      <w:pPr>
        <w:pStyle w:val="BodyText"/>
        <w:spacing w:line="240" w:lineRule="auto"/>
        <w:ind w:left="641" w:right="230"/>
        <w:jc w:val="left"/>
        <w:rPr>
          <w:rFonts w:ascii="黑体" w:hAnsi="黑体" w:cs="黑体" w:eastAsia="黑体" w:hint="default"/>
        </w:rPr>
      </w:pPr>
      <w:r>
        <w:rPr>
          <w:rFonts w:ascii="Times New Roman" w:hAnsi="Times New Roman" w:cs="Times New Roman" w:eastAsia="Times New Roman" w:hint="default"/>
        </w:rPr>
        <w:t>1. </w:t>
      </w:r>
      <w:r>
        <w:rPr>
          <w:rFonts w:ascii="Times New Roman" w:hAnsi="Times New Roman" w:cs="Times New Roman" w:eastAsia="Times New Roman" w:hint="default"/>
          <w:spacing w:val="36"/>
        </w:rPr>
        <w:t> </w:t>
      </w:r>
      <w:r>
        <w:rPr>
          <w:rFonts w:ascii="黑体" w:hAnsi="黑体" w:cs="黑体" w:eastAsia="黑体" w:hint="default"/>
        </w:rPr>
        <w:t>货币资金</w:t>
      </w:r>
    </w:p>
    <w:p>
      <w:pPr>
        <w:spacing w:line="240" w:lineRule="auto" w:before="4"/>
        <w:rPr>
          <w:rFonts w:ascii="黑体" w:hAnsi="黑体" w:cs="黑体" w:eastAsia="黑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726"/>
        <w:gridCol w:w="1093"/>
        <w:gridCol w:w="883"/>
        <w:gridCol w:w="1462"/>
        <w:gridCol w:w="1094"/>
        <w:gridCol w:w="883"/>
        <w:gridCol w:w="1462"/>
      </w:tblGrid>
      <w:tr>
        <w:trPr>
          <w:trHeight w:val="379" w:hRule="exact"/>
        </w:trPr>
        <w:tc>
          <w:tcPr>
            <w:tcW w:w="1726" w:type="dxa"/>
            <w:vMerge w:val="restart"/>
            <w:tcBorders>
              <w:top w:val="single" w:sz="4" w:space="0" w:color="000000"/>
              <w:left w:val="single" w:sz="4" w:space="0" w:color="000000"/>
              <w:right w:val="single" w:sz="6" w:space="0" w:color="000000"/>
            </w:tcBorders>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8" w:type="dxa"/>
            <w:gridSpan w:val="3"/>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2010-12-31</w:t>
            </w:r>
          </w:p>
        </w:tc>
        <w:tc>
          <w:tcPr>
            <w:tcW w:w="3439" w:type="dxa"/>
            <w:gridSpan w:val="3"/>
            <w:tcBorders>
              <w:top w:val="single" w:sz="4" w:space="0" w:color="000000"/>
              <w:left w:val="single" w:sz="6" w:space="0" w:color="000000"/>
              <w:bottom w:val="single" w:sz="6" w:space="0" w:color="000000"/>
              <w:right w:val="single" w:sz="4" w:space="0" w:color="000000"/>
            </w:tcBorders>
          </w:tcPr>
          <w:p>
            <w:pPr>
              <w:pStyle w:val="TableParagraph"/>
              <w:spacing w:line="240" w:lineRule="auto" w:before="146"/>
              <w:ind w:right="2"/>
              <w:jc w:val="center"/>
              <w:rPr>
                <w:rFonts w:ascii="Times New Roman" w:hAnsi="Times New Roman" w:cs="Times New Roman" w:eastAsia="Times New Roman" w:hint="default"/>
                <w:sz w:val="18"/>
                <w:szCs w:val="18"/>
              </w:rPr>
            </w:pPr>
            <w:r>
              <w:rPr>
                <w:rFonts w:ascii="Times New Roman"/>
                <w:sz w:val="18"/>
              </w:rPr>
              <w:t>2009-12-31</w:t>
            </w:r>
          </w:p>
        </w:tc>
      </w:tr>
      <w:tr>
        <w:trPr>
          <w:trHeight w:val="365" w:hRule="exact"/>
        </w:trPr>
        <w:tc>
          <w:tcPr>
            <w:tcW w:w="1726" w:type="dxa"/>
            <w:vMerge/>
            <w:tcBorders>
              <w:left w:val="single" w:sz="4"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3"/>
              <w:jc w:val="righ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3"/>
              <w:jc w:val="righ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83"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9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178,879.94</w:t>
            </w:r>
          </w:p>
        </w:tc>
        <w:tc>
          <w:tcPr>
            <w:tcW w:w="1094"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248,151.54</w:t>
            </w:r>
          </w:p>
        </w:tc>
      </w:tr>
      <w:tr>
        <w:trPr>
          <w:trHeight w:val="38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9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138,280.78</w:t>
            </w:r>
          </w:p>
        </w:tc>
        <w:tc>
          <w:tcPr>
            <w:tcW w:w="1094"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207,535.20</w:t>
            </w:r>
          </w:p>
        </w:tc>
      </w:tr>
      <w:tr>
        <w:trPr>
          <w:trHeight w:val="38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Times New Roman" w:hAnsi="Times New Roman" w:cs="Times New Roman" w:eastAsia="Times New Roman" w:hint="default"/>
                <w:sz w:val="18"/>
                <w:szCs w:val="18"/>
              </w:rPr>
            </w:pPr>
            <w:r>
              <w:rPr>
                <w:rFonts w:ascii="Times New Roman"/>
                <w:sz w:val="18"/>
              </w:rPr>
              <w:t>40,685.78</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0.85</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Times New Roman" w:hAnsi="Times New Roman" w:cs="Times New Roman" w:eastAsia="Times New Roman" w:hint="default"/>
                <w:sz w:val="18"/>
                <w:szCs w:val="18"/>
              </w:rPr>
            </w:pPr>
            <w:r>
              <w:rPr>
                <w:rFonts w:ascii="Times New Roman"/>
                <w:sz w:val="18"/>
              </w:rPr>
              <w:t>40,599.16</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45,409.68</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0.88</w:t>
            </w: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40,616.34</w:t>
            </w:r>
          </w:p>
        </w:tc>
      </w:tr>
      <w:tr>
        <w:trPr>
          <w:trHeight w:val="383"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09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pacing w:val="-1"/>
                <w:sz w:val="18"/>
              </w:rPr>
              <w:t>61,640,917.82</w:t>
            </w:r>
          </w:p>
        </w:tc>
        <w:tc>
          <w:tcPr>
            <w:tcW w:w="1094"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26,271,874.08</w:t>
            </w:r>
          </w:p>
        </w:tc>
      </w:tr>
      <w:tr>
        <w:trPr>
          <w:trHeight w:val="38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9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pacing w:val="-1"/>
                <w:sz w:val="18"/>
              </w:rPr>
              <w:t>61,590,081.20</w:t>
            </w:r>
          </w:p>
        </w:tc>
        <w:tc>
          <w:tcPr>
            <w:tcW w:w="1094"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26,211,083.61</w:t>
            </w:r>
          </w:p>
        </w:tc>
      </w:tr>
      <w:tr>
        <w:trPr>
          <w:trHeight w:val="38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Times New Roman" w:hAnsi="Times New Roman" w:cs="Times New Roman" w:eastAsia="Times New Roman" w:hint="default"/>
                <w:sz w:val="18"/>
                <w:szCs w:val="18"/>
              </w:rPr>
            </w:pPr>
            <w:r>
              <w:rPr>
                <w:rFonts w:ascii="Times New Roman"/>
                <w:sz w:val="18"/>
              </w:rPr>
              <w:t>34,400.72</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0.85</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Times New Roman" w:hAnsi="Times New Roman" w:cs="Times New Roman" w:eastAsia="Times New Roman" w:hint="default"/>
                <w:sz w:val="18"/>
                <w:szCs w:val="18"/>
              </w:rPr>
            </w:pPr>
            <w:r>
              <w:rPr>
                <w:rFonts w:ascii="Times New Roman"/>
                <w:sz w:val="18"/>
              </w:rPr>
              <w:t>29,272.61</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43,940.46</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0.88</w:t>
            </w: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38,689.57</w:t>
            </w:r>
          </w:p>
        </w:tc>
      </w:tr>
      <w:tr>
        <w:trPr>
          <w:trHeight w:val="383"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7"/>
              <w:jc w:val="right"/>
              <w:rPr>
                <w:rFonts w:ascii="Times New Roman" w:hAnsi="Times New Roman" w:cs="Times New Roman" w:eastAsia="Times New Roman" w:hint="default"/>
                <w:sz w:val="18"/>
                <w:szCs w:val="18"/>
              </w:rPr>
            </w:pPr>
            <w:r>
              <w:rPr>
                <w:rFonts w:ascii="Times New Roman"/>
                <w:sz w:val="18"/>
              </w:rPr>
              <w:t>3,061.30</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6.62</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21,564.01</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Times New Roman" w:hAnsi="Times New Roman" w:cs="Times New Roman" w:eastAsia="Times New Roman" w:hint="default"/>
                <w:sz w:val="18"/>
                <w:szCs w:val="18"/>
              </w:rPr>
            </w:pPr>
            <w:r>
              <w:rPr>
                <w:rFonts w:ascii="Times New Roman"/>
                <w:sz w:val="18"/>
              </w:rPr>
              <w:t>3,049.24</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6.83</w:t>
            </w: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22,100.90</w:t>
            </w:r>
          </w:p>
        </w:tc>
      </w:tr>
      <w:tr>
        <w:trPr>
          <w:trHeight w:val="38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09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Times New Roman" w:hAnsi="Times New Roman" w:cs="Times New Roman" w:eastAsia="Times New Roman" w:hint="default"/>
                <w:sz w:val="18"/>
                <w:szCs w:val="18"/>
              </w:rPr>
            </w:pPr>
            <w:r>
              <w:rPr>
                <w:rFonts w:ascii="Times New Roman"/>
                <w:spacing w:val="-1"/>
                <w:sz w:val="18"/>
              </w:rPr>
              <w:t>4,000,026.53</w:t>
            </w:r>
          </w:p>
        </w:tc>
        <w:tc>
          <w:tcPr>
            <w:tcW w:w="1094"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w:t>
            </w:r>
          </w:p>
        </w:tc>
      </w:tr>
      <w:tr>
        <w:trPr>
          <w:trHeight w:val="382" w:hRule="exact"/>
        </w:trPr>
        <w:tc>
          <w:tcPr>
            <w:tcW w:w="17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9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99"/>
              <w:jc w:val="right"/>
              <w:rPr>
                <w:rFonts w:ascii="Times New Roman" w:hAnsi="Times New Roman" w:cs="Times New Roman" w:eastAsia="Times New Roman" w:hint="default"/>
                <w:sz w:val="18"/>
                <w:szCs w:val="18"/>
              </w:rPr>
            </w:pPr>
            <w:r>
              <w:rPr>
                <w:rFonts w:ascii="Times New Roman"/>
                <w:spacing w:val="-1"/>
                <w:sz w:val="18"/>
              </w:rPr>
              <w:t>4,000,026.53</w:t>
            </w:r>
          </w:p>
        </w:tc>
        <w:tc>
          <w:tcPr>
            <w:tcW w:w="1094"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72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93" w:type="dxa"/>
            <w:tcBorders>
              <w:top w:val="single" w:sz="6" w:space="0" w:color="000000"/>
              <w:left w:val="single" w:sz="6" w:space="0" w:color="000000"/>
              <w:bottom w:val="single" w:sz="4" w:space="0" w:color="000000"/>
              <w:right w:val="single" w:sz="6" w:space="0" w:color="000000"/>
            </w:tcBorders>
          </w:tcPr>
          <w:p>
            <w:pPr/>
          </w:p>
        </w:tc>
        <w:tc>
          <w:tcPr>
            <w:tcW w:w="883" w:type="dxa"/>
            <w:tcBorders>
              <w:top w:val="single" w:sz="6" w:space="0" w:color="000000"/>
              <w:left w:val="single" w:sz="6" w:space="0" w:color="000000"/>
              <w:bottom w:val="single" w:sz="4" w:space="0" w:color="000000"/>
              <w:right w:val="single" w:sz="6" w:space="0" w:color="000000"/>
            </w:tcBorders>
          </w:tcPr>
          <w:p>
            <w:pPr/>
          </w:p>
        </w:tc>
        <w:tc>
          <w:tcPr>
            <w:tcW w:w="146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18"/>
                <w:szCs w:val="18"/>
              </w:rPr>
            </w:pPr>
            <w:r>
              <w:rPr>
                <w:rFonts w:ascii="Times New Roman"/>
                <w:b/>
                <w:spacing w:val="-1"/>
                <w:sz w:val="18"/>
              </w:rPr>
              <w:t>65,819,824.29</w:t>
            </w:r>
            <w:r>
              <w:rPr>
                <w:rFonts w:ascii="Times New Roman"/>
                <w:spacing w:val="-1"/>
                <w:sz w:val="18"/>
              </w:rPr>
            </w:r>
          </w:p>
        </w:tc>
        <w:tc>
          <w:tcPr>
            <w:tcW w:w="1094" w:type="dxa"/>
            <w:tcBorders>
              <w:top w:val="single" w:sz="6" w:space="0" w:color="000000"/>
              <w:left w:val="single" w:sz="6" w:space="0" w:color="000000"/>
              <w:bottom w:val="single" w:sz="4" w:space="0" w:color="000000"/>
              <w:right w:val="single" w:sz="6" w:space="0" w:color="000000"/>
            </w:tcBorders>
          </w:tcPr>
          <w:p>
            <w:pPr/>
          </w:p>
        </w:tc>
        <w:tc>
          <w:tcPr>
            <w:tcW w:w="883" w:type="dxa"/>
            <w:tcBorders>
              <w:top w:val="single" w:sz="6" w:space="0" w:color="000000"/>
              <w:left w:val="single" w:sz="6" w:space="0" w:color="000000"/>
              <w:bottom w:val="single" w:sz="4" w:space="0" w:color="000000"/>
              <w:right w:val="single" w:sz="6" w:space="0" w:color="000000"/>
            </w:tcBorders>
          </w:tcPr>
          <w:p>
            <w:pPr/>
          </w:p>
        </w:tc>
        <w:tc>
          <w:tcPr>
            <w:tcW w:w="146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b/>
                <w:spacing w:val="-1"/>
                <w:sz w:val="18"/>
              </w:rPr>
              <w:t>26,520,025.62</w:t>
            </w:r>
            <w:r>
              <w:rPr>
                <w:rFonts w:ascii="Times New Roman"/>
                <w:spacing w:val="-1"/>
                <w:sz w:val="18"/>
              </w:rPr>
            </w:r>
          </w:p>
        </w:tc>
      </w:tr>
    </w:tbl>
    <w:p>
      <w:pPr>
        <w:spacing w:line="240" w:lineRule="auto" w:before="6"/>
        <w:rPr>
          <w:rFonts w:ascii="黑体" w:hAnsi="黑体" w:cs="黑体" w:eastAsia="黑体" w:hint="default"/>
          <w:sz w:val="10"/>
          <w:szCs w:val="10"/>
        </w:rPr>
      </w:pPr>
    </w:p>
    <w:p>
      <w:pPr>
        <w:pStyle w:val="BodyText"/>
        <w:spacing w:line="240" w:lineRule="auto" w:before="35"/>
        <w:ind w:left="641" w:right="230"/>
        <w:jc w:val="left"/>
        <w:rPr>
          <w:rFonts w:ascii="黑体" w:hAnsi="黑体" w:cs="黑体" w:eastAsia="黑体" w:hint="default"/>
        </w:rPr>
      </w:pPr>
      <w:r>
        <w:rPr>
          <w:rFonts w:ascii="Times New Roman" w:hAnsi="Times New Roman" w:cs="Times New Roman" w:eastAsia="Times New Roman" w:hint="default"/>
        </w:rPr>
        <w:t>2. </w:t>
      </w:r>
      <w:r>
        <w:rPr>
          <w:rFonts w:ascii="Times New Roman" w:hAnsi="Times New Roman" w:cs="Times New Roman" w:eastAsia="Times New Roman" w:hint="default"/>
          <w:spacing w:val="36"/>
        </w:rPr>
        <w:t> </w:t>
      </w:r>
      <w:r>
        <w:rPr>
          <w:rFonts w:ascii="黑体" w:hAnsi="黑体" w:cs="黑体" w:eastAsia="黑体" w:hint="default"/>
        </w:rPr>
        <w:t>应收票据</w:t>
      </w:r>
    </w:p>
    <w:p>
      <w:pPr>
        <w:spacing w:line="240" w:lineRule="auto" w:before="6"/>
        <w:rPr>
          <w:rFonts w:ascii="黑体" w:hAnsi="黑体" w:cs="黑体" w:eastAsia="黑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74"/>
        <w:gridCol w:w="2957"/>
        <w:gridCol w:w="2954"/>
      </w:tblGrid>
      <w:tr>
        <w:trPr>
          <w:trHeight w:val="41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51"/>
              <w:jc w:val="right"/>
              <w:rPr>
                <w:rFonts w:ascii="宋体" w:hAnsi="宋体" w:cs="宋体" w:eastAsia="宋体" w:hint="default"/>
                <w:sz w:val="18"/>
                <w:szCs w:val="18"/>
              </w:rPr>
            </w:pPr>
            <w:r>
              <w:rPr>
                <w:rFonts w:ascii="宋体" w:hAnsi="宋体" w:cs="宋体" w:eastAsia="宋体" w:hint="default"/>
                <w:sz w:val="18"/>
                <w:szCs w:val="18"/>
              </w:rPr>
              <w:t>种类</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2009-12-31</w:t>
            </w:r>
          </w:p>
        </w:tc>
      </w:tr>
      <w:tr>
        <w:trPr>
          <w:trHeight w:val="46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2,528,140.76</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2,225,819.94</w:t>
            </w:r>
          </w:p>
        </w:tc>
      </w:tr>
      <w:tr>
        <w:trPr>
          <w:trHeight w:val="478"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114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2,528,140.76</w:t>
            </w:r>
            <w:r>
              <w:rPr>
                <w:rFonts w:ascii="Times New Roman"/>
                <w:spacing w:val="-1"/>
                <w:sz w:val="18"/>
              </w:rPr>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2,225,819.94</w:t>
            </w:r>
            <w:r>
              <w:rPr>
                <w:rFonts w:ascii="Times New Roman"/>
                <w:spacing w:val="-1"/>
                <w:sz w:val="18"/>
              </w:rPr>
            </w:r>
          </w:p>
        </w:tc>
      </w:tr>
    </w:tbl>
    <w:p>
      <w:pPr>
        <w:spacing w:line="240" w:lineRule="auto" w:before="6"/>
        <w:rPr>
          <w:rFonts w:ascii="黑体" w:hAnsi="黑体" w:cs="黑体" w:eastAsia="黑体" w:hint="default"/>
          <w:sz w:val="10"/>
          <w:szCs w:val="10"/>
        </w:rPr>
      </w:pPr>
    </w:p>
    <w:p>
      <w:pPr>
        <w:pStyle w:val="BodyText"/>
        <w:spacing w:line="240" w:lineRule="auto" w:before="35"/>
        <w:ind w:left="641" w:right="230"/>
        <w:jc w:val="left"/>
        <w:rPr>
          <w:rFonts w:ascii="黑体" w:hAnsi="黑体" w:cs="黑体" w:eastAsia="黑体" w:hint="default"/>
        </w:rPr>
      </w:pPr>
      <w:r>
        <w:rPr>
          <w:rFonts w:ascii="Times New Roman" w:hAnsi="Times New Roman" w:cs="Times New Roman" w:eastAsia="Times New Roman" w:hint="default"/>
        </w:rPr>
        <w:t>3. </w:t>
      </w:r>
      <w:r>
        <w:rPr>
          <w:rFonts w:ascii="Times New Roman" w:hAnsi="Times New Roman" w:cs="Times New Roman" w:eastAsia="Times New Roman" w:hint="default"/>
          <w:spacing w:val="36"/>
        </w:rPr>
        <w:t> </w:t>
      </w:r>
      <w:r>
        <w:rPr>
          <w:rFonts w:ascii="黑体" w:hAnsi="黑体" w:cs="黑体" w:eastAsia="黑体" w:hint="default"/>
        </w:rPr>
        <w:t>应收账款</w:t>
      </w:r>
    </w:p>
    <w:p>
      <w:pPr>
        <w:spacing w:line="240" w:lineRule="auto" w:before="10"/>
        <w:rPr>
          <w:rFonts w:ascii="黑体" w:hAnsi="黑体" w:cs="黑体" w:eastAsia="黑体" w:hint="default"/>
          <w:sz w:val="16"/>
          <w:szCs w:val="16"/>
        </w:rPr>
      </w:pPr>
    </w:p>
    <w:p>
      <w:pPr>
        <w:pStyle w:val="BodyText"/>
        <w:spacing w:line="240" w:lineRule="auto"/>
        <w:ind w:left="641" w:right="230"/>
        <w:jc w:val="left"/>
      </w:pPr>
      <w:r>
        <w:rPr/>
        <w:t>（</w:t>
      </w:r>
      <w:r>
        <w:rPr>
          <w:rFonts w:ascii="Times New Roman" w:hAnsi="Times New Roman" w:cs="Times New Roman" w:eastAsia="Times New Roman" w:hint="default"/>
        </w:rPr>
        <w:t>1</w:t>
      </w:r>
      <w:r>
        <w:rPr/>
        <w:t>）按种类披露</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83"/>
        <w:gridCol w:w="1252"/>
        <w:gridCol w:w="724"/>
        <w:gridCol w:w="1252"/>
        <w:gridCol w:w="642"/>
        <w:gridCol w:w="1252"/>
        <w:gridCol w:w="724"/>
        <w:gridCol w:w="1252"/>
        <w:gridCol w:w="643"/>
      </w:tblGrid>
      <w:tr>
        <w:trPr>
          <w:trHeight w:val="410" w:hRule="exact"/>
        </w:trPr>
        <w:tc>
          <w:tcPr>
            <w:tcW w:w="9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38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c>
          <w:tcPr>
            <w:tcW w:w="38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410" w:hRule="exact"/>
        </w:trPr>
        <w:tc>
          <w:tcPr>
            <w:tcW w:w="983" w:type="dxa"/>
            <w:vMerge/>
            <w:tcBorders>
              <w:left w:val="single" w:sz="4" w:space="0" w:color="000000"/>
              <w:right w:val="single" w:sz="4" w:space="0" w:color="000000"/>
            </w:tcBorders>
          </w:tcPr>
          <w:p>
            <w:pP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10" w:hRule="exact"/>
        </w:trPr>
        <w:tc>
          <w:tcPr>
            <w:tcW w:w="983" w:type="dxa"/>
            <w:vMerge/>
            <w:tcBorders>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w:t>
            </w:r>
          </w:p>
        </w:tc>
      </w:tr>
      <w:tr>
        <w:trPr>
          <w:trHeight w:val="1410"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03" w:right="85"/>
              <w:jc w:val="both"/>
              <w:rPr>
                <w:rFonts w:ascii="宋体" w:hAnsi="宋体" w:cs="宋体" w:eastAsia="宋体" w:hint="default"/>
                <w:sz w:val="18"/>
                <w:szCs w:val="18"/>
              </w:rPr>
            </w:pPr>
            <w:r>
              <w:rPr>
                <w:rFonts w:ascii="宋体" w:hAnsi="宋体" w:cs="宋体" w:eastAsia="宋体" w:hint="default"/>
                <w:spacing w:val="15"/>
                <w:sz w:val="18"/>
                <w:szCs w:val="18"/>
              </w:rPr>
              <w:t>单项金额 重大并单 项计提坏 账准备的 </w:t>
            </w:r>
            <w:r>
              <w:rPr>
                <w:rFonts w:ascii="宋体" w:hAnsi="宋体" w:cs="宋体" w:eastAsia="宋体" w:hint="default"/>
                <w:sz w:val="18"/>
                <w:szCs w:val="18"/>
              </w:rPr>
              <w:t>应收账款</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66,134,584.88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69.82</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66,134,584.88</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67,275,339.42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75.55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66,838,643.34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99.35</w:t>
            </w:r>
          </w:p>
        </w:tc>
      </w:tr>
    </w:tbl>
    <w:p>
      <w:pPr>
        <w:spacing w:after="0" w:line="240" w:lineRule="auto"/>
        <w:jc w:val="left"/>
        <w:rPr>
          <w:rFonts w:ascii="Times New Roman" w:hAnsi="Times New Roman" w:cs="Times New Roman" w:eastAsia="Times New Roman" w:hint="default"/>
          <w:sz w:val="18"/>
          <w:szCs w:val="18"/>
        </w:rPr>
        <w:sectPr>
          <w:pgSz w:w="11910" w:h="16840"/>
          <w:pgMar w:header="963" w:footer="893" w:top="1200" w:bottom="1080" w:left="1480" w:right="1460"/>
        </w:sectPr>
      </w:pPr>
    </w:p>
    <w:p>
      <w:pPr>
        <w:spacing w:line="240" w:lineRule="auto" w:before="9"/>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983"/>
        <w:gridCol w:w="1252"/>
        <w:gridCol w:w="724"/>
        <w:gridCol w:w="1252"/>
        <w:gridCol w:w="642"/>
        <w:gridCol w:w="1252"/>
        <w:gridCol w:w="724"/>
        <w:gridCol w:w="1252"/>
        <w:gridCol w:w="643"/>
      </w:tblGrid>
      <w:tr>
        <w:trPr>
          <w:trHeight w:val="409" w:hRule="exact"/>
        </w:trPr>
        <w:tc>
          <w:tcPr>
            <w:tcW w:w="9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38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c>
          <w:tcPr>
            <w:tcW w:w="38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410" w:hRule="exact"/>
        </w:trPr>
        <w:tc>
          <w:tcPr>
            <w:tcW w:w="983" w:type="dxa"/>
            <w:vMerge/>
            <w:tcBorders>
              <w:left w:val="single" w:sz="4" w:space="0" w:color="000000"/>
              <w:right w:val="single" w:sz="4" w:space="0" w:color="000000"/>
            </w:tcBorders>
          </w:tcPr>
          <w:p>
            <w:pP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10" w:hRule="exact"/>
        </w:trPr>
        <w:tc>
          <w:tcPr>
            <w:tcW w:w="983" w:type="dxa"/>
            <w:vMerge/>
            <w:tcBorders>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872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55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组合（按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帐龄）</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28,586,644.07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30.18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3,057,376.97</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21,768,023.30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24.45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4,222,418.86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19.40</w:t>
            </w:r>
          </w:p>
        </w:tc>
      </w:tr>
      <w:tr>
        <w:trPr>
          <w:trHeight w:val="1690"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03" w:right="85"/>
              <w:jc w:val="both"/>
              <w:rPr>
                <w:rFonts w:ascii="宋体" w:hAnsi="宋体" w:cs="宋体" w:eastAsia="宋体" w:hint="default"/>
                <w:sz w:val="18"/>
                <w:szCs w:val="18"/>
              </w:rPr>
            </w:pPr>
            <w:r>
              <w:rPr>
                <w:rFonts w:ascii="宋体" w:hAnsi="宋体" w:cs="宋体" w:eastAsia="宋体" w:hint="default"/>
                <w:spacing w:val="15"/>
                <w:sz w:val="18"/>
                <w:szCs w:val="18"/>
              </w:rPr>
              <w:t>单项金额 虽不重大 但单项计 提坏账准 备的应收 </w:t>
            </w:r>
            <w:r>
              <w:rPr>
                <w:rFonts w:ascii="宋体" w:hAnsi="宋体" w:cs="宋体" w:eastAsia="宋体" w:hint="default"/>
                <w:sz w:val="18"/>
                <w:szCs w:val="18"/>
              </w:rPr>
              <w:t>账款</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94,721,228.95</w:t>
            </w:r>
            <w:r>
              <w:rPr>
                <w:rFonts w:ascii="Times New Roman"/>
                <w:spacing w:val="-1"/>
                <w:sz w:val="18"/>
              </w:rPr>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69,191,961.85</w:t>
            </w:r>
            <w:r>
              <w:rPr>
                <w:rFonts w:ascii="Times New Roman"/>
                <w:spacing w:val="-1"/>
                <w:sz w:val="18"/>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73.05</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89,043,362.72</w:t>
            </w:r>
            <w:r>
              <w:rPr>
                <w:rFonts w:ascii="Times New Roman"/>
                <w:spacing w:val="-1"/>
                <w:sz w:val="18"/>
              </w:rPr>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71,061,062.20</w:t>
            </w:r>
            <w:r>
              <w:rPr>
                <w:rFonts w:ascii="Times New Roman"/>
                <w:spacing w:val="-1"/>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z w:val="18"/>
              </w:rPr>
              <w:t>79.81</w:t>
            </w:r>
            <w:r>
              <w:rPr>
                <w:rFonts w:ascii="Times New Roman"/>
                <w:sz w:val="18"/>
              </w:rPr>
            </w:r>
          </w:p>
        </w:tc>
      </w:tr>
    </w:tbl>
    <w:p>
      <w:pPr>
        <w:spacing w:line="240" w:lineRule="auto" w:before="6"/>
        <w:rPr>
          <w:rFonts w:ascii="宋体" w:hAnsi="宋体" w:cs="宋体" w:eastAsia="宋体" w:hint="default"/>
          <w:sz w:val="10"/>
          <w:szCs w:val="10"/>
        </w:rPr>
      </w:pPr>
    </w:p>
    <w:p>
      <w:pPr>
        <w:pStyle w:val="BodyText"/>
        <w:spacing w:line="240" w:lineRule="auto" w:before="35"/>
        <w:ind w:left="641" w:right="0"/>
        <w:jc w:val="left"/>
      </w:pPr>
      <w:r>
        <w:rPr/>
        <w:t>组合中，按账龄分析法计提坏账准备的应收账款：</w:t>
      </w:r>
    </w:p>
    <w:p>
      <w:pPr>
        <w:spacing w:line="240" w:lineRule="auto" w:before="9"/>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52"/>
        <w:gridCol w:w="1350"/>
        <w:gridCol w:w="1153"/>
        <w:gridCol w:w="1253"/>
        <w:gridCol w:w="1484"/>
        <w:gridCol w:w="1025"/>
        <w:gridCol w:w="1253"/>
      </w:tblGrid>
      <w:tr>
        <w:trPr>
          <w:trHeight w:val="410" w:hRule="exact"/>
        </w:trPr>
        <w:tc>
          <w:tcPr>
            <w:tcW w:w="12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7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2010-12-31</w:t>
            </w:r>
          </w:p>
        </w:tc>
        <w:tc>
          <w:tcPr>
            <w:tcW w:w="3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409" w:hRule="exact"/>
        </w:trPr>
        <w:tc>
          <w:tcPr>
            <w:tcW w:w="1252" w:type="dxa"/>
            <w:vMerge/>
            <w:tcBorders>
              <w:left w:val="single" w:sz="4" w:space="0" w:color="000000"/>
              <w:right w:val="single" w:sz="4" w:space="0" w:color="000000"/>
            </w:tcBorders>
          </w:tcPr>
          <w:p>
            <w:pP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1252" w:type="dxa"/>
            <w:vMerge/>
            <w:tcBorders>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53" w:type="dxa"/>
            <w:vMerge/>
            <w:tcBorders>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53" w:type="dxa"/>
            <w:vMerge/>
            <w:tcBorders>
              <w:left w:val="single" w:sz="4" w:space="0" w:color="000000"/>
              <w:bottom w:val="single" w:sz="4" w:space="0" w:color="000000"/>
              <w:right w:val="single" w:sz="4" w:space="0" w:color="000000"/>
            </w:tcBorders>
          </w:tcPr>
          <w:p>
            <w:pPr/>
          </w:p>
        </w:tc>
      </w:tr>
      <w:tr>
        <w:trPr>
          <w:trHeight w:val="42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23,948,582.71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83.77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14,281,741.53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65.61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r>
      <w:tr>
        <w:trPr>
          <w:trHeight w:val="425"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309,108.46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15,455.42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1,224,664.04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61,233.20</w:t>
            </w:r>
          </w:p>
        </w:tc>
      </w:tr>
      <w:tr>
        <w:trPr>
          <w:trHeight w:val="42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456,545.03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45,654.50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936,497.00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137,294.28</w:t>
            </w:r>
          </w:p>
        </w:tc>
      </w:tr>
      <w:tr>
        <w:trPr>
          <w:trHeight w:val="432"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606,386.32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181,915.90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707,916.27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212,374.88</w:t>
            </w:r>
          </w:p>
        </w:tc>
      </w:tr>
      <w:tr>
        <w:trPr>
          <w:trHeight w:val="42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650,680.26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325,340.13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506,312.87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253,156.44</w:t>
            </w:r>
          </w:p>
        </w:tc>
      </w:tr>
      <w:tr>
        <w:trPr>
          <w:trHeight w:val="42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421,100.91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294,770.64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1,841,771.76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1,289,240.23</w:t>
            </w:r>
          </w:p>
        </w:tc>
      </w:tr>
      <w:tr>
        <w:trPr>
          <w:trHeight w:val="425"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2,194,240.38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2,194,240.38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2,269,119.83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10.42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2,269,119.83</w:t>
            </w:r>
          </w:p>
        </w:tc>
      </w:tr>
      <w:tr>
        <w:trPr>
          <w:trHeight w:val="432"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28,586,644.07</w:t>
            </w:r>
            <w:r>
              <w:rPr>
                <w:rFonts w:ascii="Times New Roman"/>
                <w:spacing w:val="-1"/>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3,057,376.97</w:t>
            </w:r>
            <w:r>
              <w:rPr>
                <w:rFonts w:ascii="Times New Roman"/>
                <w:spacing w:val="-1"/>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21,768,023.30</w:t>
            </w:r>
            <w:r>
              <w:rPr>
                <w:rFonts w:ascii="Times New Roman"/>
                <w:spacing w:val="-1"/>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4,222,418.86</w:t>
            </w:r>
            <w:r>
              <w:rPr>
                <w:rFonts w:ascii="Times New Roman"/>
                <w:spacing w:val="-1"/>
                <w:sz w:val="18"/>
              </w:rPr>
            </w:r>
          </w:p>
        </w:tc>
      </w:tr>
    </w:tbl>
    <w:p>
      <w:pPr>
        <w:spacing w:line="240" w:lineRule="auto" w:before="6"/>
        <w:rPr>
          <w:rFonts w:ascii="宋体" w:hAnsi="宋体" w:cs="宋体" w:eastAsia="宋体" w:hint="default"/>
          <w:sz w:val="10"/>
          <w:szCs w:val="10"/>
        </w:rPr>
      </w:pPr>
    </w:p>
    <w:p>
      <w:pPr>
        <w:pStyle w:val="BodyText"/>
        <w:spacing w:line="240" w:lineRule="auto" w:before="35"/>
        <w:ind w:left="641" w:right="0"/>
        <w:jc w:val="left"/>
      </w:pPr>
      <w:r>
        <w:rPr/>
        <w:t>（</w:t>
      </w:r>
      <w:r>
        <w:rPr>
          <w:rFonts w:ascii="Times New Roman" w:hAnsi="Times New Roman" w:cs="Times New Roman" w:eastAsia="Times New Roman" w:hint="default"/>
        </w:rPr>
        <w:t>2</w:t>
      </w:r>
      <w:r>
        <w:rPr/>
        <w:t>）本期转回或收回情况</w:t>
      </w:r>
    </w:p>
    <w:p>
      <w:pPr>
        <w:spacing w:line="240" w:lineRule="auto" w:before="6"/>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84"/>
        <w:gridCol w:w="1340"/>
        <w:gridCol w:w="1814"/>
        <w:gridCol w:w="2996"/>
        <w:gridCol w:w="1436"/>
      </w:tblGrid>
      <w:tr>
        <w:trPr>
          <w:trHeight w:val="847" w:hRule="exact"/>
        </w:trPr>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496" w:right="137" w:hanging="360"/>
              <w:jc w:val="left"/>
              <w:rPr>
                <w:rFonts w:ascii="宋体" w:hAnsi="宋体" w:cs="宋体" w:eastAsia="宋体" w:hint="default"/>
                <w:sz w:val="18"/>
                <w:szCs w:val="18"/>
              </w:rPr>
            </w:pPr>
            <w:r>
              <w:rPr>
                <w:rFonts w:ascii="宋体" w:hAnsi="宋体" w:cs="宋体" w:eastAsia="宋体" w:hint="default"/>
                <w:sz w:val="18"/>
                <w:szCs w:val="18"/>
              </w:rPr>
              <w:t>应收账款内 容</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576" w:right="122" w:hanging="450"/>
              <w:jc w:val="left"/>
              <w:rPr>
                <w:rFonts w:ascii="宋体" w:hAnsi="宋体" w:cs="宋体" w:eastAsia="宋体" w:hint="default"/>
                <w:sz w:val="18"/>
                <w:szCs w:val="18"/>
              </w:rPr>
            </w:pPr>
            <w:r>
              <w:rPr>
                <w:rFonts w:ascii="宋体" w:hAnsi="宋体" w:cs="宋体" w:eastAsia="宋体" w:hint="default"/>
                <w:sz w:val="18"/>
                <w:szCs w:val="18"/>
              </w:rPr>
              <w:t>转回或收回原 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722" w:right="180" w:hanging="540"/>
              <w:jc w:val="left"/>
              <w:rPr>
                <w:rFonts w:ascii="宋体" w:hAnsi="宋体" w:cs="宋体" w:eastAsia="宋体" w:hint="default"/>
                <w:sz w:val="18"/>
                <w:szCs w:val="18"/>
              </w:rPr>
            </w:pPr>
            <w:r>
              <w:rPr>
                <w:rFonts w:ascii="宋体" w:hAnsi="宋体" w:cs="宋体" w:eastAsia="宋体" w:hint="default"/>
                <w:sz w:val="18"/>
                <w:szCs w:val="18"/>
              </w:rPr>
              <w:t>确定原坏账准备的 依据</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312" w:right="143" w:hanging="1170"/>
              <w:jc w:val="left"/>
              <w:rPr>
                <w:rFonts w:ascii="宋体" w:hAnsi="宋体" w:cs="宋体" w:eastAsia="宋体" w:hint="default"/>
                <w:sz w:val="18"/>
                <w:szCs w:val="18"/>
              </w:rPr>
            </w:pPr>
            <w:r>
              <w:rPr>
                <w:rFonts w:ascii="宋体" w:hAnsi="宋体" w:cs="宋体" w:eastAsia="宋体" w:hint="default"/>
                <w:sz w:val="18"/>
                <w:szCs w:val="18"/>
              </w:rPr>
              <w:t>转回或收回前累计已计提坏账准备 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623" w:right="170" w:hanging="450"/>
              <w:jc w:val="left"/>
              <w:rPr>
                <w:rFonts w:ascii="宋体" w:hAnsi="宋体" w:cs="宋体" w:eastAsia="宋体" w:hint="default"/>
                <w:sz w:val="18"/>
                <w:szCs w:val="18"/>
              </w:rPr>
            </w:pPr>
            <w:r>
              <w:rPr>
                <w:rFonts w:ascii="宋体" w:hAnsi="宋体" w:cs="宋体" w:eastAsia="宋体" w:hint="default"/>
                <w:sz w:val="18"/>
                <w:szCs w:val="18"/>
              </w:rPr>
              <w:t>转回或收回金 额</w:t>
            </w:r>
          </w:p>
        </w:tc>
      </w:tr>
      <w:tr>
        <w:trPr>
          <w:trHeight w:val="420" w:hRule="exact"/>
        </w:trPr>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公司还款</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公司已停止经营</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704,058.46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1,140,754.54</w:t>
            </w:r>
          </w:p>
        </w:tc>
      </w:tr>
      <w:tr>
        <w:trPr>
          <w:trHeight w:val="437" w:hRule="exact"/>
        </w:trPr>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704,058.46</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1,140,754.54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63" w:footer="893" w:top="1200" w:bottom="1080" w:left="1480" w:right="1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left="641" w:right="0"/>
        <w:jc w:val="left"/>
      </w:pPr>
      <w:r>
        <w:rPr/>
        <w:t>（</w:t>
      </w:r>
      <w:r>
        <w:rPr>
          <w:rFonts w:ascii="Times New Roman" w:hAnsi="Times New Roman" w:cs="Times New Roman" w:eastAsia="Times New Roman" w:hint="default"/>
        </w:rPr>
        <w:t>3</w:t>
      </w:r>
      <w:r>
        <w:rPr/>
        <w:t>）本报告期实际核销的应收账款情况</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68"/>
        <w:gridCol w:w="1441"/>
        <w:gridCol w:w="1259"/>
        <w:gridCol w:w="1109"/>
        <w:gridCol w:w="1745"/>
      </w:tblGrid>
      <w:tr>
        <w:trPr>
          <w:trHeight w:val="408" w:hRule="exact"/>
        </w:trPr>
        <w:tc>
          <w:tcPr>
            <w:tcW w:w="31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2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是否因关联</w:t>
            </w:r>
          </w:p>
        </w:tc>
      </w:tr>
      <w:tr>
        <w:trPr>
          <w:trHeight w:val="321" w:hRule="exact"/>
        </w:trPr>
        <w:tc>
          <w:tcPr>
            <w:tcW w:w="3168"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1259"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17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交易产生</w:t>
            </w:r>
          </w:p>
        </w:tc>
      </w:tr>
      <w:tr>
        <w:trPr>
          <w:trHeight w:val="37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湖南湘乡外贸饲料开发部（王绍南）</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112,044.47</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67" w:lineRule="auto"/>
              <w:ind w:left="102" w:right="44"/>
              <w:jc w:val="both"/>
              <w:rPr>
                <w:rFonts w:ascii="宋体" w:hAnsi="宋体" w:cs="宋体" w:eastAsia="宋体" w:hint="default"/>
                <w:sz w:val="18"/>
                <w:szCs w:val="18"/>
              </w:rPr>
            </w:pPr>
            <w:r>
              <w:rPr>
                <w:rFonts w:ascii="宋体" w:hAnsi="宋体" w:cs="宋体" w:eastAsia="宋体" w:hint="default"/>
                <w:spacing w:val="42"/>
                <w:sz w:val="18"/>
                <w:szCs w:val="18"/>
              </w:rPr>
              <w:t>找不到债</w:t>
            </w:r>
            <w:r>
              <w:rPr>
                <w:rFonts w:ascii="宋体" w:hAnsi="宋体" w:cs="宋体" w:eastAsia="宋体" w:hint="default"/>
                <w:spacing w:val="-88"/>
                <w:sz w:val="18"/>
                <w:szCs w:val="18"/>
              </w:rPr>
              <w:t> </w:t>
            </w:r>
            <w:r>
              <w:rPr>
                <w:rFonts w:ascii="宋体" w:hAnsi="宋体" w:cs="宋体" w:eastAsia="宋体" w:hint="default"/>
                <w:sz w:val="18"/>
                <w:szCs w:val="18"/>
              </w:rPr>
              <w:t>务人，无法</w:t>
            </w:r>
            <w:r>
              <w:rPr>
                <w:rFonts w:ascii="宋体" w:hAnsi="宋体" w:cs="宋体" w:eastAsia="宋体" w:hint="default"/>
                <w:sz w:val="18"/>
                <w:szCs w:val="18"/>
              </w:rPr>
              <w:t> 追回</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茂名曾亚清</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102,115.92</w:t>
            </w:r>
          </w:p>
        </w:tc>
        <w:tc>
          <w:tcPr>
            <w:tcW w:w="1109" w:type="dxa"/>
            <w:vMerge/>
            <w:tcBorders>
              <w:left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兴宁王建新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216,352.40</w:t>
            </w:r>
          </w:p>
        </w:tc>
        <w:tc>
          <w:tcPr>
            <w:tcW w:w="1109" w:type="dxa"/>
            <w:vMerge/>
            <w:tcBorders>
              <w:left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增城吴万梓</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363,200.58</w:t>
            </w:r>
          </w:p>
        </w:tc>
        <w:tc>
          <w:tcPr>
            <w:tcW w:w="1109" w:type="dxa"/>
            <w:vMerge/>
            <w:tcBorders>
              <w:left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黑龙江大庆油田申大农牧公司养猪场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122,731.75</w:t>
            </w:r>
          </w:p>
        </w:tc>
        <w:tc>
          <w:tcPr>
            <w:tcW w:w="1109" w:type="dxa"/>
            <w:vMerge/>
            <w:tcBorders>
              <w:left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1,027,189.96</w:t>
            </w:r>
          </w:p>
        </w:tc>
        <w:tc>
          <w:tcPr>
            <w:tcW w:w="1109"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1,943,635.08</w:t>
            </w:r>
            <w:r>
              <w:rPr>
                <w:rFonts w:ascii="Times New Roman"/>
                <w:spacing w:val="-1"/>
                <w:sz w:val="18"/>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0"/>
          <w:szCs w:val="10"/>
        </w:rPr>
      </w:pPr>
    </w:p>
    <w:p>
      <w:pPr>
        <w:pStyle w:val="BodyText"/>
        <w:spacing w:line="240" w:lineRule="auto" w:before="35"/>
        <w:ind w:left="641" w:right="0"/>
        <w:jc w:val="left"/>
      </w:pPr>
      <w:r>
        <w:rPr/>
        <w:t>（</w:t>
      </w:r>
      <w:r>
        <w:rPr>
          <w:rFonts w:ascii="Times New Roman" w:hAnsi="Times New Roman" w:cs="Times New Roman" w:eastAsia="Times New Roman" w:hint="default"/>
        </w:rPr>
        <w:t>4</w:t>
      </w:r>
      <w:r>
        <w:rPr/>
        <w:t>）本报告期应收账款中无持有公司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p>
    <w:p>
      <w:pPr>
        <w:spacing w:line="240" w:lineRule="auto" w:before="10"/>
        <w:rPr>
          <w:rFonts w:ascii="宋体" w:hAnsi="宋体" w:cs="宋体" w:eastAsia="宋体" w:hint="default"/>
          <w:sz w:val="16"/>
          <w:szCs w:val="16"/>
        </w:rPr>
      </w:pPr>
    </w:p>
    <w:p>
      <w:pPr>
        <w:pStyle w:val="BodyText"/>
        <w:spacing w:line="240" w:lineRule="auto"/>
        <w:ind w:left="641" w:right="0"/>
        <w:jc w:val="left"/>
      </w:pPr>
      <w:r>
        <w:rPr/>
        <w:t>（</w:t>
      </w:r>
      <w:r>
        <w:rPr>
          <w:rFonts w:ascii="Times New Roman" w:hAnsi="Times New Roman" w:cs="Times New Roman" w:eastAsia="Times New Roman" w:hint="default"/>
        </w:rPr>
        <w:t>5</w:t>
      </w:r>
      <w:r>
        <w:rPr/>
        <w:t>）应收账款金额前五名单位情况</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67"/>
        <w:gridCol w:w="1082"/>
        <w:gridCol w:w="1261"/>
        <w:gridCol w:w="900"/>
        <w:gridCol w:w="1439"/>
        <w:gridCol w:w="1259"/>
      </w:tblGrid>
      <w:tr>
        <w:trPr>
          <w:trHeight w:val="73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356" w:right="174"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19" w:right="17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6"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59,173,247.96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62.47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已全额计提</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0"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飞利浦（中国）投资有限公司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11,923,427.36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半年内</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12.59</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北京易网天怡数码科技发展有限公司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6,961,336.92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已全额计提</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0"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北京市国顺泰科贸易有限公司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1,408,160.00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半年内</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1.49</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华宝粤东办事处（林贤）</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457,685.03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半年内</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0.48</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79,923,857.27</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b/>
                <w:sz w:val="18"/>
              </w:rPr>
              <w:t>84.38</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0"/>
          <w:szCs w:val="10"/>
        </w:rPr>
      </w:pPr>
    </w:p>
    <w:p>
      <w:pPr>
        <w:pStyle w:val="BodyText"/>
        <w:spacing w:line="240" w:lineRule="auto" w:before="35"/>
        <w:ind w:left="641" w:right="0"/>
        <w:jc w:val="left"/>
      </w:pPr>
      <w:r>
        <w:rPr/>
        <w:t>（</w:t>
      </w:r>
      <w:r>
        <w:rPr>
          <w:rFonts w:ascii="Times New Roman" w:hAnsi="Times New Roman" w:cs="Times New Roman" w:eastAsia="Times New Roman" w:hint="default"/>
        </w:rPr>
        <w:t>6</w:t>
      </w:r>
      <w:r>
        <w:rPr/>
        <w:t>）无应收关联方账款情况。</w:t>
      </w:r>
    </w:p>
    <w:p>
      <w:pPr>
        <w:spacing w:line="240" w:lineRule="auto" w:before="11"/>
        <w:rPr>
          <w:rFonts w:ascii="宋体" w:hAnsi="宋体" w:cs="宋体" w:eastAsia="宋体" w:hint="default"/>
          <w:sz w:val="16"/>
          <w:szCs w:val="16"/>
        </w:rPr>
      </w:pPr>
    </w:p>
    <w:p>
      <w:pPr>
        <w:pStyle w:val="BodyText"/>
        <w:spacing w:line="240" w:lineRule="auto"/>
        <w:ind w:left="641" w:right="0"/>
        <w:jc w:val="left"/>
        <w:rPr>
          <w:rFonts w:ascii="黑体" w:hAnsi="黑体" w:cs="黑体" w:eastAsia="黑体" w:hint="default"/>
        </w:rPr>
      </w:pPr>
      <w:r>
        <w:rPr>
          <w:rFonts w:ascii="Times New Roman" w:hAnsi="Times New Roman" w:cs="Times New Roman" w:eastAsia="Times New Roman" w:hint="default"/>
        </w:rPr>
        <w:t>4. </w:t>
      </w:r>
      <w:r>
        <w:rPr>
          <w:rFonts w:ascii="Times New Roman" w:hAnsi="Times New Roman" w:cs="Times New Roman" w:eastAsia="Times New Roman" w:hint="default"/>
          <w:spacing w:val="36"/>
        </w:rPr>
        <w:t> </w:t>
      </w:r>
      <w:r>
        <w:rPr>
          <w:rFonts w:ascii="黑体" w:hAnsi="黑体" w:cs="黑体" w:eastAsia="黑体" w:hint="default"/>
        </w:rPr>
        <w:t>预付款项</w:t>
      </w:r>
    </w:p>
    <w:p>
      <w:pPr>
        <w:spacing w:line="240" w:lineRule="auto" w:before="10"/>
        <w:rPr>
          <w:rFonts w:ascii="黑体" w:hAnsi="黑体" w:cs="黑体" w:eastAsia="黑体" w:hint="default"/>
          <w:sz w:val="16"/>
          <w:szCs w:val="16"/>
        </w:rPr>
      </w:pPr>
    </w:p>
    <w:p>
      <w:pPr>
        <w:pStyle w:val="BodyText"/>
        <w:spacing w:line="240" w:lineRule="auto"/>
        <w:ind w:left="641" w:right="0"/>
        <w:jc w:val="left"/>
      </w:pPr>
      <w:r>
        <w:rPr/>
        <w:t>（</w:t>
      </w:r>
      <w:r>
        <w:rPr>
          <w:rFonts w:ascii="Times New Roman" w:hAnsi="Times New Roman" w:cs="Times New Roman" w:eastAsia="Times New Roman" w:hint="default"/>
        </w:rPr>
        <w:t>1</w:t>
      </w:r>
      <w:r>
        <w:rPr/>
        <w:t>）按账龄分类</w:t>
      </w:r>
    </w:p>
    <w:p>
      <w:pPr>
        <w:spacing w:line="240" w:lineRule="auto" w:before="5"/>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790"/>
        <w:gridCol w:w="1789"/>
        <w:gridCol w:w="1792"/>
        <w:gridCol w:w="1790"/>
        <w:gridCol w:w="1792"/>
      </w:tblGrid>
      <w:tr>
        <w:trPr>
          <w:trHeight w:val="416" w:hRule="exact"/>
        </w:trPr>
        <w:tc>
          <w:tcPr>
            <w:tcW w:w="179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410" w:hRule="exact"/>
        </w:trPr>
        <w:tc>
          <w:tcPr>
            <w:tcW w:w="1790" w:type="dxa"/>
            <w:vMerge/>
            <w:tcBorders>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33"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4,747,987.07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97.02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7,737,151.03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94.40</w:t>
            </w:r>
          </w:p>
        </w:tc>
      </w:tr>
      <w:tr>
        <w:trPr>
          <w:trHeight w:val="448"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44,867.83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0.92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458,903.19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5.60</w:t>
            </w:r>
          </w:p>
        </w:tc>
      </w:tr>
      <w:tr>
        <w:trPr>
          <w:trHeight w:val="433"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100,913.12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16"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4,893,768.02</w:t>
            </w:r>
            <w:r>
              <w:rPr>
                <w:rFonts w:ascii="Times New Roman"/>
                <w:spacing w:val="-1"/>
                <w:sz w:val="18"/>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8,196,054.22</w:t>
            </w:r>
            <w:r>
              <w:rPr>
                <w:rFonts w:ascii="Times New Roman"/>
                <w:spacing w:val="-1"/>
                <w:sz w:val="18"/>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63" w:footer="893" w:top="1200" w:bottom="1080" w:left="14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left="641" w:right="0"/>
        <w:jc w:val="left"/>
      </w:pPr>
      <w:r>
        <w:rPr/>
        <w:t>（</w:t>
      </w:r>
      <w:r>
        <w:rPr>
          <w:rFonts w:ascii="Times New Roman" w:hAnsi="Times New Roman" w:cs="Times New Roman" w:eastAsia="Times New Roman" w:hint="default"/>
        </w:rPr>
        <w:t>2</w:t>
      </w:r>
      <w:r>
        <w:rPr/>
        <w:t>）预付款项金额前五名单位情况</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9"/>
        <w:gridCol w:w="1259"/>
        <w:gridCol w:w="900"/>
        <w:gridCol w:w="1441"/>
        <w:gridCol w:w="1439"/>
        <w:gridCol w:w="1261"/>
      </w:tblGrid>
      <w:tr>
        <w:trPr>
          <w:trHeight w:val="4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预付时间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深圳市盈信电子科技有限公司</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1,073,158.40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21.93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年四季度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184"/>
              <w:jc w:val="left"/>
              <w:rPr>
                <w:rFonts w:ascii="Times New Roman" w:hAnsi="Times New Roman" w:cs="Times New Roman" w:eastAsia="Times New Roman" w:hint="default"/>
                <w:sz w:val="18"/>
                <w:szCs w:val="18"/>
              </w:rPr>
            </w:pPr>
            <w:r>
              <w:rPr>
                <w:rFonts w:ascii="Times New Roman"/>
                <w:spacing w:val="-2"/>
                <w:sz w:val="18"/>
              </w:rPr>
              <w:t>Willas-ArrayElectronics(HONG</w:t>
            </w:r>
            <w:r>
              <w:rPr>
                <w:rFonts w:ascii="Times New Roman"/>
                <w:spacing w:val="-22"/>
                <w:sz w:val="18"/>
              </w:rPr>
              <w:t> </w:t>
            </w:r>
            <w:r>
              <w:rPr>
                <w:rFonts w:ascii="Times New Roman"/>
                <w:spacing w:val="-22"/>
                <w:sz w:val="18"/>
              </w:rPr>
            </w:r>
            <w:r>
              <w:rPr>
                <w:rFonts w:ascii="Times New Roman"/>
                <w:sz w:val="18"/>
              </w:rPr>
              <w:t>KONG)Limited</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492,003.79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年四季度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深圳市明盛发塑化有限公司</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760,550.00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15.54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年四季度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丰顺县鹏兴电子元件厂</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401,207.44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8.20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年四季度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东莞领航电子有限公司</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349,086.59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7.13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年四季度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3,076,006.22</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z w:val="18"/>
              </w:rPr>
              <w:t>62.85</w:t>
            </w:r>
            <w:r>
              <w:rPr>
                <w:rFonts w:ascii="Times New Roman"/>
                <w:sz w:val="18"/>
              </w:rPr>
            </w:r>
          </w:p>
        </w:tc>
        <w:tc>
          <w:tcPr>
            <w:tcW w:w="1441"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9"/>
          <w:szCs w:val="9"/>
        </w:rPr>
      </w:pPr>
    </w:p>
    <w:p>
      <w:pPr>
        <w:pStyle w:val="BodyText"/>
        <w:spacing w:line="240" w:lineRule="auto" w:before="35"/>
        <w:ind w:left="641" w:right="0"/>
        <w:jc w:val="left"/>
      </w:pPr>
      <w:r>
        <w:rPr/>
        <w:t>（</w:t>
      </w:r>
      <w:r>
        <w:rPr>
          <w:rFonts w:ascii="Times New Roman" w:hAnsi="Times New Roman" w:cs="Times New Roman" w:eastAsia="Times New Roman" w:hint="default"/>
        </w:rPr>
        <w:t>3</w:t>
      </w:r>
      <w:r>
        <w:rPr/>
        <w:t>）本报告期预付款项中无持有公司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spacing w:line="240" w:lineRule="auto" w:before="1"/>
        <w:rPr>
          <w:rFonts w:ascii="宋体" w:hAnsi="宋体" w:cs="宋体" w:eastAsia="宋体" w:hint="default"/>
          <w:sz w:val="22"/>
          <w:szCs w:val="22"/>
        </w:rPr>
      </w:pPr>
    </w:p>
    <w:p>
      <w:pPr>
        <w:pStyle w:val="BodyText"/>
        <w:spacing w:line="240" w:lineRule="auto"/>
        <w:ind w:left="641" w:right="0"/>
        <w:jc w:val="left"/>
      </w:pPr>
      <w:r>
        <w:rPr/>
        <w:t>（</w:t>
      </w:r>
      <w:r>
        <w:rPr>
          <w:rFonts w:ascii="Times New Roman" w:hAnsi="Times New Roman" w:cs="Times New Roman" w:eastAsia="Times New Roman" w:hint="default"/>
        </w:rPr>
        <w:t>4</w:t>
      </w:r>
      <w:r>
        <w:rPr/>
        <w:t>）无预付关联方账款情况。</w:t>
      </w:r>
    </w:p>
    <w:p>
      <w:pPr>
        <w:spacing w:line="240" w:lineRule="auto" w:before="2"/>
        <w:rPr>
          <w:rFonts w:ascii="宋体" w:hAnsi="宋体" w:cs="宋体" w:eastAsia="宋体" w:hint="default"/>
          <w:sz w:val="22"/>
          <w:szCs w:val="22"/>
        </w:rPr>
      </w:pPr>
    </w:p>
    <w:p>
      <w:pPr>
        <w:pStyle w:val="BodyText"/>
        <w:spacing w:line="240" w:lineRule="auto"/>
        <w:ind w:left="641" w:right="0"/>
        <w:jc w:val="left"/>
        <w:rPr>
          <w:rFonts w:ascii="黑体" w:hAnsi="黑体" w:cs="黑体" w:eastAsia="黑体" w:hint="default"/>
        </w:rPr>
      </w:pPr>
      <w:r>
        <w:rPr>
          <w:rFonts w:ascii="Times New Roman" w:hAnsi="Times New Roman" w:cs="Times New Roman" w:eastAsia="Times New Roman" w:hint="default"/>
        </w:rPr>
        <w:t>5. </w:t>
      </w:r>
      <w:r>
        <w:rPr>
          <w:rFonts w:ascii="Times New Roman" w:hAnsi="Times New Roman" w:cs="Times New Roman" w:eastAsia="Times New Roman" w:hint="default"/>
          <w:spacing w:val="36"/>
        </w:rPr>
        <w:t> </w:t>
      </w:r>
      <w:r>
        <w:rPr>
          <w:rFonts w:ascii="黑体" w:hAnsi="黑体" w:cs="黑体" w:eastAsia="黑体" w:hint="default"/>
        </w:rPr>
        <w:t>其他应收款</w:t>
      </w:r>
    </w:p>
    <w:p>
      <w:pPr>
        <w:spacing w:line="240" w:lineRule="auto" w:before="1"/>
        <w:rPr>
          <w:rFonts w:ascii="黑体" w:hAnsi="黑体" w:cs="黑体" w:eastAsia="黑体" w:hint="default"/>
          <w:sz w:val="22"/>
          <w:szCs w:val="22"/>
        </w:rPr>
      </w:pPr>
    </w:p>
    <w:p>
      <w:pPr>
        <w:pStyle w:val="BodyText"/>
        <w:spacing w:line="240" w:lineRule="auto"/>
        <w:ind w:left="641" w:right="0"/>
        <w:jc w:val="left"/>
      </w:pPr>
      <w:r>
        <w:rPr/>
        <w:t>（</w:t>
      </w:r>
      <w:r>
        <w:rPr>
          <w:rFonts w:ascii="Times New Roman" w:hAnsi="Times New Roman" w:cs="Times New Roman" w:eastAsia="Times New Roman" w:hint="default"/>
        </w:rPr>
        <w:t>1</w:t>
      </w:r>
      <w:r>
        <w:rPr/>
        <w:t>）按种类披露</w:t>
      </w:r>
    </w:p>
    <w:p>
      <w:pPr>
        <w:spacing w:line="240" w:lineRule="auto" w:before="5"/>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85"/>
        <w:gridCol w:w="1342"/>
        <w:gridCol w:w="776"/>
        <w:gridCol w:w="1342"/>
        <w:gridCol w:w="736"/>
        <w:gridCol w:w="1342"/>
        <w:gridCol w:w="776"/>
        <w:gridCol w:w="1342"/>
        <w:gridCol w:w="776"/>
      </w:tblGrid>
      <w:tr>
        <w:trPr>
          <w:trHeight w:val="350" w:hRule="exact"/>
        </w:trPr>
        <w:tc>
          <w:tcPr>
            <w:tcW w:w="7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1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2010-12-31</w:t>
            </w:r>
          </w:p>
        </w:tc>
        <w:tc>
          <w:tcPr>
            <w:tcW w:w="42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2009-12-31</w:t>
            </w:r>
          </w:p>
        </w:tc>
      </w:tr>
      <w:tr>
        <w:trPr>
          <w:trHeight w:val="349" w:hRule="exact"/>
        </w:trPr>
        <w:tc>
          <w:tcPr>
            <w:tcW w:w="785" w:type="dxa"/>
            <w:vMerge/>
            <w:tcBorders>
              <w:left w:val="single" w:sz="4" w:space="0" w:color="000000"/>
              <w:right w:val="single" w:sz="4" w:space="0" w:color="000000"/>
            </w:tcBorders>
          </w:tcPr>
          <w:p>
            <w:pPr/>
          </w:p>
        </w:tc>
        <w:tc>
          <w:tcPr>
            <w:tcW w:w="2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1" w:hRule="exact"/>
        </w:trPr>
        <w:tc>
          <w:tcPr>
            <w:tcW w:w="785"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48"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8"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28"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8"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48"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8"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48" w:right="0"/>
              <w:jc w:val="left"/>
              <w:rPr>
                <w:rFonts w:ascii="Times New Roman" w:hAnsi="Times New Roman" w:cs="Times New Roman" w:eastAsia="Times New Roman" w:hint="default"/>
                <w:sz w:val="18"/>
                <w:szCs w:val="18"/>
              </w:rPr>
            </w:pPr>
            <w:r>
              <w:rPr>
                <w:rFonts w:ascii="Times New Roman"/>
                <w:sz w:val="18"/>
              </w:rPr>
              <w:t>(%)</w:t>
            </w:r>
          </w:p>
        </w:tc>
      </w:tr>
      <w:tr>
        <w:trPr>
          <w:trHeight w:val="1690"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6"/>
              <w:jc w:val="both"/>
              <w:rPr>
                <w:rFonts w:ascii="宋体" w:hAnsi="宋体" w:cs="宋体" w:eastAsia="宋体" w:hint="default"/>
                <w:sz w:val="18"/>
                <w:szCs w:val="18"/>
              </w:rPr>
            </w:pPr>
            <w:r>
              <w:rPr>
                <w:rFonts w:ascii="宋体" w:hAnsi="宋体" w:cs="宋体" w:eastAsia="宋体" w:hint="default"/>
                <w:spacing w:val="14"/>
                <w:sz w:val="18"/>
                <w:szCs w:val="18"/>
              </w:rPr>
              <w:t>单项金 额重大 并单项 计提坏 账准备 的其他 </w:t>
            </w:r>
            <w:r>
              <w:rPr>
                <w:rFonts w:ascii="宋体" w:hAnsi="宋体" w:cs="宋体" w:eastAsia="宋体" w:hint="default"/>
                <w:sz w:val="18"/>
                <w:szCs w:val="18"/>
              </w:rPr>
              <w:t>应收款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143,742,036.01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88.91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143,742,036.01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z w:val="18"/>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150,134,595.72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2"/>
                <w:sz w:val="18"/>
              </w:rPr>
              <w:t>84.11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2"/>
              <w:jc w:val="right"/>
              <w:rPr>
                <w:rFonts w:ascii="Times New Roman" w:hAnsi="Times New Roman" w:cs="Times New Roman" w:eastAsia="Times New Roman" w:hint="default"/>
                <w:sz w:val="18"/>
                <w:szCs w:val="18"/>
              </w:rPr>
            </w:pPr>
            <w:r>
              <w:rPr>
                <w:rFonts w:ascii="Times New Roman"/>
                <w:spacing w:val="-1"/>
                <w:sz w:val="18"/>
              </w:rPr>
              <w:t>150,134,595.72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921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30"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tabs>
                <w:tab w:pos="491" w:val="left" w:leader="none"/>
              </w:tabs>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组</w:t>
              <w:tab/>
              <w:t>合</w:t>
            </w:r>
          </w:p>
          <w:p>
            <w:pPr>
              <w:pStyle w:val="TableParagraph"/>
              <w:spacing w:line="244" w:lineRule="auto" w:before="4"/>
              <w:ind w:left="103" w:right="86"/>
              <w:jc w:val="left"/>
              <w:rPr>
                <w:rFonts w:ascii="宋体" w:hAnsi="宋体" w:cs="宋体" w:eastAsia="宋体" w:hint="default"/>
                <w:sz w:val="18"/>
                <w:szCs w:val="18"/>
              </w:rPr>
            </w:pPr>
            <w:r>
              <w:rPr>
                <w:rFonts w:ascii="宋体" w:hAnsi="宋体" w:cs="宋体" w:eastAsia="宋体" w:hint="default"/>
                <w:spacing w:val="14"/>
                <w:sz w:val="18"/>
                <w:szCs w:val="18"/>
              </w:rPr>
              <w:t>（按账 </w:t>
            </w:r>
            <w:r>
              <w:rPr>
                <w:rFonts w:ascii="宋体" w:hAnsi="宋体" w:cs="宋体" w:eastAsia="宋体" w:hint="default"/>
                <w:sz w:val="18"/>
                <w:szCs w:val="18"/>
              </w:rPr>
              <w:t>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16,087,407.01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9.95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12,945,441.37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80.47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26,432,326.61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14.81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12,687,119.20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48.00</w:t>
            </w:r>
          </w:p>
        </w:tc>
      </w:tr>
      <w:tr>
        <w:trPr>
          <w:trHeight w:val="1930"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6"/>
              <w:jc w:val="both"/>
              <w:rPr>
                <w:rFonts w:ascii="宋体" w:hAnsi="宋体" w:cs="宋体" w:eastAsia="宋体" w:hint="default"/>
                <w:sz w:val="18"/>
                <w:szCs w:val="18"/>
              </w:rPr>
            </w:pPr>
            <w:r>
              <w:rPr>
                <w:rFonts w:ascii="宋体" w:hAnsi="宋体" w:cs="宋体" w:eastAsia="宋体" w:hint="default"/>
                <w:spacing w:val="14"/>
                <w:sz w:val="18"/>
                <w:szCs w:val="18"/>
              </w:rPr>
              <w:t>单项金 额虽不 重大但 单项计 提坏账 准备的 其他应 </w:t>
            </w:r>
            <w:r>
              <w:rPr>
                <w:rFonts w:ascii="宋体" w:hAnsi="宋体" w:cs="宋体" w:eastAsia="宋体" w:hint="default"/>
                <w:sz w:val="18"/>
                <w:szCs w:val="18"/>
              </w:rPr>
              <w:t>收款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1,841,912.35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1,928,004.60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1,928,004.60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91"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161,671,355.37</w:t>
            </w:r>
            <w:r>
              <w:rPr>
                <w:rFonts w:ascii="Times New Roman"/>
                <w:spacing w:val="-1"/>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158,529,389.73</w:t>
            </w:r>
            <w:r>
              <w:rPr>
                <w:rFonts w:ascii="Times New Roman"/>
                <w:spacing w:val="-1"/>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98.06</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178,494,926.93</w:t>
            </w:r>
            <w:r>
              <w:rPr>
                <w:rFonts w:ascii="Times New Roman"/>
                <w:spacing w:val="-1"/>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164,749,719.52</w:t>
            </w:r>
            <w:r>
              <w:rPr>
                <w:rFonts w:ascii="Times New Roman"/>
                <w:spacing w:val="-1"/>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z w:val="18"/>
              </w:rPr>
              <w:t>92.30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63" w:footer="893" w:top="1200" w:bottom="1080" w:left="14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5"/>
        <w:ind w:left="641" w:right="0"/>
        <w:jc w:val="left"/>
      </w:pPr>
      <w:r>
        <w:rPr/>
        <w:t>组合中，按账龄分析法计提坏账准备的其他应收款：</w:t>
      </w:r>
    </w:p>
    <w:p>
      <w:pPr>
        <w:spacing w:line="240" w:lineRule="auto" w:before="11"/>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304"/>
        <w:gridCol w:w="1408"/>
        <w:gridCol w:w="965"/>
        <w:gridCol w:w="1541"/>
        <w:gridCol w:w="1547"/>
        <w:gridCol w:w="965"/>
        <w:gridCol w:w="1408"/>
      </w:tblGrid>
      <w:tr>
        <w:trPr>
          <w:trHeight w:val="294" w:hRule="exact"/>
        </w:trPr>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2010-12-31</w:t>
            </w:r>
          </w:p>
        </w:tc>
        <w:tc>
          <w:tcPr>
            <w:tcW w:w="39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2009-12-31</w:t>
            </w:r>
          </w:p>
        </w:tc>
      </w:tr>
      <w:tr>
        <w:trPr>
          <w:trHeight w:val="294" w:hRule="exact"/>
        </w:trPr>
        <w:tc>
          <w:tcPr>
            <w:tcW w:w="1304" w:type="dxa"/>
            <w:vMerge/>
            <w:tcBorders>
              <w:left w:val="single" w:sz="4" w:space="0" w:color="000000"/>
              <w:right w:val="single" w:sz="4" w:space="0" w:color="000000"/>
            </w:tcBorders>
          </w:tcPr>
          <w:p>
            <w:pP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146"/>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8" w:type="dxa"/>
            <w:vMerge w:val="restart"/>
            <w:tcBorders>
              <w:top w:val="single" w:sz="4" w:space="0" w:color="000000"/>
              <w:left w:val="single" w:sz="4" w:space="0" w:color="000000"/>
              <w:right w:val="single" w:sz="4" w:space="0" w:color="000000"/>
            </w:tcBorders>
          </w:tcPr>
          <w:p>
            <w:pPr>
              <w:pStyle w:val="TableParagraph"/>
              <w:spacing w:line="240" w:lineRule="auto" w:before="146"/>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1304" w:type="dxa"/>
            <w:vMerge/>
            <w:tcBorders>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41" w:type="dxa"/>
            <w:vMerge/>
            <w:tcBorders>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08" w:type="dxa"/>
            <w:vMerge/>
            <w:tcBorders>
              <w:left w:val="single" w:sz="4" w:space="0" w:color="000000"/>
              <w:bottom w:val="single" w:sz="4" w:space="0" w:color="000000"/>
              <w:right w:val="single" w:sz="4" w:space="0" w:color="000000"/>
            </w:tcBorders>
          </w:tcPr>
          <w:p>
            <w:pPr/>
          </w:p>
        </w:tc>
      </w:tr>
      <w:tr>
        <w:trPr>
          <w:trHeight w:val="491"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2,282,090.12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12,224,053.05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46.25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125,251.07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6,262.55</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41,902.60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2,579.13</w:t>
            </w:r>
          </w:p>
        </w:tc>
      </w:tr>
      <w:tr>
        <w:trPr>
          <w:trHeight w:val="49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450,925.48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394,374.36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166,050.74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13,568.68</w:t>
            </w:r>
          </w:p>
        </w:tc>
      </w:tr>
      <w:tr>
        <w:trPr>
          <w:trHeight w:val="491"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136,631.46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0.85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40,989.44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1,054,275.43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316,282.63</w:t>
            </w:r>
          </w:p>
        </w:tc>
      </w:tr>
      <w:tr>
        <w:trPr>
          <w:trHeight w:val="49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855,919.63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419,615.99</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579,936.06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335,869.01</w:t>
            </w:r>
          </w:p>
        </w:tc>
      </w:tr>
      <w:tr>
        <w:trPr>
          <w:trHeight w:val="49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505,634.06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3.14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353,243.84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1,608,053.07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1,260,764.09</w:t>
            </w:r>
          </w:p>
        </w:tc>
      </w:tr>
      <w:tr>
        <w:trPr>
          <w:trHeight w:val="491"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11,730,955.19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72.92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11,730,955.19</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10,758,055.66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40.70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10,758,055.66</w:t>
            </w:r>
          </w:p>
        </w:tc>
      </w:tr>
      <w:tr>
        <w:trPr>
          <w:trHeight w:val="49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16,087,407.01</w:t>
            </w:r>
            <w:r>
              <w:rPr>
                <w:rFonts w:ascii="Times New Roman"/>
                <w:spacing w:val="-1"/>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12,945,441.37</w:t>
            </w:r>
            <w:r>
              <w:rPr>
                <w:rFonts w:ascii="Times New Roman"/>
                <w:spacing w:val="-1"/>
                <w:sz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pacing w:val="-1"/>
                <w:sz w:val="18"/>
              </w:rPr>
              <w:t>26,432,326.61</w:t>
            </w:r>
            <w:r>
              <w:rPr>
                <w:rFonts w:ascii="Times New Roman"/>
                <w:spacing w:val="-1"/>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w w:val="95"/>
                <w:sz w:val="18"/>
              </w:rPr>
              <w:t>12,687,119.20</w:t>
            </w:r>
            <w:r>
              <w:rPr>
                <w:rFonts w:ascii="Times New Roman"/>
                <w:spacing w:val="-1"/>
                <w:w w:val="95"/>
                <w:sz w:val="18"/>
              </w:rPr>
            </w:r>
          </w:p>
        </w:tc>
      </w:tr>
    </w:tbl>
    <w:p>
      <w:pPr>
        <w:spacing w:line="240" w:lineRule="auto" w:before="12"/>
        <w:rPr>
          <w:rFonts w:ascii="宋体" w:hAnsi="宋体" w:cs="宋体" w:eastAsia="宋体" w:hint="default"/>
          <w:sz w:val="15"/>
          <w:szCs w:val="15"/>
        </w:rPr>
      </w:pPr>
    </w:p>
    <w:p>
      <w:pPr>
        <w:pStyle w:val="BodyText"/>
        <w:spacing w:line="240" w:lineRule="auto" w:before="35"/>
        <w:ind w:left="641" w:right="0"/>
        <w:jc w:val="left"/>
      </w:pPr>
      <w:r>
        <w:rPr/>
        <w:t>期末单项金额虽不重大但单项计提坏账准备的其他应收款</w:t>
      </w:r>
    </w:p>
    <w:p>
      <w:pPr>
        <w:spacing w:line="240" w:lineRule="auto" w:before="13"/>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826"/>
        <w:gridCol w:w="1825"/>
        <w:gridCol w:w="1825"/>
        <w:gridCol w:w="1579"/>
        <w:gridCol w:w="2072"/>
      </w:tblGrid>
      <w:tr>
        <w:trPr>
          <w:trHeight w:val="349"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78"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6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1,841,912.35</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1,841,912.35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100.00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4"/>
              <w:jc w:val="center"/>
              <w:rPr>
                <w:rFonts w:ascii="宋体" w:hAnsi="宋体" w:cs="宋体" w:eastAsia="宋体" w:hint="default"/>
                <w:sz w:val="18"/>
                <w:szCs w:val="18"/>
              </w:rPr>
            </w:pPr>
            <w:r>
              <w:rPr>
                <w:rFonts w:ascii="宋体" w:hAnsi="宋体" w:cs="宋体" w:eastAsia="宋体" w:hint="default"/>
                <w:sz w:val="18"/>
                <w:szCs w:val="18"/>
              </w:rPr>
              <w:t>债务人已基本停止经营</w:t>
            </w:r>
          </w:p>
        </w:tc>
      </w:tr>
      <w:tr>
        <w:trPr>
          <w:trHeight w:val="35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b/>
                <w:spacing w:val="-1"/>
                <w:sz w:val="18"/>
              </w:rPr>
              <w:t>1,841,912.35</w:t>
            </w:r>
            <w:r>
              <w:rPr>
                <w:rFonts w:ascii="Times New Roman"/>
                <w:spacing w:val="-1"/>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b/>
                <w:spacing w:val="-1"/>
                <w:sz w:val="18"/>
              </w:rPr>
              <w:t>1,841,912.35</w:t>
            </w:r>
            <w:r>
              <w:rPr>
                <w:rFonts w:ascii="Times New Roman"/>
                <w:spacing w:val="-1"/>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5"/>
          <w:szCs w:val="15"/>
        </w:rPr>
      </w:pPr>
    </w:p>
    <w:p>
      <w:pPr>
        <w:pStyle w:val="BodyText"/>
        <w:spacing w:line="240" w:lineRule="auto" w:before="35"/>
        <w:ind w:left="641" w:right="0"/>
        <w:jc w:val="left"/>
      </w:pPr>
      <w:r>
        <w:rPr/>
        <w:t>（</w:t>
      </w:r>
      <w:r>
        <w:rPr>
          <w:rFonts w:ascii="Times New Roman" w:hAnsi="Times New Roman" w:cs="Times New Roman" w:eastAsia="Times New Roman" w:hint="default"/>
        </w:rPr>
        <w:t>2</w:t>
      </w:r>
      <w:r>
        <w:rPr/>
        <w:t>）本期转回或收回情况</w:t>
      </w:r>
    </w:p>
    <w:p>
      <w:pPr>
        <w:spacing w:line="240" w:lineRule="auto" w:before="9"/>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786"/>
        <w:gridCol w:w="1673"/>
        <w:gridCol w:w="2104"/>
        <w:gridCol w:w="2172"/>
        <w:gridCol w:w="1404"/>
      </w:tblGrid>
      <w:tr>
        <w:trPr>
          <w:trHeight w:val="49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1" w:right="179"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7" w:right="155" w:hanging="450"/>
              <w:jc w:val="left"/>
              <w:rPr>
                <w:rFonts w:ascii="宋体" w:hAnsi="宋体" w:cs="宋体" w:eastAsia="宋体" w:hint="default"/>
                <w:sz w:val="18"/>
                <w:szCs w:val="18"/>
              </w:rPr>
            </w:pPr>
            <w:r>
              <w:rPr>
                <w:rFonts w:ascii="宋体" w:hAnsi="宋体" w:cs="宋体" w:eastAsia="宋体" w:hint="default"/>
                <w:sz w:val="18"/>
                <w:szCs w:val="18"/>
              </w:rPr>
              <w:t>转回或收回金 额</w:t>
            </w:r>
          </w:p>
        </w:tc>
      </w:tr>
      <w:tr>
        <w:trPr>
          <w:trHeight w:val="370"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法院执行回款</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18"/>
                <w:szCs w:val="18"/>
              </w:rPr>
            </w:pPr>
            <w:r>
              <w:rPr>
                <w:rFonts w:ascii="宋体" w:hAnsi="宋体" w:cs="宋体" w:eastAsia="宋体" w:hint="default"/>
                <w:sz w:val="18"/>
                <w:szCs w:val="18"/>
              </w:rPr>
              <w:t>债务人已停止经营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pacing w:val="-1"/>
                <w:sz w:val="18"/>
              </w:rPr>
              <w:t>125,113,889.90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6,392,559.71</w:t>
            </w:r>
          </w:p>
        </w:tc>
      </w:tr>
      <w:tr>
        <w:trPr>
          <w:trHeight w:val="370"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收回现金</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18"/>
                <w:szCs w:val="18"/>
              </w:rPr>
            </w:pPr>
            <w:r>
              <w:rPr>
                <w:rFonts w:ascii="宋体" w:hAnsi="宋体" w:cs="宋体" w:eastAsia="宋体" w:hint="default"/>
                <w:sz w:val="18"/>
                <w:szCs w:val="18"/>
              </w:rPr>
              <w:t>债务人已基本停止经营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60,000.00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60,000.00</w:t>
            </w:r>
          </w:p>
        </w:tc>
      </w:tr>
      <w:tr>
        <w:trPr>
          <w:trHeight w:val="37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210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b/>
                <w:spacing w:val="-1"/>
                <w:sz w:val="18"/>
              </w:rPr>
              <w:t>125,173,889.90</w:t>
            </w:r>
            <w:r>
              <w:rPr>
                <w:rFonts w:ascii="Times New Roman"/>
                <w:spacing w:val="-1"/>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b/>
                <w:spacing w:val="-1"/>
                <w:sz w:val="18"/>
              </w:rPr>
              <w:t>6,452,559.71</w:t>
            </w:r>
            <w:r>
              <w:rPr>
                <w:rFonts w:ascii="Times New Roman"/>
                <w:spacing w:val="-1"/>
                <w:sz w:val="18"/>
              </w:rPr>
            </w:r>
          </w:p>
        </w:tc>
      </w:tr>
    </w:tbl>
    <w:p>
      <w:pPr>
        <w:spacing w:line="240" w:lineRule="auto" w:before="12"/>
        <w:rPr>
          <w:rFonts w:ascii="宋体" w:hAnsi="宋体" w:cs="宋体" w:eastAsia="宋体" w:hint="default"/>
          <w:sz w:val="15"/>
          <w:szCs w:val="15"/>
        </w:rPr>
      </w:pPr>
    </w:p>
    <w:p>
      <w:pPr>
        <w:pStyle w:val="BodyText"/>
        <w:spacing w:line="240" w:lineRule="auto" w:before="35"/>
        <w:ind w:left="641" w:right="0"/>
        <w:jc w:val="left"/>
      </w:pPr>
      <w:r>
        <w:rPr/>
        <w:t>（</w:t>
      </w:r>
      <w:r>
        <w:rPr>
          <w:rFonts w:ascii="Times New Roman" w:hAnsi="Times New Roman" w:cs="Times New Roman" w:eastAsia="Times New Roman" w:hint="default"/>
        </w:rPr>
        <w:t>3</w:t>
      </w:r>
      <w:r>
        <w:rPr/>
        <w:t>）本报告期实际核销的其他应收款情况</w:t>
      </w:r>
    </w:p>
    <w:p>
      <w:pPr>
        <w:spacing w:line="240" w:lineRule="auto" w:before="9"/>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630"/>
        <w:gridCol w:w="1621"/>
        <w:gridCol w:w="1079"/>
        <w:gridCol w:w="2339"/>
        <w:gridCol w:w="1799"/>
      </w:tblGrid>
      <w:tr>
        <w:trPr>
          <w:trHeight w:val="73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803" w:right="173"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370"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深圳市市政工程总公司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58,201.00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4"/>
                <w:sz w:val="18"/>
                <w:szCs w:val="18"/>
              </w:rPr>
              <w:t>账龄长，无法联系原经办人</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26,092.25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债务人已停止经营</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1"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z w:val="18"/>
              </w:rPr>
              <w:t>84,293.25</w:t>
            </w:r>
            <w:r>
              <w:rPr>
                <w:rFonts w:ascii="Times New Roman"/>
                <w:sz w:val="18"/>
              </w:rPr>
            </w:r>
          </w:p>
        </w:tc>
        <w:tc>
          <w:tcPr>
            <w:tcW w:w="2339"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5"/>
          <w:szCs w:val="15"/>
        </w:rPr>
      </w:pPr>
    </w:p>
    <w:p>
      <w:pPr>
        <w:pStyle w:val="BodyText"/>
        <w:spacing w:line="240" w:lineRule="auto" w:before="35"/>
        <w:ind w:left="641" w:right="0"/>
        <w:jc w:val="left"/>
      </w:pPr>
      <w:r>
        <w:rPr/>
        <w:t>（</w:t>
      </w:r>
      <w:r>
        <w:rPr>
          <w:rFonts w:ascii="Times New Roman" w:hAnsi="Times New Roman" w:cs="Times New Roman" w:eastAsia="Times New Roman" w:hint="default"/>
        </w:rPr>
        <w:t>4</w:t>
      </w:r>
      <w:r>
        <w:rPr/>
        <w:t>）本报告期其他应收款中无持有公司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p>
    <w:p>
      <w:pPr>
        <w:spacing w:after="0" w:line="240" w:lineRule="auto"/>
        <w:jc w:val="left"/>
        <w:sectPr>
          <w:pgSz w:w="11910" w:h="16840"/>
          <w:pgMar w:header="963" w:footer="893" w:top="1200" w:bottom="1080" w:left="148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2"/>
        <w:ind w:left="641" w:right="0"/>
        <w:jc w:val="left"/>
      </w:pPr>
      <w:r>
        <w:rPr/>
        <w:t>（</w:t>
      </w:r>
      <w:r>
        <w:rPr>
          <w:rFonts w:ascii="Times New Roman" w:hAnsi="Times New Roman" w:cs="Times New Roman" w:eastAsia="Times New Roman" w:hint="default"/>
        </w:rPr>
        <w:t>5</w:t>
      </w:r>
      <w:r>
        <w:rPr/>
        <w:t>）其他应收款金额前五名单位情况</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88"/>
        <w:gridCol w:w="1622"/>
        <w:gridCol w:w="1441"/>
        <w:gridCol w:w="1079"/>
        <w:gridCol w:w="1260"/>
        <w:gridCol w:w="1439"/>
      </w:tblGrid>
      <w:tr>
        <w:trPr>
          <w:trHeight w:val="109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75" w:right="173"/>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 款总额的比 例</w:t>
            </w:r>
            <w:r>
              <w:rPr>
                <w:rFonts w:ascii="Times New Roman" w:hAnsi="Times New Roman" w:cs="Times New Roman" w:eastAsia="Times New Roman" w:hint="default"/>
                <w:sz w:val="18"/>
                <w:szCs w:val="18"/>
              </w:rPr>
              <w:t>(%)</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6"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118,721,330.19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73.43</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w:t>
            </w:r>
          </w:p>
        </w:tc>
      </w:tr>
      <w:tr>
        <w:trPr>
          <w:trHeight w:val="478"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香港群思电子有限公司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18,600,000.00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11.50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w:t>
            </w:r>
          </w:p>
        </w:tc>
      </w:tr>
      <w:tr>
        <w:trPr>
          <w:trHeight w:val="49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24"/>
              <w:ind w:left="103" w:right="0"/>
              <w:jc w:val="left"/>
              <w:rPr>
                <w:rFonts w:ascii="Times New Roman" w:hAnsi="Times New Roman" w:cs="Times New Roman" w:eastAsia="Times New Roman" w:hint="default"/>
                <w:sz w:val="18"/>
                <w:szCs w:val="18"/>
              </w:rPr>
            </w:pPr>
            <w:r>
              <w:rPr>
                <w:rFonts w:ascii="Times New Roman"/>
                <w:sz w:val="18"/>
              </w:rPr>
              <w:t>OCEANS  WISE  INDUSTRIES</w:t>
            </w:r>
            <w:r>
              <w:rPr>
                <w:rFonts w:ascii="Times New Roman"/>
                <w:spacing w:val="-12"/>
                <w:sz w:val="18"/>
              </w:rPr>
              <w:t> </w:t>
            </w:r>
            <w:r>
              <w:rPr>
                <w:rFonts w:ascii="Times New Roman"/>
                <w:spacing w:val="-6"/>
                <w:sz w:val="18"/>
              </w:rPr>
              <w:t>LTD</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（香港海慧）</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1"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6,420,705.82</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3.97</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w:t>
            </w:r>
          </w:p>
        </w:tc>
      </w:tr>
      <w:tr>
        <w:trPr>
          <w:trHeight w:val="478"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宝安辉煌实业公司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应收转让土地款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2,742,431.83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w:t>
            </w:r>
          </w:p>
        </w:tc>
      </w:tr>
      <w:tr>
        <w:trPr>
          <w:trHeight w:val="476"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w:t>
            </w: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b/>
                <w:spacing w:val="-1"/>
                <w:sz w:val="18"/>
              </w:rPr>
              <w:t>148,326,380.19</w:t>
            </w:r>
            <w:r>
              <w:rPr>
                <w:rFonts w:ascii="Times New Roman"/>
                <w:spacing w:val="-1"/>
                <w:sz w:val="18"/>
              </w:rPr>
            </w:r>
          </w:p>
        </w:tc>
        <w:tc>
          <w:tcPr>
            <w:tcW w:w="107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b/>
                <w:sz w:val="18"/>
              </w:rPr>
              <w:t>91.74</w:t>
            </w:r>
            <w:r>
              <w:rPr>
                <w:rFonts w:ascii="Times New Roman"/>
                <w:sz w:val="18"/>
              </w:rPr>
            </w:r>
          </w:p>
        </w:tc>
        <w:tc>
          <w:tcPr>
            <w:tcW w:w="14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0"/>
          <w:szCs w:val="10"/>
        </w:rPr>
      </w:pPr>
    </w:p>
    <w:p>
      <w:pPr>
        <w:pStyle w:val="BodyText"/>
        <w:spacing w:line="240" w:lineRule="auto" w:before="35"/>
        <w:ind w:left="641" w:right="0"/>
        <w:jc w:val="left"/>
      </w:pPr>
      <w:r>
        <w:rPr/>
        <w:t>（</w:t>
      </w:r>
      <w:r>
        <w:rPr>
          <w:rFonts w:ascii="Times New Roman" w:hAnsi="Times New Roman" w:cs="Times New Roman" w:eastAsia="Times New Roman" w:hint="default"/>
        </w:rPr>
        <w:t>6</w:t>
      </w:r>
      <w:r>
        <w:rPr/>
        <w:t>）其他应收关联方账款情况详见附注六、</w:t>
      </w:r>
      <w:r>
        <w:rPr>
          <w:rFonts w:ascii="Times New Roman" w:hAnsi="Times New Roman" w:cs="Times New Roman" w:eastAsia="Times New Roman" w:hint="default"/>
        </w:rPr>
        <w:t>7</w:t>
      </w:r>
      <w:r>
        <w:rPr/>
        <w:t>。</w:t>
      </w:r>
    </w:p>
    <w:p>
      <w:pPr>
        <w:spacing w:line="240" w:lineRule="auto" w:before="10"/>
        <w:rPr>
          <w:rFonts w:ascii="宋体" w:hAnsi="宋体" w:cs="宋体" w:eastAsia="宋体" w:hint="default"/>
          <w:sz w:val="16"/>
          <w:szCs w:val="16"/>
        </w:rPr>
      </w:pPr>
    </w:p>
    <w:p>
      <w:pPr>
        <w:pStyle w:val="BodyText"/>
        <w:spacing w:line="240" w:lineRule="auto"/>
        <w:ind w:left="641" w:right="0"/>
        <w:jc w:val="left"/>
        <w:rPr>
          <w:rFonts w:ascii="黑体" w:hAnsi="黑体" w:cs="黑体" w:eastAsia="黑体" w:hint="default"/>
        </w:rPr>
      </w:pPr>
      <w:r>
        <w:rPr>
          <w:rFonts w:ascii="Times New Roman" w:hAnsi="Times New Roman" w:cs="Times New Roman" w:eastAsia="Times New Roman" w:hint="default"/>
        </w:rPr>
        <w:t>6. </w:t>
      </w:r>
      <w:r>
        <w:rPr>
          <w:rFonts w:ascii="Times New Roman" w:hAnsi="Times New Roman" w:cs="Times New Roman" w:eastAsia="Times New Roman" w:hint="default"/>
          <w:spacing w:val="36"/>
        </w:rPr>
        <w:t> </w:t>
      </w:r>
      <w:r>
        <w:rPr>
          <w:rFonts w:ascii="黑体" w:hAnsi="黑体" w:cs="黑体" w:eastAsia="黑体" w:hint="default"/>
        </w:rPr>
        <w:t>存货</w:t>
      </w:r>
    </w:p>
    <w:p>
      <w:pPr>
        <w:spacing w:line="240" w:lineRule="auto" w:before="10"/>
        <w:rPr>
          <w:rFonts w:ascii="黑体" w:hAnsi="黑体" w:cs="黑体" w:eastAsia="黑体" w:hint="default"/>
          <w:sz w:val="16"/>
          <w:szCs w:val="16"/>
        </w:rPr>
      </w:pPr>
    </w:p>
    <w:p>
      <w:pPr>
        <w:pStyle w:val="BodyText"/>
        <w:spacing w:line="240" w:lineRule="auto"/>
        <w:ind w:left="641" w:right="0"/>
        <w:jc w:val="left"/>
      </w:pPr>
      <w:r>
        <w:rPr/>
        <w:t>（</w:t>
      </w:r>
      <w:r>
        <w:rPr>
          <w:rFonts w:ascii="Times New Roman" w:hAnsi="Times New Roman" w:cs="Times New Roman" w:eastAsia="Times New Roman" w:hint="default"/>
        </w:rPr>
        <w:t>1</w:t>
      </w:r>
      <w:r>
        <w:rPr/>
        <w:t>）存货分类</w:t>
      </w:r>
    </w:p>
    <w:p>
      <w:pPr>
        <w:spacing w:line="240" w:lineRule="auto" w:before="4"/>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024"/>
        <w:gridCol w:w="1202"/>
        <w:gridCol w:w="1204"/>
        <w:gridCol w:w="1205"/>
        <w:gridCol w:w="1204"/>
        <w:gridCol w:w="1202"/>
        <w:gridCol w:w="1199"/>
      </w:tblGrid>
      <w:tr>
        <w:trPr>
          <w:trHeight w:val="394" w:hRule="exact"/>
        </w:trPr>
        <w:tc>
          <w:tcPr>
            <w:tcW w:w="2024"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2010-12-31</w:t>
            </w:r>
          </w:p>
        </w:tc>
        <w:tc>
          <w:tcPr>
            <w:tcW w:w="36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2009-12-31</w:t>
            </w:r>
          </w:p>
        </w:tc>
      </w:tr>
      <w:tr>
        <w:trPr>
          <w:trHeight w:val="374" w:hRule="exact"/>
        </w:trPr>
        <w:tc>
          <w:tcPr>
            <w:tcW w:w="2024" w:type="dxa"/>
            <w:vMerge/>
            <w:tcBorders>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8"/>
              <w:ind w:left="2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3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4"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21,120,633.16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6,983,174.17</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14,137,458.99</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16,946,104.54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pacing w:val="-1"/>
                <w:sz w:val="18"/>
              </w:rPr>
              <w:t>8,085,015.24</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8,861,089.30</w:t>
            </w:r>
          </w:p>
        </w:tc>
      </w:tr>
      <w:tr>
        <w:trPr>
          <w:trHeight w:val="392"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423,280.43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423,280.43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433,445.16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433,445.16</w:t>
            </w:r>
          </w:p>
        </w:tc>
      </w:tr>
      <w:tr>
        <w:trPr>
          <w:trHeight w:val="394"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2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544,428.42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544,428.42</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455,342.36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455,342.36</w:t>
            </w:r>
          </w:p>
        </w:tc>
      </w:tr>
      <w:tr>
        <w:trPr>
          <w:trHeight w:val="392"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1,020,569.71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1,020,569.71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1,171,804.87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1,171,804.87</w:t>
            </w:r>
          </w:p>
        </w:tc>
      </w:tr>
      <w:tr>
        <w:trPr>
          <w:trHeight w:val="394"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17,987,723.30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41,338.76</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17,946,384.54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15,825,429.47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pacing w:val="-1"/>
                <w:sz w:val="18"/>
              </w:rPr>
              <w:t>1,716,539.52</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14,108,889.95</w:t>
            </w:r>
          </w:p>
        </w:tc>
      </w:tr>
      <w:tr>
        <w:trPr>
          <w:trHeight w:val="392"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10" w:right="0"/>
              <w:jc w:val="left"/>
              <w:rPr>
                <w:rFonts w:ascii="宋体" w:hAnsi="宋体" w:cs="宋体" w:eastAsia="宋体" w:hint="default"/>
                <w:sz w:val="18"/>
                <w:szCs w:val="18"/>
              </w:rPr>
            </w:pPr>
            <w:r>
              <w:rPr>
                <w:rFonts w:ascii="宋体" w:hAnsi="宋体" w:cs="宋体" w:eastAsia="宋体" w:hint="default"/>
                <w:sz w:val="18"/>
                <w:szCs w:val="18"/>
              </w:rPr>
              <w:t>其中：发出商品</w:t>
            </w:r>
          </w:p>
        </w:tc>
        <w:tc>
          <w:tcPr>
            <w:tcW w:w="12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3,224,117.75</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3,224,117.75</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1,511,709.44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147,863.01</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1,363,846.43</w:t>
            </w:r>
          </w:p>
        </w:tc>
      </w:tr>
      <w:tr>
        <w:trPr>
          <w:trHeight w:val="394"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7"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2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1,310,786.28</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1,310,786.28</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1,811,147.98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1,811,147.98</w:t>
            </w:r>
          </w:p>
        </w:tc>
      </w:tr>
      <w:tr>
        <w:trPr>
          <w:trHeight w:val="392"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7"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13,298,578.07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4,738,396.00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8,560,182.07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13,298,578.07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pacing w:val="-1"/>
                <w:sz w:val="18"/>
              </w:rPr>
              <w:t>4,738,396.00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8,560,182.07</w:t>
            </w:r>
          </w:p>
        </w:tc>
      </w:tr>
      <w:tr>
        <w:trPr>
          <w:trHeight w:val="394"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7" w:right="0"/>
              <w:jc w:val="left"/>
              <w:rPr>
                <w:rFonts w:ascii="宋体" w:hAnsi="宋体" w:cs="宋体" w:eastAsia="宋体" w:hint="default"/>
                <w:sz w:val="18"/>
                <w:szCs w:val="18"/>
              </w:rPr>
            </w:pPr>
            <w:r>
              <w:rPr>
                <w:rFonts w:ascii="宋体" w:hAnsi="宋体" w:cs="宋体" w:eastAsia="宋体" w:hint="default"/>
                <w:sz w:val="18"/>
                <w:szCs w:val="18"/>
              </w:rPr>
              <w:t>完工开发产品</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619,130.06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619,130.06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619,130.06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619,130.06</w:t>
            </w:r>
          </w:p>
        </w:tc>
      </w:tr>
      <w:tr>
        <w:trPr>
          <w:trHeight w:val="394"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b/>
                <w:spacing w:val="-1"/>
                <w:sz w:val="18"/>
              </w:rPr>
              <w:t>56,325,129.43</w:t>
            </w:r>
            <w:r>
              <w:rPr>
                <w:rFonts w:ascii="Times New Roman"/>
                <w:spacing w:val="-1"/>
                <w:sz w:val="18"/>
              </w:rPr>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b/>
                <w:spacing w:val="-1"/>
                <w:w w:val="95"/>
                <w:sz w:val="18"/>
              </w:rPr>
              <w:t>11,762,908.93</w:t>
            </w:r>
            <w:r>
              <w:rPr>
                <w:rFonts w:ascii="Times New Roman"/>
                <w:spacing w:val="-1"/>
                <w:w w:val="95"/>
                <w:sz w:val="18"/>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b/>
                <w:spacing w:val="-1"/>
                <w:sz w:val="18"/>
              </w:rPr>
              <w:t>44,562,220.50</w:t>
            </w:r>
            <w:r>
              <w:rPr>
                <w:rFonts w:ascii="Times New Roman"/>
                <w:spacing w:val="-1"/>
                <w:sz w:val="18"/>
              </w:rPr>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b/>
                <w:spacing w:val="-1"/>
                <w:sz w:val="18"/>
              </w:rPr>
              <w:t>50,560,982.51</w:t>
            </w:r>
            <w:r>
              <w:rPr>
                <w:rFonts w:ascii="Times New Roman"/>
                <w:spacing w:val="-1"/>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3"/>
              <w:jc w:val="right"/>
              <w:rPr>
                <w:rFonts w:ascii="Times New Roman" w:hAnsi="Times New Roman" w:cs="Times New Roman" w:eastAsia="Times New Roman" w:hint="default"/>
                <w:sz w:val="18"/>
                <w:szCs w:val="18"/>
              </w:rPr>
            </w:pPr>
            <w:r>
              <w:rPr>
                <w:rFonts w:ascii="Times New Roman"/>
                <w:b/>
                <w:spacing w:val="-1"/>
                <w:sz w:val="18"/>
              </w:rPr>
              <w:t>14,539,950.76</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b/>
                <w:spacing w:val="-1"/>
                <w:sz w:val="18"/>
              </w:rPr>
              <w:t>36,021,031.75</w:t>
            </w:r>
            <w:r>
              <w:rPr>
                <w:rFonts w:ascii="Times New Roman"/>
                <w:spacing w:val="-1"/>
                <w:sz w:val="18"/>
              </w:rPr>
            </w:r>
          </w:p>
        </w:tc>
      </w:tr>
    </w:tbl>
    <w:p>
      <w:pPr>
        <w:spacing w:line="240" w:lineRule="auto" w:before="6"/>
        <w:rPr>
          <w:rFonts w:ascii="宋体" w:hAnsi="宋体" w:cs="宋体" w:eastAsia="宋体" w:hint="default"/>
          <w:sz w:val="10"/>
          <w:szCs w:val="10"/>
        </w:rPr>
      </w:pPr>
    </w:p>
    <w:p>
      <w:pPr>
        <w:pStyle w:val="BodyText"/>
        <w:spacing w:line="240" w:lineRule="auto" w:before="35"/>
        <w:ind w:left="641" w:right="0"/>
        <w:jc w:val="left"/>
      </w:pPr>
      <w:r>
        <w:rPr/>
        <w:t>（</w:t>
      </w:r>
      <w:r>
        <w:rPr>
          <w:rFonts w:ascii="Times New Roman" w:hAnsi="Times New Roman" w:cs="Times New Roman" w:eastAsia="Times New Roman" w:hint="default"/>
        </w:rPr>
        <w:t>2</w:t>
      </w:r>
      <w:r>
        <w:rPr/>
        <w:t>）存货跌价准备</w:t>
      </w:r>
    </w:p>
    <w:p>
      <w:pPr>
        <w:spacing w:line="240" w:lineRule="auto" w:before="5"/>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94"/>
        <w:gridCol w:w="1388"/>
        <w:gridCol w:w="1285"/>
        <w:gridCol w:w="973"/>
        <w:gridCol w:w="1207"/>
        <w:gridCol w:w="1284"/>
        <w:gridCol w:w="1290"/>
      </w:tblGrid>
      <w:tr>
        <w:trPr>
          <w:trHeight w:val="371" w:hRule="exact"/>
        </w:trPr>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2009-12-31</w:t>
            </w:r>
          </w:p>
        </w:tc>
        <w:tc>
          <w:tcPr>
            <w:tcW w:w="12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4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9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1294"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1285" w:type="dxa"/>
            <w:vMerge/>
            <w:tcBorders>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01"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0" w:type="dxa"/>
            <w:vMerge/>
            <w:tcBorders>
              <w:left w:val="single" w:sz="4" w:space="0" w:color="000000"/>
              <w:bottom w:val="single" w:sz="4" w:space="0" w:color="000000"/>
              <w:right w:val="single" w:sz="4" w:space="0" w:color="000000"/>
            </w:tcBorders>
          </w:tcPr>
          <w:p>
            <w:pPr/>
          </w:p>
        </w:tc>
      </w:tr>
      <w:tr>
        <w:trPr>
          <w:trHeight w:val="370"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8,085,015.24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314,143.00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4" w:right="0"/>
              <w:jc w:val="center"/>
              <w:rPr>
                <w:rFonts w:ascii="Times New Roman" w:hAnsi="Times New Roman" w:cs="Times New Roman" w:eastAsia="Times New Roman" w:hint="default"/>
                <w:sz w:val="18"/>
                <w:szCs w:val="18"/>
              </w:rPr>
            </w:pPr>
            <w:r>
              <w:rPr>
                <w:rFonts w:ascii="Times New Roman"/>
                <w:sz w:val="18"/>
              </w:rPr>
              <w:t>1,415,984.07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6,983,174.17</w:t>
            </w:r>
          </w:p>
        </w:tc>
      </w:tr>
      <w:tr>
        <w:trPr>
          <w:trHeight w:val="371"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1,716,539.52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4" w:right="0"/>
              <w:jc w:val="center"/>
              <w:rPr>
                <w:rFonts w:ascii="Times New Roman" w:hAnsi="Times New Roman" w:cs="Times New Roman" w:eastAsia="Times New Roman" w:hint="default"/>
                <w:sz w:val="18"/>
                <w:szCs w:val="18"/>
              </w:rPr>
            </w:pPr>
            <w:r>
              <w:rPr>
                <w:rFonts w:ascii="Times New Roman"/>
                <w:sz w:val="18"/>
              </w:rPr>
              <w:t>1,675,200.76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41,338.76</w:t>
            </w:r>
          </w:p>
        </w:tc>
      </w:tr>
    </w:tbl>
    <w:p>
      <w:pPr>
        <w:spacing w:after="0" w:line="240" w:lineRule="auto"/>
        <w:jc w:val="right"/>
        <w:rPr>
          <w:rFonts w:ascii="Times New Roman" w:hAnsi="Times New Roman" w:cs="Times New Roman" w:eastAsia="Times New Roman" w:hint="default"/>
          <w:sz w:val="18"/>
          <w:szCs w:val="18"/>
        </w:rPr>
        <w:sectPr>
          <w:pgSz w:w="11910" w:h="16840"/>
          <w:pgMar w:header="963" w:footer="893" w:top="1200" w:bottom="1080" w:left="1480" w:right="360"/>
        </w:sectPr>
      </w:pPr>
    </w:p>
    <w:p>
      <w:pPr>
        <w:spacing w:line="240" w:lineRule="auto" w:before="9"/>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294"/>
        <w:gridCol w:w="1388"/>
        <w:gridCol w:w="1285"/>
        <w:gridCol w:w="973"/>
        <w:gridCol w:w="1207"/>
        <w:gridCol w:w="1284"/>
        <w:gridCol w:w="1290"/>
      </w:tblGrid>
      <w:tr>
        <w:trPr>
          <w:trHeight w:val="370"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4,738,396.00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4,738,396.00</w:t>
            </w:r>
          </w:p>
        </w:tc>
      </w:tr>
      <w:tr>
        <w:trPr>
          <w:trHeight w:val="371"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pacing w:val="-1"/>
                <w:sz w:val="18"/>
              </w:rPr>
              <w:t>14,539,950.76</w:t>
            </w:r>
            <w:r>
              <w:rPr>
                <w:rFonts w:ascii="Times New Roman"/>
                <w:spacing w:val="-1"/>
                <w:sz w:val="18"/>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b/>
                <w:sz w:val="18"/>
              </w:rPr>
              <w:t>314,143.00</w:t>
            </w:r>
            <w:r>
              <w:rPr>
                <w:rFonts w:ascii="Times New Roman"/>
                <w:sz w:val="18"/>
              </w:rPr>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b/>
                <w:spacing w:val="-1"/>
                <w:sz w:val="18"/>
              </w:rPr>
              <w:t>3,091,184.83</w:t>
            </w:r>
            <w:r>
              <w:rPr>
                <w:rFonts w:ascii="Times New Roman"/>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pacing w:val="-1"/>
                <w:w w:val="95"/>
                <w:sz w:val="18"/>
              </w:rPr>
              <w:t>11,762,908.93</w:t>
            </w:r>
            <w:r>
              <w:rPr>
                <w:rFonts w:ascii="Times New Roman"/>
                <w:spacing w:val="-1"/>
                <w:w w:val="95"/>
                <w:sz w:val="18"/>
              </w:rPr>
            </w:r>
          </w:p>
        </w:tc>
      </w:tr>
    </w:tbl>
    <w:p>
      <w:pPr>
        <w:spacing w:line="240" w:lineRule="auto" w:before="6"/>
        <w:rPr>
          <w:rFonts w:ascii="宋体" w:hAnsi="宋体" w:cs="宋体" w:eastAsia="宋体" w:hint="default"/>
          <w:sz w:val="10"/>
          <w:szCs w:val="10"/>
        </w:rPr>
      </w:pPr>
    </w:p>
    <w:p>
      <w:pPr>
        <w:pStyle w:val="BodyText"/>
        <w:spacing w:line="240" w:lineRule="auto" w:before="35"/>
        <w:ind w:left="641" w:right="245"/>
        <w:jc w:val="left"/>
      </w:pPr>
      <w:r>
        <w:rPr/>
        <w:t>（</w:t>
      </w:r>
      <w:r>
        <w:rPr>
          <w:rFonts w:ascii="Times New Roman" w:hAnsi="Times New Roman" w:cs="Times New Roman" w:eastAsia="Times New Roman" w:hint="default"/>
        </w:rPr>
        <w:t>3</w:t>
      </w:r>
      <w:r>
        <w:rPr/>
        <w:t>）存货跌价准备情况</w:t>
      </w:r>
    </w:p>
    <w:p>
      <w:pPr>
        <w:spacing w:line="240" w:lineRule="auto" w:before="5"/>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391"/>
        <w:gridCol w:w="2244"/>
        <w:gridCol w:w="2520"/>
        <w:gridCol w:w="2518"/>
      </w:tblGrid>
      <w:tr>
        <w:trPr>
          <w:trHeight w:val="616" w:hRule="exact"/>
        </w:trPr>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6" w:space="0" w:color="000000"/>
              <w:left w:val="single" w:sz="6" w:space="0" w:color="000000"/>
              <w:bottom w:val="single" w:sz="4" w:space="0" w:color="000000"/>
              <w:right w:val="single" w:sz="6" w:space="0" w:color="000000"/>
            </w:tcBorders>
          </w:tcPr>
          <w:p>
            <w:pPr>
              <w:pStyle w:val="TableParagraph"/>
              <w:spacing w:line="304" w:lineRule="auto" w:before="31"/>
              <w:ind w:left="664" w:right="572" w:hanging="90"/>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31"/>
              <w:ind w:left="800" w:right="533" w:hanging="270"/>
              <w:jc w:val="left"/>
              <w:rPr>
                <w:rFonts w:ascii="宋体" w:hAnsi="宋体" w:cs="宋体" w:eastAsia="宋体" w:hint="default"/>
                <w:sz w:val="18"/>
                <w:szCs w:val="18"/>
              </w:rPr>
            </w:pPr>
            <w:r>
              <w:rPr>
                <w:rFonts w:ascii="宋体" w:hAnsi="宋体" w:cs="宋体" w:eastAsia="宋体" w:hint="default"/>
                <w:sz w:val="18"/>
                <w:szCs w:val="18"/>
              </w:rPr>
              <w:t>本期转回存货跌价 准备的原因</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31"/>
              <w:ind w:left="484" w:right="262"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本期转回金额占该项存货 期末余额的比例</w:t>
            </w:r>
            <w:r>
              <w:rPr>
                <w:rFonts w:ascii="Times New Roman" w:hAnsi="Times New Roman" w:cs="Times New Roman" w:eastAsia="Times New Roman" w:hint="default"/>
                <w:sz w:val="18"/>
                <w:szCs w:val="18"/>
              </w:rPr>
              <w:t>(%)</w:t>
            </w:r>
          </w:p>
        </w:tc>
      </w:tr>
      <w:tr>
        <w:trPr>
          <w:trHeight w:val="614" w:hRule="exact"/>
        </w:trPr>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44" w:type="dxa"/>
            <w:tcBorders>
              <w:top w:val="single" w:sz="4" w:space="0" w:color="000000"/>
              <w:left w:val="single" w:sz="6" w:space="0" w:color="000000"/>
              <w:bottom w:val="single" w:sz="4" w:space="0" w:color="000000"/>
              <w:right w:val="single" w:sz="6" w:space="0" w:color="000000"/>
            </w:tcBorders>
          </w:tcPr>
          <w:p>
            <w:pPr>
              <w:pStyle w:val="TableParagraph"/>
              <w:spacing w:line="304" w:lineRule="auto" w:before="33"/>
              <w:ind w:left="24" w:right="18"/>
              <w:jc w:val="left"/>
              <w:rPr>
                <w:rFonts w:ascii="宋体" w:hAnsi="宋体" w:cs="宋体" w:eastAsia="宋体" w:hint="default"/>
                <w:sz w:val="18"/>
                <w:szCs w:val="18"/>
              </w:rPr>
            </w:pPr>
            <w:r>
              <w:rPr>
                <w:rFonts w:ascii="宋体" w:hAnsi="宋体" w:cs="宋体" w:eastAsia="宋体" w:hint="default"/>
                <w:sz w:val="18"/>
                <w:szCs w:val="18"/>
              </w:rPr>
              <w:t>呆滞物料的可变现净值低于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账面价值部分</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r>
      <w:tr>
        <w:trPr>
          <w:trHeight w:val="616" w:hRule="exact"/>
        </w:trPr>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244" w:type="dxa"/>
            <w:tcBorders>
              <w:top w:val="single" w:sz="4" w:space="0" w:color="000000"/>
              <w:left w:val="single" w:sz="6" w:space="0" w:color="000000"/>
              <w:bottom w:val="single" w:sz="4" w:space="0" w:color="000000"/>
              <w:right w:val="single" w:sz="6" w:space="0" w:color="000000"/>
            </w:tcBorders>
          </w:tcPr>
          <w:p>
            <w:pPr>
              <w:pStyle w:val="TableParagraph"/>
              <w:spacing w:line="304" w:lineRule="auto" w:before="33"/>
              <w:ind w:left="24" w:right="18"/>
              <w:jc w:val="left"/>
              <w:rPr>
                <w:rFonts w:ascii="宋体" w:hAnsi="宋体" w:cs="宋体" w:eastAsia="宋体" w:hint="default"/>
                <w:sz w:val="18"/>
                <w:szCs w:val="18"/>
              </w:rPr>
            </w:pPr>
            <w:r>
              <w:rPr>
                <w:rFonts w:ascii="宋体" w:hAnsi="宋体" w:cs="宋体" w:eastAsia="宋体" w:hint="default"/>
                <w:sz w:val="18"/>
                <w:szCs w:val="18"/>
              </w:rPr>
              <w:t>滞销产品的可变现净值低于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账面价值部分</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r>
      <w:tr>
        <w:trPr>
          <w:trHeight w:val="316" w:hRule="exact"/>
        </w:trPr>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224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Times New Roman" w:hAnsi="Times New Roman" w:cs="Times New Roman" w:eastAsia="Times New Roman" w:hint="default"/>
                <w:sz w:val="18"/>
                <w:szCs w:val="18"/>
              </w:rPr>
            </w:pPr>
            <w:r>
              <w:rPr>
                <w:rFonts w:ascii="Times New Roman"/>
                <w:sz w:val="18"/>
              </w:rPr>
              <w:t>*</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9"/>
          <w:szCs w:val="9"/>
        </w:rPr>
      </w:pPr>
    </w:p>
    <w:p>
      <w:pPr>
        <w:pStyle w:val="BodyText"/>
        <w:spacing w:line="304" w:lineRule="auto" w:before="35"/>
        <w:ind w:left="221" w:right="256" w:firstLine="420"/>
        <w:jc w:val="both"/>
      </w:pPr>
      <w:r>
        <w:rPr>
          <w:rFonts w:ascii="Times New Roman" w:hAnsi="Times New Roman" w:cs="Times New Roman" w:eastAsia="Times New Roman" w:hint="default"/>
        </w:rPr>
        <w:t>* </w:t>
      </w:r>
      <w:r>
        <w:rPr/>
        <w:t>开发成本计提跌价准备说明：</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月，西部房地产有限公司与博罗县通金发展 </w:t>
      </w:r>
      <w:r>
        <w:rPr>
          <w:spacing w:val="-3"/>
        </w:rPr>
        <w:t>有限公司签订《土地使用权转让合同书》，将位于博罗县龙溪镇第二工业大道的工业用地（博</w:t>
      </w:r>
      <w:r>
        <w:rPr>
          <w:spacing w:val="-89"/>
        </w:rPr>
        <w:t> </w:t>
      </w:r>
      <w:r>
        <w:rPr>
          <w:spacing w:val="-89"/>
        </w:rPr>
      </w:r>
      <w:r>
        <w:rPr>
          <w:spacing w:val="-3"/>
        </w:rPr>
        <w:t>罗龙溪土地）转让给对方，土地面积共计</w:t>
      </w:r>
      <w:r>
        <w:rPr>
          <w:spacing w:val="-53"/>
        </w:rPr>
        <w:t> </w:t>
      </w:r>
      <w:r>
        <w:rPr>
          <w:rFonts w:ascii="Times New Roman" w:hAnsi="Times New Roman" w:cs="Times New Roman" w:eastAsia="Times New Roman" w:hint="default"/>
        </w:rPr>
        <w:t>70,616</w:t>
      </w:r>
      <w:r>
        <w:rPr>
          <w:rFonts w:ascii="Times New Roman" w:hAnsi="Times New Roman" w:cs="Times New Roman" w:eastAsia="Times New Roman" w:hint="default"/>
          <w:spacing w:val="1"/>
        </w:rPr>
        <w:t> </w:t>
      </w:r>
      <w:r>
        <w:rPr>
          <w:spacing w:val="-4"/>
        </w:rPr>
        <w:t>㎡，转让价为人民币</w:t>
      </w:r>
      <w:r>
        <w:rPr>
          <w:spacing w:val="-53"/>
        </w:rPr>
        <w:t> </w:t>
      </w:r>
      <w:r>
        <w:rPr>
          <w:rFonts w:ascii="Times New Roman" w:hAnsi="Times New Roman" w:cs="Times New Roman" w:eastAsia="Times New Roman" w:hint="default"/>
        </w:rPr>
        <w:t>3,883,880.00 </w:t>
      </w:r>
      <w:r>
        <w:rPr>
          <w:spacing w:val="-6"/>
        </w:rPr>
        <w:t>元。截止至</w:t>
      </w:r>
    </w:p>
    <w:p>
      <w:pPr>
        <w:pStyle w:val="BodyText"/>
        <w:spacing w:line="297" w:lineRule="auto" w:before="6"/>
        <w:ind w:left="221" w:right="24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日，该项目之转让手续尚未完成，本公司已于以前年度按合同转让价与账面 成本的差额计提跌价准备。</w:t>
      </w:r>
    </w:p>
    <w:p>
      <w:pPr>
        <w:pStyle w:val="BodyText"/>
        <w:spacing w:line="240" w:lineRule="auto" w:before="155"/>
        <w:ind w:left="641" w:right="245"/>
        <w:jc w:val="left"/>
      </w:pPr>
      <w:r>
        <w:rPr/>
        <w:t>（</w:t>
      </w:r>
      <w:r>
        <w:rPr>
          <w:rFonts w:ascii="Times New Roman" w:hAnsi="Times New Roman" w:cs="Times New Roman" w:eastAsia="Times New Roman" w:hint="default"/>
        </w:rPr>
        <w:t>4</w:t>
      </w:r>
      <w:r>
        <w:rPr/>
        <w:t>）完工开发产品</w:t>
      </w:r>
    </w:p>
    <w:p>
      <w:pPr>
        <w:spacing w:line="240" w:lineRule="auto" w:before="3"/>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266"/>
        <w:gridCol w:w="1777"/>
        <w:gridCol w:w="1453"/>
        <w:gridCol w:w="1453"/>
        <w:gridCol w:w="1772"/>
      </w:tblGrid>
      <w:tr>
        <w:trPr>
          <w:trHeight w:val="37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63" w:right="0"/>
              <w:jc w:val="left"/>
              <w:rPr>
                <w:rFonts w:ascii="Times New Roman" w:hAnsi="Times New Roman" w:cs="Times New Roman" w:eastAsia="Times New Roman" w:hint="default"/>
                <w:sz w:val="18"/>
                <w:szCs w:val="18"/>
              </w:rPr>
            </w:pPr>
            <w:r>
              <w:rPr>
                <w:rFonts w:ascii="Times New Roman"/>
                <w:sz w:val="18"/>
              </w:rPr>
              <w:t>2009-12-31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60" w:right="0"/>
              <w:jc w:val="left"/>
              <w:rPr>
                <w:rFonts w:ascii="Times New Roman" w:hAnsi="Times New Roman" w:cs="Times New Roman" w:eastAsia="Times New Roman" w:hint="default"/>
                <w:sz w:val="18"/>
                <w:szCs w:val="18"/>
              </w:rPr>
            </w:pPr>
            <w:r>
              <w:rPr>
                <w:rFonts w:ascii="Times New Roman"/>
                <w:sz w:val="18"/>
              </w:rPr>
              <w:t>2010-12-31</w:t>
            </w:r>
          </w:p>
        </w:tc>
      </w:tr>
      <w:tr>
        <w:trPr>
          <w:trHeight w:val="46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left"/>
              <w:rPr>
                <w:rFonts w:ascii="宋体" w:hAnsi="宋体" w:cs="宋体" w:eastAsia="宋体" w:hint="default"/>
                <w:sz w:val="18"/>
                <w:szCs w:val="18"/>
              </w:rPr>
            </w:pPr>
            <w:r>
              <w:rPr>
                <w:rFonts w:ascii="宋体" w:hAnsi="宋体" w:cs="宋体" w:eastAsia="宋体" w:hint="default"/>
                <w:sz w:val="18"/>
                <w:szCs w:val="18"/>
              </w:rPr>
              <w:t>锦绣花园</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153,095.91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153,095.91</w:t>
            </w:r>
          </w:p>
        </w:tc>
      </w:tr>
      <w:tr>
        <w:trPr>
          <w:trHeight w:val="46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翠湖花园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466,034.15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466,034.15</w:t>
            </w:r>
          </w:p>
        </w:tc>
      </w:tr>
      <w:tr>
        <w:trPr>
          <w:trHeight w:val="37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619,130.06</w:t>
            </w:r>
            <w:r>
              <w:rPr>
                <w:rFonts w:ascii="Times New Roman"/>
                <w:spacing w:val="-1"/>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619,130.06</w:t>
            </w:r>
            <w:r>
              <w:rPr>
                <w:rFonts w:ascii="Times New Roman"/>
                <w:spacing w:val="-1"/>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641" w:right="245"/>
        <w:jc w:val="left"/>
      </w:pPr>
      <w:r>
        <w:rPr/>
        <w:t>（</w:t>
      </w:r>
      <w:r>
        <w:rPr>
          <w:rFonts w:ascii="Times New Roman" w:hAnsi="Times New Roman" w:cs="Times New Roman" w:eastAsia="Times New Roman" w:hint="default"/>
        </w:rPr>
        <w:t>5</w:t>
      </w:r>
      <w:r>
        <w:rPr/>
        <w:t>）开发成本</w:t>
      </w:r>
    </w:p>
    <w:p>
      <w:pPr>
        <w:spacing w:line="240" w:lineRule="auto" w:before="3"/>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198"/>
        <w:gridCol w:w="1705"/>
        <w:gridCol w:w="1381"/>
        <w:gridCol w:w="1735"/>
        <w:gridCol w:w="1702"/>
      </w:tblGrid>
      <w:tr>
        <w:trPr>
          <w:trHeight w:val="371"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27" w:right="0"/>
              <w:jc w:val="left"/>
              <w:rPr>
                <w:rFonts w:ascii="Times New Roman" w:hAnsi="Times New Roman" w:cs="Times New Roman" w:eastAsia="Times New Roman" w:hint="default"/>
                <w:sz w:val="18"/>
                <w:szCs w:val="18"/>
              </w:rPr>
            </w:pPr>
            <w:r>
              <w:rPr>
                <w:rFonts w:ascii="Times New Roman"/>
                <w:sz w:val="18"/>
              </w:rPr>
              <w:t>2009-12-31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26" w:right="0"/>
              <w:jc w:val="left"/>
              <w:rPr>
                <w:rFonts w:ascii="Times New Roman" w:hAnsi="Times New Roman" w:cs="Times New Roman" w:eastAsia="Times New Roman" w:hint="default"/>
                <w:sz w:val="18"/>
                <w:szCs w:val="18"/>
              </w:rPr>
            </w:pPr>
            <w:r>
              <w:rPr>
                <w:rFonts w:ascii="Times New Roman"/>
                <w:sz w:val="18"/>
              </w:rPr>
              <w:t>2010-12-31</w:t>
            </w:r>
          </w:p>
        </w:tc>
      </w:tr>
      <w:tr>
        <w:trPr>
          <w:trHeight w:val="510"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锦翠花园土地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4,292,509.69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4,292,509.69</w:t>
            </w:r>
          </w:p>
        </w:tc>
      </w:tr>
      <w:tr>
        <w:trPr>
          <w:trHeight w:val="510"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博罗龙溪土地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8,622,276.00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8,622,276.00</w:t>
            </w:r>
          </w:p>
        </w:tc>
      </w:tr>
      <w:tr>
        <w:trPr>
          <w:trHeight w:val="510"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华宝城市花园土地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383,792.38</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383,792.38</w:t>
            </w:r>
          </w:p>
        </w:tc>
      </w:tr>
      <w:tr>
        <w:trPr>
          <w:trHeight w:val="370"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13,298,578.07</w:t>
            </w:r>
            <w:r>
              <w:rPr>
                <w:rFonts w:ascii="Times New Roman"/>
                <w:spacing w:val="-1"/>
                <w:sz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13,298,578.07</w:t>
            </w:r>
            <w:r>
              <w:rPr>
                <w:rFonts w:ascii="Times New Roman"/>
                <w:spacing w:val="-1"/>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641" w:right="245"/>
        <w:jc w:val="left"/>
      </w:pPr>
      <w:r>
        <w:rPr/>
        <w:t>上述土地尚未开发。</w:t>
      </w:r>
    </w:p>
    <w:p>
      <w:pPr>
        <w:spacing w:line="240" w:lineRule="auto" w:before="8"/>
        <w:rPr>
          <w:rFonts w:ascii="宋体" w:hAnsi="宋体" w:cs="宋体" w:eastAsia="宋体" w:hint="default"/>
          <w:sz w:val="15"/>
          <w:szCs w:val="15"/>
        </w:rPr>
      </w:pPr>
    </w:p>
    <w:p>
      <w:pPr>
        <w:pStyle w:val="BodyText"/>
        <w:spacing w:line="240" w:lineRule="auto"/>
        <w:ind w:left="641" w:right="245"/>
        <w:jc w:val="left"/>
        <w:rPr>
          <w:rFonts w:ascii="黑体" w:hAnsi="黑体" w:cs="黑体" w:eastAsia="黑体" w:hint="default"/>
        </w:rPr>
      </w:pPr>
      <w:r>
        <w:rPr>
          <w:rFonts w:ascii="Times New Roman" w:hAnsi="Times New Roman" w:cs="Times New Roman" w:eastAsia="Times New Roman" w:hint="default"/>
        </w:rPr>
        <w:t>7. </w:t>
      </w:r>
      <w:r>
        <w:rPr>
          <w:rFonts w:ascii="Times New Roman" w:hAnsi="Times New Roman" w:cs="Times New Roman" w:eastAsia="Times New Roman" w:hint="default"/>
          <w:spacing w:val="36"/>
        </w:rPr>
        <w:t> </w:t>
      </w:r>
      <w:r>
        <w:rPr>
          <w:rFonts w:ascii="黑体" w:hAnsi="黑体" w:cs="黑体" w:eastAsia="黑体" w:hint="default"/>
        </w:rPr>
        <w:t>其它流动资产</w:t>
      </w:r>
    </w:p>
    <w:p>
      <w:pPr>
        <w:spacing w:line="240" w:lineRule="auto" w:before="13"/>
        <w:rPr>
          <w:rFonts w:ascii="黑体" w:hAnsi="黑体" w:cs="黑体" w:eastAsia="黑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768"/>
        <w:gridCol w:w="2576"/>
        <w:gridCol w:w="2377"/>
      </w:tblGrid>
      <w:tr>
        <w:trPr>
          <w:trHeight w:val="370"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8"/>
              <w:jc w:val="center"/>
              <w:rPr>
                <w:rFonts w:ascii="宋体" w:hAnsi="宋体" w:cs="宋体" w:eastAsia="宋体" w:hint="default"/>
                <w:sz w:val="18"/>
                <w:szCs w:val="18"/>
              </w:rPr>
            </w:pPr>
            <w:r>
              <w:rPr>
                <w:rFonts w:ascii="宋体" w:hAnsi="宋体" w:cs="宋体" w:eastAsia="宋体" w:hint="default"/>
                <w:sz w:val="18"/>
                <w:szCs w:val="18"/>
              </w:rPr>
              <w:t>项目</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2010-12-31</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63" w:right="0"/>
              <w:jc w:val="left"/>
              <w:rPr>
                <w:rFonts w:ascii="Times New Roman" w:hAnsi="Times New Roman" w:cs="Times New Roman" w:eastAsia="Times New Roman" w:hint="default"/>
                <w:sz w:val="18"/>
                <w:szCs w:val="18"/>
              </w:rPr>
            </w:pPr>
            <w:r>
              <w:rPr>
                <w:rFonts w:ascii="Times New Roman"/>
                <w:sz w:val="18"/>
              </w:rPr>
              <w:t>2009-12-31</w:t>
            </w:r>
          </w:p>
        </w:tc>
      </w:tr>
      <w:tr>
        <w:trPr>
          <w:trHeight w:val="371"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杨贝工业区土地</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z w:val="18"/>
              </w:rPr>
              <w:t>703,738.57</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703,738.57</w:t>
            </w:r>
          </w:p>
        </w:tc>
      </w:tr>
      <w:tr>
        <w:trPr>
          <w:trHeight w:val="370" w:hRule="exact"/>
        </w:trPr>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b/>
                <w:sz w:val="18"/>
              </w:rPr>
              <w:t>703,738.57</w:t>
            </w:r>
            <w:r>
              <w:rPr>
                <w:rFonts w:ascii="Times New Roman"/>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z w:val="18"/>
              </w:rPr>
              <w:t>703,738.57</w:t>
            </w:r>
            <w:r>
              <w:rPr>
                <w:rFonts w:ascii="Times New Roman"/>
                <w:sz w:val="18"/>
              </w:rPr>
            </w:r>
          </w:p>
        </w:tc>
      </w:tr>
    </w:tbl>
    <w:p>
      <w:pPr>
        <w:spacing w:line="240" w:lineRule="auto" w:before="10"/>
        <w:rPr>
          <w:rFonts w:ascii="黑体" w:hAnsi="黑体" w:cs="黑体" w:eastAsia="黑体" w:hint="default"/>
          <w:sz w:val="9"/>
          <w:szCs w:val="9"/>
        </w:rPr>
      </w:pPr>
    </w:p>
    <w:p>
      <w:pPr>
        <w:pStyle w:val="BodyText"/>
        <w:spacing w:line="240" w:lineRule="auto" w:before="35"/>
        <w:ind w:left="641" w:right="137"/>
        <w:jc w:val="left"/>
      </w:pPr>
      <w:r>
        <w:rPr/>
        <w:t>“杨贝工业区土地</w:t>
      </w:r>
      <w:r>
        <w:rPr>
          <w:spacing w:val="-108"/>
        </w:rPr>
        <w:t>”</w:t>
      </w:r>
      <w:r>
        <w:rPr/>
        <w:t>（</w:t>
      </w:r>
      <w:r>
        <w:rPr>
          <w:rFonts w:ascii="Times New Roman" w:hAnsi="Times New Roman" w:cs="Times New Roman" w:eastAsia="Times New Roman" w:hint="default"/>
          <w:spacing w:val="-1"/>
        </w:rPr>
        <w:t>A1</w:t>
      </w:r>
      <w:r>
        <w:rPr>
          <w:rFonts w:ascii="Times New Roman" w:hAnsi="Times New Roman" w:cs="Times New Roman" w:eastAsia="Times New Roman" w:hint="default"/>
        </w:rPr>
        <w:t>21</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t>号</w:t>
      </w:r>
      <w:r>
        <w:rPr>
          <w:spacing w:val="-2"/>
        </w:rPr>
        <w:t>宗</w:t>
      </w:r>
      <w:r>
        <w:rPr/>
        <w:t>地</w:t>
      </w:r>
      <w:r>
        <w:rPr>
          <w:spacing w:val="-4"/>
        </w:rPr>
        <w:t>，</w:t>
      </w:r>
      <w:r>
        <w:rPr/>
        <w:t>面积为</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6</w:t>
      </w:r>
      <w:r>
        <w:rPr>
          <w:rFonts w:ascii="Times New Roman" w:hAnsi="Times New Roman" w:cs="Times New Roman" w:eastAsia="Times New Roman" w:hint="default"/>
          <w:spacing w:val="-1"/>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w:t>
      </w:r>
      <w:r>
        <w:rPr>
          <w:spacing w:val="-5"/>
        </w:rPr>
        <w:t>）</w:t>
      </w:r>
      <w:r>
        <w:rPr/>
        <w:t>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w:t>
      </w:r>
      <w:r>
        <w:rPr>
          <w:spacing w:val="-2"/>
        </w:rPr>
        <w:t>度</w:t>
      </w:r>
      <w:r>
        <w:rPr/>
        <w:t>被深圳市中级</w:t>
      </w:r>
    </w:p>
    <w:p>
      <w:pPr>
        <w:pStyle w:val="BodyText"/>
        <w:spacing w:line="297" w:lineRule="auto" w:before="69"/>
        <w:ind w:left="221" w:right="137"/>
        <w:jc w:val="left"/>
      </w:pPr>
      <w:r>
        <w:rPr/>
        <w:t>人民法院委托深圳市土地房产交易中心拍卖，以人民币</w:t>
      </w:r>
      <w:r>
        <w:rPr>
          <w:spacing w:val="-55"/>
        </w:rPr>
        <w:t> </w:t>
      </w:r>
      <w:r>
        <w:rPr>
          <w:rFonts w:ascii="Times New Roman" w:hAnsi="Times New Roman" w:cs="Times New Roman" w:eastAsia="Times New Roman" w:hint="default"/>
        </w:rPr>
        <w:t>298</w:t>
      </w:r>
      <w:r>
        <w:rPr>
          <w:rFonts w:ascii="Times New Roman" w:hAnsi="Times New Roman" w:cs="Times New Roman" w:eastAsia="Times New Roman" w:hint="default"/>
          <w:spacing w:val="-2"/>
        </w:rPr>
        <w:t> </w:t>
      </w:r>
      <w:r>
        <w:rPr/>
        <w:t>万元成交，因公司未收到拍卖款， 故未结转账面成本。</w:t>
      </w:r>
    </w:p>
    <w:p>
      <w:pPr>
        <w:spacing w:after="0" w:line="297" w:lineRule="auto"/>
        <w:jc w:val="left"/>
        <w:sectPr>
          <w:pgSz w:w="11910" w:h="16840"/>
          <w:pgMar w:header="963" w:footer="893" w:top="1200" w:bottom="1080" w:left="1480" w:right="1440"/>
        </w:sectPr>
      </w:pPr>
    </w:p>
    <w:p>
      <w:pPr>
        <w:tabs>
          <w:tab w:pos="9852" w:val="left" w:leader="none"/>
        </w:tabs>
        <w:spacing w:before="22"/>
        <w:ind w:left="3283"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3" w:right="0" w:firstLine="0"/>
        <w:rPr>
          <w:rFonts w:ascii="宋体" w:hAnsi="宋体" w:cs="宋体" w:eastAsia="宋体" w:hint="default"/>
          <w:sz w:val="2"/>
          <w:szCs w:val="2"/>
        </w:rPr>
      </w:pPr>
      <w:r>
        <w:rPr>
          <w:rFonts w:ascii="宋体" w:hAnsi="宋体" w:cs="宋体" w:eastAsia="宋体" w:hint="default"/>
          <w:sz w:val="2"/>
          <w:szCs w:val="2"/>
        </w:rPr>
        <w:pict>
          <v:group style="width:703.7pt;height:.5pt;mso-position-horizontal-relative:char;mso-position-vertical-relative:line" coordorigin="0,0" coordsize="14074,10">
            <v:group style="position:absolute;left:5;top:5;width:14064;height:2" coordorigin="5,5" coordsize="14064,2">
              <v:shape style="position:absolute;left:5;top:5;width:14064;height:2" coordorigin="5,5" coordsize="14064,0" path="m5,5l1406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5"/>
        <w:ind w:left="638" w:right="0"/>
        <w:jc w:val="left"/>
        <w:rPr>
          <w:rFonts w:ascii="黑体" w:hAnsi="黑体" w:cs="黑体" w:eastAsia="黑体" w:hint="default"/>
        </w:rPr>
      </w:pPr>
      <w:r>
        <w:rPr>
          <w:rFonts w:ascii="Times New Roman" w:hAnsi="Times New Roman" w:cs="Times New Roman" w:eastAsia="Times New Roman" w:hint="default"/>
        </w:rPr>
        <w:t>8. </w:t>
      </w:r>
      <w:r>
        <w:rPr>
          <w:rFonts w:ascii="Times New Roman" w:hAnsi="Times New Roman" w:cs="Times New Roman" w:eastAsia="Times New Roman" w:hint="default"/>
          <w:spacing w:val="36"/>
        </w:rPr>
        <w:t> </w:t>
      </w:r>
      <w:r>
        <w:rPr>
          <w:rFonts w:ascii="黑体" w:hAnsi="黑体" w:cs="黑体" w:eastAsia="黑体" w:hint="default"/>
        </w:rPr>
        <w:t>长期股权投资</w:t>
      </w:r>
    </w:p>
    <w:p>
      <w:pPr>
        <w:spacing w:line="240" w:lineRule="auto" w:before="1"/>
        <w:rPr>
          <w:rFonts w:ascii="黑体" w:hAnsi="黑体" w:cs="黑体" w:eastAsia="黑体" w:hint="default"/>
          <w:sz w:val="22"/>
          <w:szCs w:val="22"/>
        </w:rPr>
      </w:pPr>
    </w:p>
    <w:p>
      <w:pPr>
        <w:pStyle w:val="BodyText"/>
        <w:spacing w:line="240" w:lineRule="auto"/>
        <w:ind w:left="638" w:right="0"/>
        <w:jc w:val="left"/>
      </w:pPr>
      <w:r>
        <w:rPr/>
        <w:t>（</w:t>
      </w:r>
      <w:r>
        <w:rPr>
          <w:rFonts w:ascii="Times New Roman" w:hAnsi="Times New Roman" w:cs="Times New Roman" w:eastAsia="Times New Roman" w:hint="default"/>
        </w:rPr>
        <w:t>1</w:t>
      </w:r>
      <w:r>
        <w:rPr/>
        <w:t>）长期股权投资情况</w:t>
      </w:r>
    </w:p>
    <w:p>
      <w:pPr>
        <w:spacing w:line="240" w:lineRule="auto" w:before="5"/>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728"/>
        <w:gridCol w:w="900"/>
        <w:gridCol w:w="1440"/>
        <w:gridCol w:w="1444"/>
        <w:gridCol w:w="1260"/>
        <w:gridCol w:w="1715"/>
        <w:gridCol w:w="1103"/>
        <w:gridCol w:w="1080"/>
        <w:gridCol w:w="1414"/>
        <w:gridCol w:w="1260"/>
        <w:gridCol w:w="746"/>
      </w:tblGrid>
      <w:tr>
        <w:trPr>
          <w:trHeight w:val="97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265" w:right="263"/>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2009-12-31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445" w:right="11" w:hanging="342"/>
              <w:jc w:val="left"/>
              <w:rPr>
                <w:rFonts w:ascii="宋体" w:hAnsi="宋体" w:cs="宋体" w:eastAsia="宋体" w:hint="default"/>
                <w:sz w:val="18"/>
                <w:szCs w:val="18"/>
              </w:rPr>
            </w:pPr>
            <w:r>
              <w:rPr>
                <w:rFonts w:ascii="宋体" w:hAnsi="宋体" w:cs="宋体" w:eastAsia="宋体" w:hint="default"/>
                <w:spacing w:val="-14"/>
                <w:sz w:val="18"/>
                <w:szCs w:val="18"/>
              </w:rPr>
              <w:t>增（</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）减（</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2010-12-31</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86" w:right="185"/>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75" w:right="173"/>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4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355" w:right="172"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88" w:right="186"/>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6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13"/>
              <w:jc w:val="left"/>
              <w:rPr>
                <w:rFonts w:ascii="宋体" w:hAnsi="宋体" w:cs="宋体" w:eastAsia="宋体" w:hint="default"/>
                <w:sz w:val="18"/>
                <w:szCs w:val="18"/>
              </w:rPr>
            </w:pPr>
            <w:r>
              <w:rPr>
                <w:rFonts w:ascii="宋体" w:hAnsi="宋体" w:cs="宋体" w:eastAsia="宋体" w:hint="default"/>
                <w:spacing w:val="7"/>
                <w:sz w:val="18"/>
                <w:szCs w:val="18"/>
              </w:rPr>
              <w:t>深圳市天极光电实 </w:t>
            </w:r>
            <w:r>
              <w:rPr>
                <w:rFonts w:ascii="宋体" w:hAnsi="宋体" w:cs="宋体" w:eastAsia="宋体" w:hint="default"/>
                <w:sz w:val="18"/>
                <w:szCs w:val="18"/>
              </w:rPr>
              <w:t>业股份有限公司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20,250,000.00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20,250,000.00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20,250,000.00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5.03%</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5.03%</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20,250,000.00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6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22" w:right="115" w:hanging="11"/>
              <w:jc w:val="left"/>
              <w:rPr>
                <w:rFonts w:ascii="宋体" w:hAnsi="宋体" w:cs="宋体" w:eastAsia="宋体" w:hint="default"/>
                <w:sz w:val="18"/>
                <w:szCs w:val="18"/>
              </w:rPr>
            </w:pPr>
            <w:r>
              <w:rPr>
                <w:rFonts w:ascii="宋体" w:hAnsi="宋体" w:cs="宋体" w:eastAsia="宋体" w:hint="default"/>
                <w:spacing w:val="6"/>
                <w:sz w:val="18"/>
                <w:szCs w:val="18"/>
              </w:rPr>
              <w:t>深圳市华宝进出口 </w:t>
            </w: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50,000.00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50,000.00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r>
      <w:tr>
        <w:trPr>
          <w:trHeight w:val="6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22" w:right="115" w:hanging="1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深圳泰丰宽带技术 </w:t>
            </w:r>
            <w:r>
              <w:rPr>
                <w:rFonts w:ascii="宋体" w:hAnsi="宋体" w:cs="宋体" w:eastAsia="宋体" w:hint="default"/>
                <w:sz w:val="18"/>
                <w:szCs w:val="18"/>
              </w:rPr>
              <w:t>有限公司  </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5,359,794.05</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5,359,794.05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5,359,794.05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5,359,794.05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6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22" w:right="115" w:hanging="1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深圳市中委农业投 </w:t>
            </w:r>
            <w:r>
              <w:rPr>
                <w:rFonts w:ascii="宋体" w:hAnsi="宋体" w:cs="宋体" w:eastAsia="宋体" w:hint="default"/>
                <w:sz w:val="18"/>
                <w:szCs w:val="18"/>
              </w:rPr>
              <w:t>资有限公司  </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40,000,000.00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27,938,510.30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pacing w:val="-1"/>
                <w:sz w:val="18"/>
              </w:rPr>
              <w:t>27,938,510.30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27,938,510.30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6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22" w:right="115" w:hanging="11"/>
              <w:jc w:val="left"/>
              <w:rPr>
                <w:rFonts w:ascii="宋体" w:hAnsi="宋体" w:cs="宋体" w:eastAsia="宋体" w:hint="default"/>
                <w:sz w:val="18"/>
                <w:szCs w:val="18"/>
              </w:rPr>
            </w:pPr>
            <w:r>
              <w:rPr>
                <w:rFonts w:ascii="宋体" w:hAnsi="宋体" w:cs="宋体" w:eastAsia="宋体" w:hint="default"/>
                <w:spacing w:val="6"/>
                <w:sz w:val="18"/>
                <w:szCs w:val="18"/>
              </w:rPr>
              <w:t>深圳市泰丰通讯电 </w:t>
            </w:r>
            <w:r>
              <w:rPr>
                <w:rFonts w:ascii="宋体" w:hAnsi="宋体" w:cs="宋体" w:eastAsia="宋体" w:hint="default"/>
                <w:sz w:val="18"/>
                <w:szCs w:val="18"/>
              </w:rPr>
              <w:t>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37,007,471.37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37,007,471.37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37,007,471.37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b/>
                <w:spacing w:val="-1"/>
                <w:sz w:val="18"/>
              </w:rPr>
              <w:t>100,659,794.05</w:t>
            </w:r>
            <w:r>
              <w:rPr>
                <w:rFonts w:ascii="Times New Roman"/>
                <w:spacing w:val="-1"/>
                <w:sz w:val="18"/>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90,605,775.72</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right="101"/>
              <w:jc w:val="right"/>
              <w:rPr>
                <w:rFonts w:ascii="Times New Roman" w:hAnsi="Times New Roman" w:cs="Times New Roman" w:eastAsia="Times New Roman" w:hint="default"/>
                <w:sz w:val="28"/>
                <w:szCs w:val="28"/>
              </w:rPr>
            </w:pPr>
            <w:r>
              <w:rPr>
                <w:rFonts w:ascii="Times New Roman"/>
                <w:w w:val="95"/>
                <w:sz w:val="28"/>
              </w:rPr>
              <w:t>--</w:t>
            </w:r>
            <w:r>
              <w:rPr>
                <w:rFonts w:ascii="Times New Roman"/>
                <w:sz w:val="28"/>
              </w:rPr>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90,605,775.72</w:t>
            </w:r>
            <w:r>
              <w:rPr>
                <w:rFonts w:ascii="Times New Roman"/>
                <w:spacing w:val="-1"/>
                <w:sz w:val="18"/>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90,555,775.72</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12"/>
        <w:rPr>
          <w:rFonts w:ascii="宋体" w:hAnsi="宋体" w:cs="宋体" w:eastAsia="宋体" w:hint="default"/>
          <w:sz w:val="15"/>
          <w:szCs w:val="15"/>
        </w:rPr>
      </w:pPr>
    </w:p>
    <w:p>
      <w:pPr>
        <w:pStyle w:val="BodyText"/>
        <w:tabs>
          <w:tab w:pos="953" w:val="left" w:leader="none"/>
        </w:tabs>
        <w:spacing w:line="240" w:lineRule="auto" w:before="35"/>
        <w:ind w:left="638" w:right="0"/>
        <w:jc w:val="left"/>
      </w:pPr>
      <w:r>
        <w:rPr>
          <w:rFonts w:ascii="Times New Roman" w:hAnsi="Times New Roman" w:cs="Times New Roman" w:eastAsia="Times New Roman" w:hint="default"/>
        </w:rPr>
        <w:t>*</w:t>
        <w:tab/>
      </w:r>
      <w:r>
        <w:rPr/>
        <w:t>该两家公司已停业，本公司对其无重大影响，故用成本法核算。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73"/>
        <w:ind w:left="7095" w:right="7015"/>
        <w:jc w:val="center"/>
        <w:rPr>
          <w:rFonts w:ascii="Times New Roman" w:hAnsi="Times New Roman" w:cs="Times New Roman" w:eastAsia="Times New Roman" w:hint="default"/>
        </w:rPr>
      </w:pPr>
      <w:r>
        <w:rPr>
          <w:rFonts w:ascii="Times New Roman"/>
        </w:rPr>
        <w:t>86</w:t>
      </w:r>
    </w:p>
    <w:p>
      <w:pPr>
        <w:spacing w:after="0" w:line="240" w:lineRule="auto"/>
        <w:jc w:val="center"/>
        <w:rPr>
          <w:rFonts w:ascii="Times New Roman" w:hAnsi="Times New Roman" w:cs="Times New Roman" w:eastAsia="Times New Roman" w:hint="default"/>
        </w:rPr>
        <w:sectPr>
          <w:headerReference w:type="default" r:id="rId40"/>
          <w:footerReference w:type="default" r:id="rId41"/>
          <w:pgSz w:w="16840" w:h="11910" w:orient="landscape"/>
          <w:pgMar w:header="0" w:footer="0" w:top="880" w:bottom="280" w:left="1200" w:right="1280"/>
        </w:sectPr>
      </w:pPr>
    </w:p>
    <w:p>
      <w:pPr>
        <w:spacing w:line="240" w:lineRule="auto" w:before="4"/>
        <w:rPr>
          <w:rFonts w:ascii="Times New Roman" w:hAnsi="Times New Roman" w:cs="Times New Roman" w:eastAsia="Times New Roman" w:hint="default"/>
          <w:sz w:val="3"/>
          <w:szCs w:val="3"/>
        </w:rPr>
      </w:pPr>
    </w:p>
    <w:p>
      <w:pPr>
        <w:spacing w:line="20" w:lineRule="exact"/>
        <w:ind w:left="2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7pt;height:.75pt;mso-position-horizontal-relative:char;mso-position-vertical-relative:line" coordorigin="0,0" coordsize="8814,15">
            <v:group style="position:absolute;left:7;top:7;width:8800;height:2" coordorigin="7,7" coordsize="8800,2">
              <v:shape style="position:absolute;left:7;top:7;width:8800;height:2" coordorigin="7,7" coordsize="8800,0" path="m7,7l88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25"/>
          <w:szCs w:val="25"/>
        </w:rPr>
      </w:pPr>
    </w:p>
    <w:p>
      <w:pPr>
        <w:pStyle w:val="BodyText"/>
        <w:spacing w:line="240" w:lineRule="auto" w:before="35"/>
        <w:ind w:left="721" w:right="209"/>
        <w:jc w:val="left"/>
        <w:rPr>
          <w:rFonts w:ascii="黑体" w:hAnsi="黑体" w:cs="黑体" w:eastAsia="黑体" w:hint="default"/>
        </w:rPr>
      </w:pPr>
      <w:r>
        <w:rPr>
          <w:rFonts w:ascii="Times New Roman" w:hAnsi="Times New Roman" w:cs="Times New Roman" w:eastAsia="Times New Roman" w:hint="default"/>
        </w:rPr>
        <w:t>9. </w:t>
      </w:r>
      <w:r>
        <w:rPr>
          <w:rFonts w:ascii="Times New Roman" w:hAnsi="Times New Roman" w:cs="Times New Roman" w:eastAsia="Times New Roman" w:hint="default"/>
          <w:spacing w:val="36"/>
        </w:rPr>
        <w:t> </w:t>
      </w:r>
      <w:r>
        <w:rPr>
          <w:rFonts w:ascii="黑体" w:hAnsi="黑体" w:cs="黑体" w:eastAsia="黑体" w:hint="default"/>
        </w:rPr>
        <w:t>固定资产及累计折旧</w:t>
      </w:r>
    </w:p>
    <w:p>
      <w:pPr>
        <w:spacing w:line="240" w:lineRule="auto" w:before="9"/>
        <w:rPr>
          <w:rFonts w:ascii="黑体" w:hAnsi="黑体" w:cs="黑体" w:eastAsia="黑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550"/>
        <w:gridCol w:w="1492"/>
        <w:gridCol w:w="1276"/>
        <w:gridCol w:w="1513"/>
        <w:gridCol w:w="1969"/>
      </w:tblGrid>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0" w:right="0"/>
              <w:jc w:val="left"/>
              <w:rPr>
                <w:rFonts w:ascii="Times New Roman" w:hAnsi="Times New Roman" w:cs="Times New Roman" w:eastAsia="Times New Roman" w:hint="default"/>
                <w:sz w:val="18"/>
                <w:szCs w:val="18"/>
              </w:rPr>
            </w:pPr>
            <w:r>
              <w:rPr>
                <w:rFonts w:ascii="Times New Roman"/>
                <w:sz w:val="18"/>
              </w:rPr>
              <w:t>2009-12-31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59" w:right="0"/>
              <w:jc w:val="left"/>
              <w:rPr>
                <w:rFonts w:ascii="Times New Roman" w:hAnsi="Times New Roman" w:cs="Times New Roman" w:eastAsia="Times New Roman" w:hint="default"/>
                <w:sz w:val="18"/>
                <w:szCs w:val="18"/>
              </w:rPr>
            </w:pPr>
            <w:r>
              <w:rPr>
                <w:rFonts w:ascii="Times New Roman"/>
                <w:sz w:val="18"/>
              </w:rPr>
              <w:t>2010-12-31</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166,013,079.41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4,155,311.32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16,346,728.45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153,821,662.28</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7,147,631.82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176,094.20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6,971,537.62</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55,070,825.38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1,295,488.00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2,849,557.33</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53,516,756.05</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84,777,981.43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957,018.77</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2,485,891.25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83,249,108.95</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8,894,925.00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1,311,000.00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3,051,757.00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7,154,168.00</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6,828,128.71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201,511.48</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6,101,604.00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928,036.19</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3,293,587.07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390,293.07</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1,681,824.67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2,002,055.47</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114,773,475.25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3,336,908.90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13,352,895.57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104,757,488.58</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5,784,106.85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87,668.82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170,486.22</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5,701,289.45</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26,047,250.05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1,944,702.89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1,484,181.05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26,507,771.89</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66,633,253.00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753,316.68</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2,299,135.50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65,087,434.18</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7,456,267.20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147,248.66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2,648,671.73</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4,954,844.13</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5,692,831.31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315,349.96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5,229,526.29</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778,654.98</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3,159,766.84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88,621.89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1,520,894.78</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1,727,493.95</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51,239,604.16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49,064,173.70</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1,363,524.97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1,270,248.17</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29,023,575.33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27,008,984.16</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18,144,728.43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18,161,674.77</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1,438,657.80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2,199,323.87</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1,135,297.40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149,381.21</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133,820.23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274,561.52</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12,694,306.02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1,008,959.14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950,700.01</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12,752,565.15</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204,714.25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204,714.25</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11,727,746.59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804,244.89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79,840.78</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12,452,150.70</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71,305.36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71,305.36</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895,254.07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799,553.87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95,700.20</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38,545,298.14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36,311,608.55</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1,363,524.97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1,065,533.92</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29,023,575.33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27,008,984.16</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6,416,981.84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5,709,524.07</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1,367,352.44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2,199,323.87</w:t>
            </w:r>
          </w:p>
        </w:tc>
      </w:tr>
      <w:tr>
        <w:trPr>
          <w:trHeight w:val="349"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240,043.33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53,681.01</w:t>
            </w:r>
          </w:p>
        </w:tc>
      </w:tr>
      <w:tr>
        <w:trPr>
          <w:trHeight w:val="350"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133,820.23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274,561.52</w:t>
            </w:r>
          </w:p>
        </w:tc>
      </w:tr>
    </w:tbl>
    <w:p>
      <w:pPr>
        <w:spacing w:line="240" w:lineRule="auto" w:before="6"/>
        <w:rPr>
          <w:rFonts w:ascii="黑体" w:hAnsi="黑体" w:cs="黑体" w:eastAsia="黑体" w:hint="default"/>
          <w:sz w:val="10"/>
          <w:szCs w:val="10"/>
        </w:rPr>
      </w:pPr>
    </w:p>
    <w:p>
      <w:pPr>
        <w:pStyle w:val="BodyText"/>
        <w:spacing w:line="240" w:lineRule="auto" w:before="35"/>
        <w:ind w:left="721" w:right="209"/>
        <w:jc w:val="left"/>
      </w:pPr>
      <w:r>
        <w:rPr/>
        <w:t>本期折旧额</w:t>
      </w:r>
      <w:r>
        <w:rPr>
          <w:spacing w:val="-56"/>
        </w:rPr>
        <w:t> </w:t>
      </w:r>
      <w:r>
        <w:rPr>
          <w:rFonts w:ascii="Times New Roman" w:hAnsi="Times New Roman" w:cs="Times New Roman" w:eastAsia="Times New Roman" w:hint="default"/>
        </w:rPr>
        <w:t>3,336,908.90</w:t>
      </w:r>
      <w:r>
        <w:rPr>
          <w:rFonts w:ascii="Times New Roman" w:hAnsi="Times New Roman" w:cs="Times New Roman" w:eastAsia="Times New Roman" w:hint="default"/>
          <w:spacing w:val="-4"/>
        </w:rPr>
        <w:t> </w:t>
      </w:r>
      <w:r>
        <w:rPr/>
        <w:t>元。</w:t>
      </w:r>
    </w:p>
    <w:p>
      <w:pPr>
        <w:spacing w:after="0" w:line="240" w:lineRule="auto"/>
        <w:jc w:val="left"/>
        <w:sectPr>
          <w:footerReference w:type="default" r:id="rId42"/>
          <w:pgSz w:w="11910" w:h="16840"/>
          <w:pgMar w:footer="893" w:header="0" w:top="1140" w:bottom="1080" w:left="1400" w:right="1320"/>
          <w:pgNumType w:start="87"/>
        </w:sectPr>
      </w:pPr>
    </w:p>
    <w:p>
      <w:pPr>
        <w:spacing w:line="240" w:lineRule="auto" w:before="6"/>
        <w:rPr>
          <w:rFonts w:ascii="宋体" w:hAnsi="宋体" w:cs="宋体" w:eastAsia="宋体" w:hint="default"/>
          <w:sz w:val="18"/>
          <w:szCs w:val="18"/>
        </w:rPr>
      </w:pPr>
    </w:p>
    <w:p>
      <w:pPr>
        <w:pStyle w:val="BodyText"/>
        <w:spacing w:line="240" w:lineRule="auto" w:before="35"/>
        <w:ind w:left="641" w:right="209"/>
        <w:jc w:val="left"/>
      </w:pPr>
      <w:r>
        <w:rPr/>
        <w:t>本期在建工程完工转入固定资产</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79"/>
        <w:ind w:left="641" w:right="209"/>
        <w:jc w:val="left"/>
        <w:rPr>
          <w:rFonts w:ascii="黑体" w:hAnsi="黑体" w:cs="黑体" w:eastAsia="黑体" w:hint="default"/>
        </w:rPr>
      </w:pP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rFonts w:ascii="黑体" w:hAnsi="黑体" w:cs="黑体" w:eastAsia="黑体" w:hint="default"/>
        </w:rPr>
        <w:t>生产性生物资产</w:t>
      </w:r>
    </w:p>
    <w:p>
      <w:pPr>
        <w:pStyle w:val="BodyText"/>
        <w:spacing w:line="240" w:lineRule="auto" w:before="148"/>
        <w:ind w:left="641" w:right="209"/>
        <w:jc w:val="left"/>
      </w:pPr>
      <w:r>
        <w:rPr/>
        <w:t>（</w:t>
      </w:r>
      <w:r>
        <w:rPr>
          <w:rFonts w:ascii="Times New Roman" w:hAnsi="Times New Roman" w:cs="Times New Roman" w:eastAsia="Times New Roman" w:hint="default"/>
        </w:rPr>
        <w:t>1</w:t>
      </w:r>
      <w:r>
        <w:rPr/>
        <w:t>）以成本计量</w:t>
      </w:r>
    </w:p>
    <w:p>
      <w:pPr>
        <w:spacing w:line="240" w:lineRule="auto" w:before="4"/>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086"/>
        <w:gridCol w:w="1385"/>
        <w:gridCol w:w="1385"/>
        <w:gridCol w:w="1582"/>
        <w:gridCol w:w="1384"/>
      </w:tblGrid>
      <w:tr>
        <w:trPr>
          <w:trHeight w:val="370"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67" w:right="0"/>
              <w:jc w:val="left"/>
              <w:rPr>
                <w:rFonts w:ascii="Times New Roman" w:hAnsi="Times New Roman" w:cs="Times New Roman" w:eastAsia="Times New Roman" w:hint="default"/>
                <w:sz w:val="18"/>
                <w:szCs w:val="18"/>
              </w:rPr>
            </w:pPr>
            <w:r>
              <w:rPr>
                <w:rFonts w:ascii="Times New Roman"/>
                <w:sz w:val="18"/>
              </w:rPr>
              <w:t>2009-12-31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65" w:right="0"/>
              <w:jc w:val="left"/>
              <w:rPr>
                <w:rFonts w:ascii="Times New Roman" w:hAnsi="Times New Roman" w:cs="Times New Roman" w:eastAsia="Times New Roman" w:hint="default"/>
                <w:sz w:val="18"/>
                <w:szCs w:val="18"/>
              </w:rPr>
            </w:pPr>
            <w:r>
              <w:rPr>
                <w:rFonts w:ascii="Times New Roman"/>
                <w:sz w:val="18"/>
              </w:rPr>
              <w:t>2010-12-31</w:t>
            </w:r>
          </w:p>
        </w:tc>
      </w:tr>
      <w:tr>
        <w:trPr>
          <w:trHeight w:val="371"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原值</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636,807.40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1,009,357.65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1,406,326.85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239,838.20</w:t>
            </w:r>
          </w:p>
        </w:tc>
      </w:tr>
      <w:tr>
        <w:trPr>
          <w:trHeight w:val="370"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生产性生物资产累计折旧</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5,660.60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237,000.00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225,950.00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16,710.60</w:t>
            </w:r>
          </w:p>
        </w:tc>
      </w:tr>
      <w:tr>
        <w:trPr>
          <w:trHeight w:val="370"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减：生产性生物资产减值准备</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生产性生物资产账面价值</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631,146.80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772,357.65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1,180,376.85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223,127.60</w:t>
            </w:r>
          </w:p>
        </w:tc>
      </w:tr>
      <w:tr>
        <w:trPr>
          <w:trHeight w:val="425"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631,146.80</w:t>
            </w:r>
            <w:r>
              <w:rPr>
                <w:rFonts w:ascii="Times New Roman"/>
                <w:spacing w:val="-1"/>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z w:val="18"/>
              </w:rPr>
              <w:t>772,357.65</w:t>
            </w:r>
            <w:r>
              <w:rPr>
                <w:rFonts w:ascii="Times New Roman"/>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1,180,376.85</w:t>
            </w:r>
            <w:r>
              <w:rPr>
                <w:rFonts w:ascii="Times New Roman"/>
                <w:spacing w:val="-1"/>
                <w:sz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223,127.60</w:t>
            </w:r>
            <w:r>
              <w:rPr>
                <w:rFonts w:ascii="Times New Roman"/>
                <w:sz w:val="18"/>
              </w:rPr>
            </w:r>
          </w:p>
        </w:tc>
      </w:tr>
    </w:tbl>
    <w:p>
      <w:pPr>
        <w:spacing w:line="240" w:lineRule="auto" w:before="4"/>
        <w:rPr>
          <w:rFonts w:ascii="宋体" w:hAnsi="宋体" w:cs="宋体" w:eastAsia="宋体" w:hint="default"/>
          <w:sz w:val="7"/>
          <w:szCs w:val="7"/>
        </w:rPr>
      </w:pPr>
    </w:p>
    <w:p>
      <w:pPr>
        <w:pStyle w:val="BodyText"/>
        <w:spacing w:line="240" w:lineRule="auto" w:before="35"/>
        <w:ind w:left="641" w:right="209"/>
        <w:jc w:val="left"/>
      </w:pPr>
      <w:r>
        <w:rPr/>
        <w:t>（</w:t>
      </w:r>
      <w:r>
        <w:rPr>
          <w:rFonts w:ascii="Times New Roman" w:hAnsi="Times New Roman" w:cs="Times New Roman" w:eastAsia="Times New Roman" w:hint="default"/>
        </w:rPr>
        <w:t>2</w:t>
      </w:r>
      <w:r>
        <w:rPr/>
        <w:t>）本期增加的生物资产中均为自行培育而增加。</w:t>
      </w:r>
    </w:p>
    <w:p>
      <w:pPr>
        <w:pStyle w:val="BodyText"/>
        <w:spacing w:line="240" w:lineRule="auto" w:before="148"/>
        <w:ind w:left="641" w:right="209"/>
        <w:jc w:val="left"/>
      </w:pPr>
      <w:r>
        <w:rPr/>
        <w:t>（</w:t>
      </w:r>
      <w:r>
        <w:rPr>
          <w:rFonts w:ascii="Times New Roman" w:hAnsi="Times New Roman" w:cs="Times New Roman" w:eastAsia="Times New Roman" w:hint="default"/>
        </w:rPr>
        <w:t>3</w:t>
      </w:r>
      <w:r>
        <w:rPr/>
        <w:t>）本期减少的生物资产中均为因出售而减少。</w:t>
      </w:r>
    </w:p>
    <w:p>
      <w:pPr>
        <w:spacing w:line="240" w:lineRule="auto" w:before="0"/>
        <w:rPr>
          <w:rFonts w:ascii="宋体" w:hAnsi="宋体" w:cs="宋体" w:eastAsia="宋体" w:hint="default"/>
          <w:sz w:val="16"/>
          <w:szCs w:val="16"/>
        </w:rPr>
      </w:pPr>
    </w:p>
    <w:p>
      <w:pPr>
        <w:pStyle w:val="BodyText"/>
        <w:spacing w:line="240" w:lineRule="auto"/>
        <w:ind w:left="641" w:right="209"/>
        <w:jc w:val="left"/>
        <w:rPr>
          <w:rFonts w:ascii="黑体" w:hAnsi="黑体" w:cs="黑体" w:eastAsia="黑体" w:hint="default"/>
        </w:rPr>
      </w:pPr>
      <w:r>
        <w:rPr>
          <w:rFonts w:ascii="Times New Roman" w:hAnsi="Times New Roman" w:cs="Times New Roman" w:eastAsia="Times New Roman" w:hint="default"/>
        </w:rPr>
        <w:t>11.</w:t>
      </w:r>
      <w:r>
        <w:rPr>
          <w:rFonts w:ascii="Times New Roman" w:hAnsi="Times New Roman" w:cs="Times New Roman" w:eastAsia="Times New Roman" w:hint="default"/>
          <w:spacing w:val="-17"/>
        </w:rPr>
        <w:t> </w:t>
      </w:r>
      <w:r>
        <w:rPr>
          <w:rFonts w:ascii="黑体" w:hAnsi="黑体" w:cs="黑体" w:eastAsia="黑体" w:hint="default"/>
        </w:rPr>
        <w:t>无形资产</w:t>
      </w:r>
    </w:p>
    <w:p>
      <w:pPr>
        <w:spacing w:line="240" w:lineRule="auto" w:before="9"/>
        <w:rPr>
          <w:rFonts w:ascii="黑体" w:hAnsi="黑体" w:cs="黑体" w:eastAsia="黑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455"/>
        <w:gridCol w:w="1478"/>
        <w:gridCol w:w="1594"/>
        <w:gridCol w:w="1716"/>
        <w:gridCol w:w="1712"/>
      </w:tblGrid>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14" w:right="0"/>
              <w:jc w:val="left"/>
              <w:rPr>
                <w:rFonts w:ascii="Times New Roman" w:hAnsi="Times New Roman" w:cs="Times New Roman" w:eastAsia="Times New Roman" w:hint="default"/>
                <w:sz w:val="18"/>
                <w:szCs w:val="18"/>
              </w:rPr>
            </w:pPr>
            <w:r>
              <w:rPr>
                <w:rFonts w:ascii="Times New Roman"/>
                <w:sz w:val="18"/>
              </w:rPr>
              <w:t>2009-12-31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29"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32" w:right="0"/>
              <w:jc w:val="left"/>
              <w:rPr>
                <w:rFonts w:ascii="Times New Roman" w:hAnsi="Times New Roman" w:cs="Times New Roman" w:eastAsia="Times New Roman" w:hint="default"/>
                <w:sz w:val="18"/>
                <w:szCs w:val="18"/>
              </w:rPr>
            </w:pPr>
            <w:r>
              <w:rPr>
                <w:rFonts w:ascii="Times New Roman"/>
                <w:b/>
                <w:sz w:val="18"/>
              </w:rPr>
              <w:t>39,304,250.00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2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b/>
                <w:spacing w:val="-1"/>
                <w:sz w:val="18"/>
              </w:rPr>
              <w:t>39,304,250.00</w:t>
            </w:r>
            <w:r>
              <w:rPr>
                <w:rFonts w:ascii="Times New Roman"/>
                <w:spacing w:val="-1"/>
                <w:sz w:val="18"/>
              </w:rPr>
            </w:r>
          </w:p>
        </w:tc>
      </w:tr>
      <w:tr>
        <w:trPr>
          <w:trHeight w:val="371"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8" w:right="0"/>
              <w:jc w:val="left"/>
              <w:rPr>
                <w:rFonts w:ascii="Times New Roman" w:hAnsi="Times New Roman" w:cs="Times New Roman" w:eastAsia="Times New Roman" w:hint="default"/>
                <w:sz w:val="18"/>
                <w:szCs w:val="18"/>
              </w:rPr>
            </w:pPr>
            <w:r>
              <w:rPr>
                <w:rFonts w:ascii="Times New Roman"/>
                <w:sz w:val="18"/>
              </w:rPr>
              <w:t>32,000,000.00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2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24"/>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98" w:right="0"/>
              <w:jc w:val="left"/>
              <w:rPr>
                <w:rFonts w:ascii="Times New Roman" w:hAnsi="Times New Roman" w:cs="Times New Roman" w:eastAsia="Times New Roman" w:hint="default"/>
                <w:sz w:val="18"/>
                <w:szCs w:val="18"/>
              </w:rPr>
            </w:pPr>
            <w:r>
              <w:rPr>
                <w:rFonts w:ascii="Times New Roman"/>
                <w:sz w:val="18"/>
              </w:rPr>
              <w:t>7,304,250.00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2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24"/>
              <w:jc w:val="right"/>
              <w:rPr>
                <w:rFonts w:ascii="Times New Roman" w:hAnsi="Times New Roman" w:cs="Times New Roman" w:eastAsia="Times New Roman" w:hint="default"/>
                <w:sz w:val="18"/>
                <w:szCs w:val="18"/>
              </w:rPr>
            </w:pPr>
            <w:r>
              <w:rPr>
                <w:rFonts w:ascii="Times New Roman"/>
                <w:spacing w:val="-1"/>
                <w:sz w:val="18"/>
              </w:rPr>
              <w:t>7,304,250.00</w:t>
            </w:r>
          </w:p>
        </w:tc>
      </w:tr>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二、累计摊销合计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30" w:right="0"/>
              <w:jc w:val="left"/>
              <w:rPr>
                <w:rFonts w:ascii="Times New Roman" w:hAnsi="Times New Roman" w:cs="Times New Roman" w:eastAsia="Times New Roman" w:hint="default"/>
                <w:sz w:val="18"/>
                <w:szCs w:val="18"/>
              </w:rPr>
            </w:pPr>
            <w:r>
              <w:rPr>
                <w:rFonts w:ascii="Times New Roman"/>
                <w:b/>
                <w:sz w:val="18"/>
              </w:rPr>
              <w:t>20,894,044.14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z w:val="18"/>
              </w:rPr>
              <w:t>125,006.28</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20"/>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pacing w:val="-1"/>
                <w:sz w:val="18"/>
              </w:rPr>
              <w:t>21,019,050.42</w:t>
            </w:r>
            <w:r>
              <w:rPr>
                <w:rFonts w:ascii="Times New Roman"/>
                <w:spacing w:val="-1"/>
                <w:sz w:val="18"/>
              </w:rPr>
            </w:r>
          </w:p>
        </w:tc>
      </w:tr>
      <w:tr>
        <w:trPr>
          <w:trHeight w:val="371"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10" w:right="0"/>
              <w:jc w:val="left"/>
              <w:rPr>
                <w:rFonts w:ascii="Times New Roman" w:hAnsi="Times New Roman" w:cs="Times New Roman" w:eastAsia="Times New Roman" w:hint="default"/>
                <w:sz w:val="18"/>
                <w:szCs w:val="18"/>
              </w:rPr>
            </w:pPr>
            <w:r>
              <w:rPr>
                <w:rFonts w:ascii="Times New Roman"/>
                <w:sz w:val="18"/>
              </w:rPr>
              <w:t>17,590,000.00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2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21"/>
              <w:jc w:val="right"/>
              <w:rPr>
                <w:rFonts w:ascii="Times New Roman" w:hAnsi="Times New Roman" w:cs="Times New Roman" w:eastAsia="Times New Roman" w:hint="default"/>
                <w:sz w:val="18"/>
                <w:szCs w:val="18"/>
              </w:rPr>
            </w:pPr>
            <w:r>
              <w:rPr>
                <w:rFonts w:ascii="Times New Roman"/>
                <w:spacing w:val="-1"/>
                <w:sz w:val="18"/>
              </w:rPr>
              <w:t>17,590,000.00</w:t>
            </w:r>
          </w:p>
        </w:tc>
      </w:tr>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20" w:right="0"/>
              <w:jc w:val="left"/>
              <w:rPr>
                <w:rFonts w:ascii="Times New Roman" w:hAnsi="Times New Roman" w:cs="Times New Roman" w:eastAsia="Times New Roman" w:hint="default"/>
                <w:sz w:val="18"/>
                <w:szCs w:val="18"/>
              </w:rPr>
            </w:pPr>
            <w:r>
              <w:rPr>
                <w:rFonts w:ascii="Times New Roman"/>
                <w:sz w:val="18"/>
              </w:rPr>
              <w:t>3,304,044.14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125,006.28</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3,429,050.42</w:t>
            </w:r>
          </w:p>
        </w:tc>
      </w:tr>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三、无形资产账面净值合计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32" w:right="0"/>
              <w:jc w:val="left"/>
              <w:rPr>
                <w:rFonts w:ascii="Times New Roman" w:hAnsi="Times New Roman" w:cs="Times New Roman" w:eastAsia="Times New Roman" w:hint="default"/>
                <w:sz w:val="18"/>
                <w:szCs w:val="18"/>
              </w:rPr>
            </w:pPr>
            <w:r>
              <w:rPr>
                <w:rFonts w:ascii="Times New Roman"/>
                <w:b/>
                <w:sz w:val="18"/>
              </w:rPr>
              <w:t>18,410,205.86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4"/>
              <w:jc w:val="right"/>
              <w:rPr>
                <w:rFonts w:ascii="Times New Roman" w:hAnsi="Times New Roman" w:cs="Times New Roman" w:eastAsia="Times New Roman" w:hint="default"/>
                <w:sz w:val="18"/>
                <w:szCs w:val="18"/>
              </w:rPr>
            </w:pPr>
            <w:r>
              <w:rPr>
                <w:rFonts w:ascii="Times New Roman"/>
                <w:b/>
                <w:spacing w:val="-1"/>
                <w:sz w:val="18"/>
              </w:rPr>
              <w:t>18,285,199.58</w:t>
            </w:r>
            <w:r>
              <w:rPr>
                <w:rFonts w:ascii="Times New Roman"/>
                <w:spacing w:val="-1"/>
                <w:sz w:val="18"/>
              </w:rPr>
            </w:r>
          </w:p>
        </w:tc>
      </w:tr>
      <w:tr>
        <w:trPr>
          <w:trHeight w:val="371"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10" w:right="0"/>
              <w:jc w:val="left"/>
              <w:rPr>
                <w:rFonts w:ascii="Times New Roman" w:hAnsi="Times New Roman" w:cs="Times New Roman" w:eastAsia="Times New Roman" w:hint="default"/>
                <w:sz w:val="18"/>
                <w:szCs w:val="18"/>
              </w:rPr>
            </w:pPr>
            <w:r>
              <w:rPr>
                <w:rFonts w:ascii="Times New Roman"/>
                <w:sz w:val="18"/>
              </w:rPr>
              <w:t>14,410,000.00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22"/>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73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4,000,205.86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3,875,199.58</w:t>
            </w:r>
          </w:p>
        </w:tc>
      </w:tr>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
              <w:jc w:val="right"/>
              <w:rPr>
                <w:rFonts w:ascii="Times New Roman" w:hAnsi="Times New Roman" w:cs="Times New Roman" w:eastAsia="Times New Roman" w:hint="default"/>
                <w:sz w:val="18"/>
                <w:szCs w:val="18"/>
              </w:rPr>
            </w:pPr>
            <w:r>
              <w:rPr>
                <w:rFonts w:ascii="Times New Roman"/>
                <w:b/>
                <w:spacing w:val="-1"/>
                <w:sz w:val="18"/>
              </w:rPr>
              <w:t>14,410,000.00</w:t>
            </w:r>
            <w:r>
              <w:rPr>
                <w:rFonts w:ascii="Times New Roman"/>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7"/>
              <w:jc w:val="right"/>
              <w:rPr>
                <w:rFonts w:ascii="Times New Roman" w:hAnsi="Times New Roman" w:cs="Times New Roman" w:eastAsia="Times New Roman" w:hint="default"/>
                <w:sz w:val="18"/>
                <w:szCs w:val="18"/>
              </w:rPr>
            </w:pPr>
            <w:r>
              <w:rPr>
                <w:rFonts w:ascii="Times New Roman"/>
                <w:b/>
                <w:spacing w:val="-1"/>
                <w:sz w:val="18"/>
              </w:rPr>
              <w:t>14,410,000.00</w:t>
            </w:r>
            <w:r>
              <w:rPr>
                <w:rFonts w:ascii="Times New Roman"/>
                <w:spacing w:val="-1"/>
                <w:sz w:val="18"/>
              </w:rPr>
            </w:r>
          </w:p>
        </w:tc>
      </w:tr>
      <w:tr>
        <w:trPr>
          <w:trHeight w:val="371"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5"/>
              <w:jc w:val="right"/>
              <w:rPr>
                <w:rFonts w:ascii="Times New Roman" w:hAnsi="Times New Roman" w:cs="Times New Roman" w:eastAsia="Times New Roman" w:hint="default"/>
                <w:sz w:val="18"/>
                <w:szCs w:val="18"/>
              </w:rPr>
            </w:pPr>
            <w:r>
              <w:rPr>
                <w:rFonts w:ascii="Times New Roman"/>
                <w:spacing w:val="-1"/>
                <w:sz w:val="18"/>
              </w:rPr>
              <w:t>14,410,000.00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7"/>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五、无形资产账面价值合计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22" w:right="0"/>
              <w:jc w:val="left"/>
              <w:rPr>
                <w:rFonts w:ascii="Times New Roman" w:hAnsi="Times New Roman" w:cs="Times New Roman" w:eastAsia="Times New Roman" w:hint="default"/>
                <w:sz w:val="18"/>
                <w:szCs w:val="18"/>
              </w:rPr>
            </w:pPr>
            <w:r>
              <w:rPr>
                <w:rFonts w:ascii="Times New Roman"/>
                <w:b/>
                <w:sz w:val="18"/>
              </w:rPr>
              <w:t>4,000,205.86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b/>
                <w:spacing w:val="-1"/>
                <w:sz w:val="18"/>
              </w:rPr>
              <w:t>3,875,199.58</w:t>
            </w:r>
            <w:r>
              <w:rPr>
                <w:rFonts w:ascii="Times New Roman"/>
                <w:spacing w:val="-1"/>
                <w:sz w:val="18"/>
              </w:rPr>
            </w:r>
          </w:p>
        </w:tc>
      </w:tr>
      <w:tr>
        <w:trPr>
          <w:trHeight w:val="371"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21" w:right="0"/>
              <w:jc w:val="left"/>
              <w:rPr>
                <w:rFonts w:ascii="Times New Roman" w:hAnsi="Times New Roman" w:cs="Times New Roman" w:eastAsia="Times New Roman" w:hint="default"/>
                <w:sz w:val="18"/>
                <w:szCs w:val="18"/>
              </w:rPr>
            </w:pPr>
            <w:r>
              <w:rPr>
                <w:rFonts w:ascii="Times New Roman"/>
                <w:sz w:val="18"/>
              </w:rPr>
              <w:t>4,000,205.86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3,875,199.58</w:t>
            </w:r>
          </w:p>
        </w:tc>
      </w:tr>
    </w:tbl>
    <w:p>
      <w:pPr>
        <w:spacing w:line="240" w:lineRule="auto" w:before="12"/>
        <w:rPr>
          <w:rFonts w:ascii="黑体" w:hAnsi="黑体" w:cs="黑体" w:eastAsia="黑体" w:hint="default"/>
          <w:sz w:val="15"/>
          <w:szCs w:val="15"/>
        </w:rPr>
      </w:pPr>
    </w:p>
    <w:p>
      <w:pPr>
        <w:pStyle w:val="BodyText"/>
        <w:spacing w:line="240" w:lineRule="auto" w:before="35"/>
        <w:ind w:left="641" w:right="209"/>
        <w:jc w:val="left"/>
      </w:pPr>
      <w:r>
        <w:rPr/>
        <w:t>本期摊销额为</w:t>
      </w:r>
      <w:r>
        <w:rPr>
          <w:spacing w:val="-55"/>
        </w:rPr>
        <w:t> </w:t>
      </w:r>
      <w:r>
        <w:rPr>
          <w:rFonts w:ascii="Times New Roman" w:hAnsi="Times New Roman" w:cs="Times New Roman" w:eastAsia="Times New Roman" w:hint="default"/>
        </w:rPr>
        <w:t>125,006.28</w:t>
      </w:r>
      <w:r>
        <w:rPr>
          <w:rFonts w:ascii="Times New Roman" w:hAnsi="Times New Roman" w:cs="Times New Roman" w:eastAsia="Times New Roman" w:hint="default"/>
          <w:spacing w:val="-2"/>
        </w:rPr>
        <w:t> </w:t>
      </w:r>
      <w:r>
        <w:rPr/>
        <w:t>元；</w:t>
      </w:r>
    </w:p>
    <w:p>
      <w:pPr>
        <w:spacing w:after="0" w:line="240" w:lineRule="auto"/>
        <w:jc w:val="left"/>
        <w:sectPr>
          <w:pgSz w:w="11910" w:h="16840"/>
          <w:pgMar w:header="0" w:footer="893" w:top="1140" w:bottom="1080" w:left="1480" w:right="1240"/>
        </w:sectPr>
      </w:pPr>
    </w:p>
    <w:p>
      <w:pPr>
        <w:spacing w:line="240" w:lineRule="auto" w:before="5"/>
        <w:rPr>
          <w:rFonts w:ascii="宋体" w:hAnsi="宋体" w:cs="宋体" w:eastAsia="宋体" w:hint="default"/>
          <w:sz w:val="23"/>
          <w:szCs w:val="23"/>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rFonts w:ascii="黑体" w:hAnsi="黑体" w:cs="黑体" w:eastAsia="黑体" w:hint="default"/>
        </w:rPr>
        <w:t>长期待摊费用</w:t>
      </w:r>
    </w:p>
    <w:p>
      <w:pPr>
        <w:spacing w:line="240" w:lineRule="auto" w:before="10"/>
        <w:rPr>
          <w:rFonts w:ascii="黑体" w:hAnsi="黑体" w:cs="黑体" w:eastAsia="黑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476"/>
        <w:gridCol w:w="1478"/>
        <w:gridCol w:w="1478"/>
        <w:gridCol w:w="1477"/>
        <w:gridCol w:w="1477"/>
        <w:gridCol w:w="1478"/>
      </w:tblGrid>
      <w:tr>
        <w:trPr>
          <w:trHeight w:val="4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2009-12-31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2010-12-31</w:t>
            </w:r>
          </w:p>
        </w:tc>
      </w:tr>
      <w:tr>
        <w:trPr>
          <w:trHeight w:val="4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1,258,423.10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152,875.00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429,779.98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981,518.12</w:t>
            </w:r>
          </w:p>
        </w:tc>
      </w:tr>
      <w:tr>
        <w:trPr>
          <w:trHeight w:val="4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停车场</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90,651.40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30,217.12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60,434.28</w:t>
            </w:r>
          </w:p>
        </w:tc>
      </w:tr>
      <w:tr>
        <w:trPr>
          <w:trHeight w:val="4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饲料生产线</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52,250.00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52,250.00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成品木架款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73,266.68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15,699.96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57,566.72</w:t>
            </w:r>
          </w:p>
        </w:tc>
      </w:tr>
      <w:tr>
        <w:trPr>
          <w:trHeight w:val="4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叉车木价款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59,200.00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59,200.00</w:t>
            </w:r>
          </w:p>
        </w:tc>
      </w:tr>
      <w:tr>
        <w:trPr>
          <w:trHeight w:val="4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变压器安装费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187,000.00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187,000.00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180,000.08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89,999.92</w:t>
            </w:r>
          </w:p>
        </w:tc>
      </w:tr>
      <w:tr>
        <w:trPr>
          <w:trHeight w:val="4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pacing w:val="-1"/>
                <w:sz w:val="18"/>
              </w:rPr>
              <w:t>1,931,591.18</w:t>
            </w:r>
            <w:r>
              <w:rPr>
                <w:rFonts w:ascii="Times New Roman"/>
                <w:spacing w:val="-1"/>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z w:val="18"/>
              </w:rPr>
              <w:t>212,075.00</w:t>
            </w:r>
            <w:r>
              <w:rPr>
                <w:rFonts w:ascii="Times New Roman"/>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z w:val="18"/>
              </w:rPr>
              <w:t>894,947.14</w:t>
            </w:r>
            <w:r>
              <w:rPr>
                <w:rFonts w:ascii="Times New Roman"/>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pacing w:val="-1"/>
                <w:sz w:val="18"/>
              </w:rPr>
              <w:t>1,248,719.04</w:t>
            </w:r>
            <w:r>
              <w:rPr>
                <w:rFonts w:ascii="Times New Roman"/>
                <w:spacing w:val="-1"/>
                <w:sz w:val="18"/>
              </w:rPr>
            </w:r>
          </w:p>
        </w:tc>
      </w:tr>
    </w:tbl>
    <w:p>
      <w:pPr>
        <w:spacing w:line="240" w:lineRule="auto" w:before="11"/>
        <w:rPr>
          <w:rFonts w:ascii="黑体" w:hAnsi="黑体" w:cs="黑体" w:eastAsia="黑体" w:hint="default"/>
          <w:sz w:val="6"/>
          <w:szCs w:val="6"/>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13.</w:t>
      </w:r>
      <w:r>
        <w:rPr>
          <w:rFonts w:ascii="Times New Roman" w:hAnsi="Times New Roman" w:cs="Times New Roman" w:eastAsia="Times New Roman" w:hint="default"/>
          <w:spacing w:val="-17"/>
        </w:rPr>
        <w:t> </w:t>
      </w:r>
      <w:r>
        <w:rPr>
          <w:rFonts w:ascii="黑体" w:hAnsi="黑体" w:cs="黑体" w:eastAsia="黑体" w:hint="default"/>
        </w:rPr>
        <w:t>资产减值准备</w:t>
      </w:r>
    </w:p>
    <w:p>
      <w:pPr>
        <w:spacing w:line="240" w:lineRule="auto" w:before="7"/>
        <w:rPr>
          <w:rFonts w:ascii="黑体" w:hAnsi="黑体" w:cs="黑体" w:eastAsia="黑体" w:hint="default"/>
          <w:sz w:val="6"/>
          <w:szCs w:val="6"/>
        </w:rPr>
      </w:pPr>
    </w:p>
    <w:tbl>
      <w:tblPr>
        <w:tblW w:w="0" w:type="auto"/>
        <w:jc w:val="left"/>
        <w:tblInd w:w="136" w:type="dxa"/>
        <w:tblLayout w:type="fixed"/>
        <w:tblCellMar>
          <w:top w:w="0" w:type="dxa"/>
          <w:left w:w="0" w:type="dxa"/>
          <w:bottom w:w="0" w:type="dxa"/>
          <w:right w:w="0" w:type="dxa"/>
        </w:tblCellMar>
        <w:tblLook w:val="01E0"/>
      </w:tblPr>
      <w:tblGrid>
        <w:gridCol w:w="2461"/>
        <w:gridCol w:w="1388"/>
        <w:gridCol w:w="1204"/>
        <w:gridCol w:w="1202"/>
        <w:gridCol w:w="1204"/>
        <w:gridCol w:w="1388"/>
      </w:tblGrid>
      <w:tr>
        <w:trPr>
          <w:trHeight w:val="470" w:hRule="exact"/>
        </w:trPr>
        <w:tc>
          <w:tcPr>
            <w:tcW w:w="24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2009-12-31</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2010-12-31</w:t>
            </w:r>
          </w:p>
        </w:tc>
      </w:tr>
      <w:tr>
        <w:trPr>
          <w:trHeight w:val="450" w:hRule="exact"/>
        </w:trPr>
        <w:tc>
          <w:tcPr>
            <w:tcW w:w="2461"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388" w:type="dxa"/>
            <w:vMerge/>
            <w:tcBorders>
              <w:left w:val="single" w:sz="4" w:space="0" w:color="000000"/>
              <w:bottom w:val="single" w:sz="4" w:space="0" w:color="000000"/>
              <w:right w:val="single" w:sz="4" w:space="0" w:color="000000"/>
            </w:tcBorders>
          </w:tcPr>
          <w:p>
            <w:pPr/>
          </w:p>
        </w:tc>
      </w:tr>
      <w:tr>
        <w:trPr>
          <w:trHeight w:val="469"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235,810,781.72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6,086,068.28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2,003,361.86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227,721,351.58</w:t>
            </w:r>
          </w:p>
        </w:tc>
      </w:tr>
      <w:tr>
        <w:trPr>
          <w:trHeight w:val="470"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14,539,950.76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314,143.00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3,091,184.83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11,762,908.93</w:t>
            </w:r>
          </w:p>
        </w:tc>
      </w:tr>
      <w:tr>
        <w:trPr>
          <w:trHeight w:val="470"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三、长期股权投资减值准备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90,555,775.72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90,555,775.72</w:t>
            </w:r>
          </w:p>
        </w:tc>
      </w:tr>
      <w:tr>
        <w:trPr>
          <w:trHeight w:val="469"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12,694,306.02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1,008,959.14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950,700.01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12,752,565.15</w:t>
            </w:r>
          </w:p>
        </w:tc>
      </w:tr>
      <w:tr>
        <w:trPr>
          <w:trHeight w:val="470"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五、无形资产减值准备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56"/>
              <w:jc w:val="right"/>
              <w:rPr>
                <w:rFonts w:ascii="Times New Roman" w:hAnsi="Times New Roman" w:cs="Times New Roman" w:eastAsia="Times New Roman" w:hint="default"/>
                <w:sz w:val="18"/>
                <w:szCs w:val="18"/>
              </w:rPr>
            </w:pPr>
            <w:r>
              <w:rPr>
                <w:rFonts w:ascii="Times New Roman"/>
                <w:spacing w:val="-1"/>
                <w:sz w:val="18"/>
              </w:rPr>
              <w:t>14,410,000.00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48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368,010,814.22</w:t>
            </w:r>
            <w:r>
              <w:rPr>
                <w:rFonts w:ascii="Times New Roman"/>
                <w:spacing w:val="-1"/>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1,323,102.14</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6,086,068.28</w:t>
            </w:r>
            <w:r>
              <w:rPr>
                <w:rFonts w:ascii="Times New Roman"/>
                <w:spacing w:val="-1"/>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6,045,246.70</w:t>
            </w:r>
            <w:r>
              <w:rPr>
                <w:rFonts w:ascii="Times New Roman"/>
                <w:spacing w:val="-1"/>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357,202,601.38</w:t>
            </w:r>
            <w:r>
              <w:rPr>
                <w:rFonts w:ascii="Times New Roman"/>
                <w:spacing w:val="-1"/>
                <w:sz w:val="18"/>
              </w:rPr>
            </w:r>
          </w:p>
        </w:tc>
      </w:tr>
    </w:tbl>
    <w:p>
      <w:pPr>
        <w:spacing w:line="240" w:lineRule="auto" w:before="11"/>
        <w:rPr>
          <w:rFonts w:ascii="黑体" w:hAnsi="黑体" w:cs="黑体" w:eastAsia="黑体" w:hint="default"/>
          <w:sz w:val="6"/>
          <w:szCs w:val="6"/>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14.</w:t>
      </w:r>
      <w:r>
        <w:rPr>
          <w:rFonts w:ascii="Times New Roman" w:hAnsi="Times New Roman" w:cs="Times New Roman" w:eastAsia="Times New Roman" w:hint="default"/>
          <w:spacing w:val="-17"/>
        </w:rPr>
        <w:t> </w:t>
      </w:r>
      <w:r>
        <w:rPr>
          <w:rFonts w:ascii="黑体" w:hAnsi="黑体" w:cs="黑体" w:eastAsia="黑体" w:hint="default"/>
        </w:rPr>
        <w:t>短期借款</w:t>
      </w:r>
    </w:p>
    <w:p>
      <w:pPr>
        <w:spacing w:line="240" w:lineRule="auto" w:before="8"/>
        <w:rPr>
          <w:rFonts w:ascii="黑体" w:hAnsi="黑体" w:cs="黑体" w:eastAsia="黑体" w:hint="default"/>
          <w:sz w:val="17"/>
          <w:szCs w:val="17"/>
        </w:rPr>
      </w:pPr>
    </w:p>
    <w:p>
      <w:pPr>
        <w:pStyle w:val="BodyText"/>
        <w:tabs>
          <w:tab w:pos="1401" w:val="left" w:leader="none"/>
        </w:tabs>
        <w:spacing w:line="240" w:lineRule="auto"/>
        <w:ind w:right="0"/>
        <w:jc w:val="left"/>
      </w:pPr>
      <w:r>
        <w:rPr/>
        <w:t>（</w:t>
      </w:r>
      <w:r>
        <w:rPr>
          <w:rFonts w:ascii="Times New Roman" w:hAnsi="Times New Roman" w:cs="Times New Roman" w:eastAsia="Times New Roman" w:hint="default"/>
        </w:rPr>
        <w:t>1</w:t>
      </w:r>
      <w:r>
        <w:rPr/>
        <w:t>）</w:t>
        <w:tab/>
        <w:t>短期借款的分类</w:t>
      </w:r>
    </w:p>
    <w:p>
      <w:pPr>
        <w:spacing w:line="240" w:lineRule="auto" w:before="6"/>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879"/>
        <w:gridCol w:w="1850"/>
        <w:gridCol w:w="1850"/>
        <w:gridCol w:w="1663"/>
        <w:gridCol w:w="1556"/>
      </w:tblGrid>
      <w:tr>
        <w:trPr>
          <w:trHeight w:val="371" w:hRule="exact"/>
        </w:trPr>
        <w:tc>
          <w:tcPr>
            <w:tcW w:w="18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2010-12-31</w:t>
            </w:r>
          </w:p>
        </w:tc>
        <w:tc>
          <w:tcPr>
            <w:tcW w:w="3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1879" w:type="dxa"/>
            <w:vMerge/>
            <w:tcBorders>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8"/>
              <w:jc w:val="center"/>
              <w:rPr>
                <w:rFonts w:ascii="宋体" w:hAnsi="宋体" w:cs="宋体" w:eastAsia="宋体" w:hint="default"/>
                <w:sz w:val="18"/>
                <w:szCs w:val="18"/>
              </w:rPr>
            </w:pPr>
            <w:r>
              <w:rPr>
                <w:rFonts w:ascii="宋体" w:hAnsi="宋体" w:cs="宋体" w:eastAsia="宋体" w:hint="default"/>
                <w:sz w:val="18"/>
                <w:szCs w:val="18"/>
              </w:rPr>
              <w:t>原币</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9"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8"/>
              <w:jc w:val="center"/>
              <w:rPr>
                <w:rFonts w:ascii="宋体" w:hAnsi="宋体" w:cs="宋体" w:eastAsia="宋体" w:hint="default"/>
                <w:sz w:val="18"/>
                <w:szCs w:val="18"/>
              </w:rPr>
            </w:pPr>
            <w:r>
              <w:rPr>
                <w:rFonts w:ascii="宋体" w:hAnsi="宋体" w:cs="宋体" w:eastAsia="宋体" w:hint="default"/>
                <w:sz w:val="18"/>
                <w:szCs w:val="18"/>
              </w:rPr>
              <w:t>原币</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1"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103,412,520.03</w:t>
            </w:r>
          </w:p>
        </w:tc>
      </w:tr>
      <w:tr>
        <w:trPr>
          <w:trHeight w:val="37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w w:val="95"/>
                <w:sz w:val="18"/>
              </w:rPr>
              <w:t>HKD9,910,988.64</w:t>
            </w:r>
            <w:r>
              <w:rPr>
                <w:rFonts w:ascii="Times New Roman"/>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8,726,625.50</w:t>
            </w:r>
          </w:p>
        </w:tc>
      </w:tr>
      <w:tr>
        <w:trPr>
          <w:trHeight w:val="3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USD</w:t>
            </w:r>
            <w:r>
              <w:rPr>
                <w:rFonts w:ascii="Times New Roman"/>
                <w:spacing w:val="-1"/>
                <w:sz w:val="18"/>
              </w:rPr>
              <w:t> </w:t>
            </w:r>
            <w:r>
              <w:rPr>
                <w:rFonts w:ascii="Times New Roman"/>
                <w:sz w:val="18"/>
              </w:rPr>
              <w:t>644,396.39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4,399,938.55</w:t>
            </w:r>
          </w:p>
        </w:tc>
      </w:tr>
      <w:tr>
        <w:trPr>
          <w:trHeight w:val="3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55"/>
              <w:jc w:val="righ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116,539,084.08</w:t>
            </w:r>
          </w:p>
        </w:tc>
      </w:tr>
      <w:tr>
        <w:trPr>
          <w:trHeight w:val="37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押汇借款</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4,260,601.34</w:t>
            </w:r>
          </w:p>
        </w:tc>
      </w:tr>
      <w:tr>
        <w:trPr>
          <w:trHeight w:val="3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押汇借款</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HKD479,431.56</w:t>
            </w:r>
            <w:r>
              <w:rPr>
                <w:rFonts w:ascii="Times New Roman"/>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z w:val="18"/>
              </w:rPr>
              <w:t>422,139.49</w:t>
            </w:r>
          </w:p>
        </w:tc>
      </w:tr>
      <w:tr>
        <w:trPr>
          <w:trHeight w:val="3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押汇借款</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5"/>
                <w:sz w:val="18"/>
              </w:rPr>
              <w:t>USD173,069.16</w:t>
            </w:r>
            <w:r>
              <w:rPr>
                <w:rFonts w:ascii="Times New Roman"/>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1,181,750.84</w:t>
            </w:r>
          </w:p>
        </w:tc>
      </w:tr>
      <w:tr>
        <w:trPr>
          <w:trHeight w:val="37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8"/>
              <w:jc w:val="righ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5,864,491.67</w:t>
            </w:r>
          </w:p>
        </w:tc>
      </w:tr>
      <w:tr>
        <w:trPr>
          <w:trHeight w:val="3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1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pacing w:val="-1"/>
                <w:sz w:val="18"/>
              </w:rPr>
              <w:t>122,403,575.75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560" w:right="1240"/>
        </w:sectPr>
      </w:pPr>
    </w:p>
    <w:p>
      <w:pPr>
        <w:spacing w:line="240" w:lineRule="auto" w:before="1"/>
        <w:rPr>
          <w:rFonts w:ascii="宋体" w:hAnsi="宋体" w:cs="宋体" w:eastAsia="宋体" w:hint="default"/>
          <w:sz w:val="27"/>
          <w:szCs w:val="27"/>
        </w:rPr>
      </w:pPr>
    </w:p>
    <w:p>
      <w:pPr>
        <w:pStyle w:val="BodyText"/>
        <w:spacing w:line="379" w:lineRule="auto" w:before="35"/>
        <w:ind w:left="221" w:right="209" w:firstLine="420"/>
        <w:jc w:val="left"/>
      </w:pPr>
      <w:r>
        <w:rPr/>
        <w:t>期末余额为</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spacing w:val="-3"/>
        </w:rPr>
        <w:t>元，系本公司已按照重整计划规定的偿债率及清偿期限和方式对各债权人的债</w:t>
      </w:r>
      <w:r>
        <w:rPr/>
        <w:t> 权予以清偿完毕。公司重整事项详见附注十。</w:t>
      </w:r>
    </w:p>
    <w:p>
      <w:pPr>
        <w:spacing w:line="240" w:lineRule="auto" w:before="8"/>
        <w:rPr>
          <w:rFonts w:ascii="宋体" w:hAnsi="宋体" w:cs="宋体" w:eastAsia="宋体" w:hint="default"/>
          <w:sz w:val="18"/>
          <w:szCs w:val="18"/>
        </w:rPr>
      </w:pPr>
    </w:p>
    <w:p>
      <w:pPr>
        <w:pStyle w:val="BodyText"/>
        <w:spacing w:line="240" w:lineRule="auto"/>
        <w:ind w:left="641" w:right="209"/>
        <w:jc w:val="left"/>
        <w:rPr>
          <w:rFonts w:ascii="黑体" w:hAnsi="黑体" w:cs="黑体" w:eastAsia="黑体" w:hint="default"/>
        </w:rPr>
      </w:pPr>
      <w:r>
        <w:rPr>
          <w:rFonts w:ascii="Times New Roman" w:hAnsi="Times New Roman" w:cs="Times New Roman" w:eastAsia="Times New Roman" w:hint="default"/>
        </w:rPr>
        <w:t>15.</w:t>
      </w:r>
      <w:r>
        <w:rPr>
          <w:rFonts w:ascii="Times New Roman" w:hAnsi="Times New Roman" w:cs="Times New Roman" w:eastAsia="Times New Roman" w:hint="default"/>
          <w:spacing w:val="-17"/>
        </w:rPr>
        <w:t> </w:t>
      </w:r>
      <w:r>
        <w:rPr>
          <w:rFonts w:ascii="黑体" w:hAnsi="黑体" w:cs="黑体" w:eastAsia="黑体" w:hint="default"/>
        </w:rPr>
        <w:t>应付票据</w:t>
      </w:r>
    </w:p>
    <w:p>
      <w:pPr>
        <w:spacing w:line="240" w:lineRule="auto" w:before="10"/>
        <w:rPr>
          <w:rFonts w:ascii="黑体" w:hAnsi="黑体" w:cs="黑体" w:eastAsia="黑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2896"/>
        <w:gridCol w:w="2977"/>
        <w:gridCol w:w="2977"/>
      </w:tblGrid>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61"/>
              <w:jc w:val="right"/>
              <w:rPr>
                <w:rFonts w:ascii="宋体" w:hAnsi="宋体" w:cs="宋体" w:eastAsia="宋体" w:hint="default"/>
                <w:sz w:val="18"/>
                <w:szCs w:val="18"/>
              </w:rPr>
            </w:pPr>
            <w:r>
              <w:rPr>
                <w:rFonts w:ascii="宋体" w:hAnsi="宋体" w:cs="宋体" w:eastAsia="宋体" w:hint="default"/>
                <w:sz w:val="18"/>
                <w:szCs w:val="18"/>
              </w:rPr>
              <w:t>种类</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2010-12-31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67"/>
              <w:jc w:val="right"/>
              <w:rPr>
                <w:rFonts w:ascii="Times New Roman" w:hAnsi="Times New Roman" w:cs="Times New Roman" w:eastAsia="Times New Roman" w:hint="default"/>
                <w:sz w:val="18"/>
                <w:szCs w:val="18"/>
              </w:rPr>
            </w:pPr>
            <w:r>
              <w:rPr>
                <w:rFonts w:ascii="Times New Roman"/>
                <w:spacing w:val="-1"/>
                <w:sz w:val="18"/>
              </w:rPr>
              <w:t>13,778,749.85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7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6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67"/>
              <w:jc w:val="right"/>
              <w:rPr>
                <w:rFonts w:ascii="Times New Roman" w:hAnsi="Times New Roman" w:cs="Times New Roman" w:eastAsia="Times New Roman" w:hint="default"/>
                <w:sz w:val="18"/>
                <w:szCs w:val="18"/>
              </w:rPr>
            </w:pPr>
            <w:r>
              <w:rPr>
                <w:rFonts w:ascii="Times New Roman"/>
                <w:b/>
                <w:spacing w:val="-1"/>
                <w:sz w:val="18"/>
              </w:rPr>
              <w:t>13,778,749.85</w:t>
            </w:r>
            <w:r>
              <w:rPr>
                <w:rFonts w:ascii="Times New Roman"/>
                <w:spacing w:val="-1"/>
                <w:sz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4,000,000.00</w:t>
            </w:r>
            <w:r>
              <w:rPr>
                <w:rFonts w:ascii="Times New Roman"/>
                <w:spacing w:val="-1"/>
                <w:sz w:val="18"/>
              </w:rPr>
            </w:r>
          </w:p>
        </w:tc>
      </w:tr>
    </w:tbl>
    <w:p>
      <w:pPr>
        <w:spacing w:line="240" w:lineRule="auto" w:before="6"/>
        <w:rPr>
          <w:rFonts w:ascii="黑体" w:hAnsi="黑体" w:cs="黑体" w:eastAsia="黑体" w:hint="default"/>
          <w:sz w:val="20"/>
          <w:szCs w:val="20"/>
        </w:rPr>
      </w:pPr>
    </w:p>
    <w:p>
      <w:pPr>
        <w:pStyle w:val="BodyText"/>
        <w:spacing w:line="240" w:lineRule="auto" w:before="35"/>
        <w:ind w:left="641" w:right="209"/>
        <w:jc w:val="left"/>
        <w:rPr>
          <w:rFonts w:ascii="黑体" w:hAnsi="黑体" w:cs="黑体" w:eastAsia="黑体" w:hint="default"/>
        </w:rPr>
      </w:pPr>
      <w:r>
        <w:rPr>
          <w:rFonts w:ascii="Times New Roman" w:hAnsi="Times New Roman" w:cs="Times New Roman" w:eastAsia="Times New Roman" w:hint="default"/>
        </w:rPr>
        <w:t>16.</w:t>
      </w:r>
      <w:r>
        <w:rPr>
          <w:rFonts w:ascii="Times New Roman" w:hAnsi="Times New Roman" w:cs="Times New Roman" w:eastAsia="Times New Roman" w:hint="default"/>
          <w:spacing w:val="-17"/>
        </w:rPr>
        <w:t> </w:t>
      </w:r>
      <w:r>
        <w:rPr>
          <w:rFonts w:ascii="黑体" w:hAnsi="黑体" w:cs="黑体" w:eastAsia="黑体" w:hint="default"/>
        </w:rPr>
        <w:t>应付账款</w:t>
      </w:r>
    </w:p>
    <w:p>
      <w:pPr>
        <w:spacing w:line="240" w:lineRule="auto" w:before="9"/>
        <w:rPr>
          <w:rFonts w:ascii="黑体" w:hAnsi="黑体" w:cs="黑体" w:eastAsia="黑体" w:hint="default"/>
          <w:sz w:val="12"/>
          <w:szCs w:val="12"/>
        </w:rPr>
      </w:pPr>
    </w:p>
    <w:tbl>
      <w:tblPr>
        <w:tblW w:w="0" w:type="auto"/>
        <w:jc w:val="left"/>
        <w:tblInd w:w="216" w:type="dxa"/>
        <w:tblLayout w:type="fixed"/>
        <w:tblCellMar>
          <w:top w:w="0" w:type="dxa"/>
          <w:left w:w="0" w:type="dxa"/>
          <w:bottom w:w="0" w:type="dxa"/>
          <w:right w:w="0" w:type="dxa"/>
        </w:tblCellMar>
        <w:tblLook w:val="01E0"/>
      </w:tblPr>
      <w:tblGrid>
        <w:gridCol w:w="2878"/>
        <w:gridCol w:w="2987"/>
        <w:gridCol w:w="2983"/>
      </w:tblGrid>
      <w:tr>
        <w:trPr>
          <w:trHeight w:val="37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18"/>
              <w:jc w:val="right"/>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03" w:right="0"/>
              <w:jc w:val="left"/>
              <w:rPr>
                <w:rFonts w:ascii="Times New Roman" w:hAnsi="Times New Roman" w:cs="Times New Roman" w:eastAsia="Times New Roman" w:hint="default"/>
                <w:sz w:val="18"/>
                <w:szCs w:val="18"/>
              </w:rPr>
            </w:pPr>
            <w:r>
              <w:rPr>
                <w:rFonts w:ascii="Times New Roman"/>
                <w:sz w:val="18"/>
              </w:rPr>
              <w:t>2010-12-31</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02" w:right="0"/>
              <w:jc w:val="left"/>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47,380,697.25</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85,793,960.30</w:t>
            </w:r>
          </w:p>
        </w:tc>
      </w:tr>
      <w:tr>
        <w:trPr>
          <w:trHeight w:val="37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7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47,380,697.25</w:t>
            </w:r>
            <w:r>
              <w:rPr>
                <w:rFonts w:ascii="Times New Roman"/>
                <w:spacing w:val="-1"/>
                <w:sz w:val="18"/>
              </w:rPr>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85,793,960.30</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41" w:right="209"/>
        <w:jc w:val="left"/>
      </w:pPr>
      <w:r>
        <w:rPr/>
        <w:t>（</w:t>
      </w:r>
      <w:r>
        <w:rPr>
          <w:rFonts w:ascii="Times New Roman" w:hAnsi="Times New Roman" w:cs="Times New Roman" w:eastAsia="Times New Roman" w:hint="default"/>
        </w:rPr>
        <w:t>1</w:t>
      </w:r>
      <w:r>
        <w:rPr/>
        <w:t>）本报告期应付账款中无应付持有公司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以上表决权股份的股东单位的款项。</w:t>
      </w:r>
    </w:p>
    <w:p>
      <w:pPr>
        <w:spacing w:line="240" w:lineRule="auto" w:before="1"/>
        <w:rPr>
          <w:rFonts w:ascii="宋体" w:hAnsi="宋体" w:cs="宋体" w:eastAsia="宋体" w:hint="default"/>
          <w:sz w:val="22"/>
          <w:szCs w:val="22"/>
        </w:rPr>
      </w:pPr>
    </w:p>
    <w:p>
      <w:pPr>
        <w:pStyle w:val="BodyText"/>
        <w:spacing w:line="240" w:lineRule="auto"/>
        <w:ind w:left="641" w:right="209"/>
        <w:jc w:val="left"/>
      </w:pPr>
      <w:r>
        <w:rPr/>
        <w:t>（</w:t>
      </w:r>
      <w:r>
        <w:rPr>
          <w:rFonts w:ascii="Times New Roman" w:hAnsi="Times New Roman" w:cs="Times New Roman" w:eastAsia="Times New Roman" w:hint="default"/>
        </w:rPr>
        <w:t>2</w:t>
      </w:r>
      <w:r>
        <w:rPr/>
        <w:t>）期末余额中无应付关联方款项。</w:t>
      </w:r>
    </w:p>
    <w:p>
      <w:pPr>
        <w:spacing w:line="240" w:lineRule="auto" w:before="9"/>
        <w:rPr>
          <w:rFonts w:ascii="宋体" w:hAnsi="宋体" w:cs="宋体" w:eastAsia="宋体" w:hint="default"/>
          <w:sz w:val="26"/>
          <w:szCs w:val="26"/>
        </w:rPr>
      </w:pPr>
    </w:p>
    <w:p>
      <w:pPr>
        <w:pStyle w:val="BodyText"/>
        <w:spacing w:line="240" w:lineRule="auto"/>
        <w:ind w:left="641" w:right="209"/>
        <w:jc w:val="left"/>
        <w:rPr>
          <w:rFonts w:ascii="黑体" w:hAnsi="黑体" w:cs="黑体" w:eastAsia="黑体" w:hint="default"/>
        </w:rPr>
      </w:pPr>
      <w:r>
        <w:rPr>
          <w:rFonts w:ascii="Times New Roman" w:hAnsi="Times New Roman" w:cs="Times New Roman" w:eastAsia="Times New Roman" w:hint="default"/>
        </w:rPr>
        <w:t>17.</w:t>
      </w:r>
      <w:r>
        <w:rPr>
          <w:rFonts w:ascii="Times New Roman" w:hAnsi="Times New Roman" w:cs="Times New Roman" w:eastAsia="Times New Roman" w:hint="default"/>
          <w:spacing w:val="-17"/>
        </w:rPr>
        <w:t> </w:t>
      </w:r>
      <w:r>
        <w:rPr>
          <w:rFonts w:ascii="黑体" w:hAnsi="黑体" w:cs="黑体" w:eastAsia="黑体" w:hint="default"/>
        </w:rPr>
        <w:t>预收款项</w:t>
      </w:r>
    </w:p>
    <w:p>
      <w:pPr>
        <w:spacing w:line="240" w:lineRule="auto" w:before="10"/>
        <w:rPr>
          <w:rFonts w:ascii="黑体" w:hAnsi="黑体" w:cs="黑体" w:eastAsia="黑体" w:hint="default"/>
          <w:sz w:val="12"/>
          <w:szCs w:val="12"/>
        </w:rPr>
      </w:pPr>
    </w:p>
    <w:tbl>
      <w:tblPr>
        <w:tblW w:w="0" w:type="auto"/>
        <w:jc w:val="left"/>
        <w:tblInd w:w="216" w:type="dxa"/>
        <w:tblLayout w:type="fixed"/>
        <w:tblCellMar>
          <w:top w:w="0" w:type="dxa"/>
          <w:left w:w="0" w:type="dxa"/>
          <w:bottom w:w="0" w:type="dxa"/>
          <w:right w:w="0" w:type="dxa"/>
        </w:tblCellMar>
        <w:tblLook w:val="01E0"/>
      </w:tblPr>
      <w:tblGrid>
        <w:gridCol w:w="2875"/>
        <w:gridCol w:w="2948"/>
        <w:gridCol w:w="3020"/>
      </w:tblGrid>
      <w:tr>
        <w:trPr>
          <w:trHeight w:val="378"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17"/>
              <w:jc w:val="right"/>
              <w:rPr>
                <w:rFonts w:ascii="宋体" w:hAnsi="宋体" w:cs="宋体" w:eastAsia="宋体" w:hint="default"/>
                <w:sz w:val="18"/>
                <w:szCs w:val="18"/>
              </w:rPr>
            </w:pPr>
            <w:r>
              <w:rPr>
                <w:rFonts w:ascii="宋体" w:hAnsi="宋体" w:cs="宋体" w:eastAsia="宋体" w:hint="default"/>
                <w:sz w:val="18"/>
                <w:szCs w:val="18"/>
              </w:rPr>
              <w:t>项目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83" w:right="0"/>
              <w:jc w:val="left"/>
              <w:rPr>
                <w:rFonts w:ascii="Times New Roman" w:hAnsi="Times New Roman" w:cs="Times New Roman" w:eastAsia="Times New Roman" w:hint="default"/>
                <w:sz w:val="18"/>
                <w:szCs w:val="18"/>
              </w:rPr>
            </w:pPr>
            <w:r>
              <w:rPr>
                <w:rFonts w:ascii="Times New Roman"/>
                <w:sz w:val="18"/>
              </w:rPr>
              <w:t>2010-12-31</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20" w:right="0"/>
              <w:jc w:val="left"/>
              <w:rPr>
                <w:rFonts w:ascii="Times New Roman" w:hAnsi="Times New Roman" w:cs="Times New Roman" w:eastAsia="Times New Roman" w:hint="default"/>
                <w:sz w:val="18"/>
                <w:szCs w:val="18"/>
              </w:rPr>
            </w:pPr>
            <w:r>
              <w:rPr>
                <w:rFonts w:ascii="Times New Roman"/>
                <w:sz w:val="18"/>
              </w:rPr>
              <w:t>2009-12-31</w:t>
            </w:r>
          </w:p>
        </w:tc>
      </w:tr>
      <w:tr>
        <w:trPr>
          <w:trHeight w:val="396"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1"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pacing w:val="-1"/>
                <w:sz w:val="18"/>
              </w:rPr>
              <w:t>4,420,842.39</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4,820,091.76</w:t>
            </w:r>
          </w:p>
        </w:tc>
      </w:tr>
      <w:tr>
        <w:trPr>
          <w:trHeight w:val="395"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1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b/>
                <w:spacing w:val="-1"/>
                <w:sz w:val="18"/>
              </w:rPr>
              <w:t>4,420,842.39</w:t>
            </w:r>
            <w:r>
              <w:rPr>
                <w:rFonts w:ascii="Times New Roman"/>
                <w:spacing w:val="-1"/>
                <w:sz w:val="18"/>
              </w:rPr>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b/>
                <w:spacing w:val="-1"/>
                <w:sz w:val="18"/>
              </w:rPr>
              <w:t>4,820,091.76</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41" w:right="209"/>
        <w:jc w:val="left"/>
      </w:pPr>
      <w:r>
        <w:rPr/>
        <w:t>（</w:t>
      </w:r>
      <w:r>
        <w:rPr>
          <w:rFonts w:ascii="Times New Roman" w:hAnsi="Times New Roman" w:cs="Times New Roman" w:eastAsia="Times New Roman" w:hint="default"/>
        </w:rPr>
        <w:t>1</w:t>
      </w:r>
      <w:r>
        <w:rPr/>
        <w:t>）本报告期预收款项中无预收持有公司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以上表决权股份的股东单位的款项。</w:t>
      </w:r>
    </w:p>
    <w:p>
      <w:pPr>
        <w:spacing w:line="240" w:lineRule="auto" w:before="1"/>
        <w:rPr>
          <w:rFonts w:ascii="宋体" w:hAnsi="宋体" w:cs="宋体" w:eastAsia="宋体" w:hint="default"/>
          <w:sz w:val="22"/>
          <w:szCs w:val="22"/>
        </w:rPr>
      </w:pPr>
    </w:p>
    <w:p>
      <w:pPr>
        <w:pStyle w:val="BodyText"/>
        <w:spacing w:line="240" w:lineRule="auto"/>
        <w:ind w:left="641" w:right="209"/>
        <w:jc w:val="left"/>
      </w:pPr>
      <w:r>
        <w:rPr/>
        <w:t>（</w:t>
      </w:r>
      <w:r>
        <w:rPr>
          <w:rFonts w:ascii="Times New Roman" w:hAnsi="Times New Roman" w:cs="Times New Roman" w:eastAsia="Times New Roman" w:hint="default"/>
        </w:rPr>
        <w:t>2</w:t>
      </w:r>
      <w:r>
        <w:rPr/>
        <w:t>）期末余额中无预收关联方款项。</w:t>
      </w:r>
    </w:p>
    <w:p>
      <w:pPr>
        <w:spacing w:line="240" w:lineRule="auto" w:before="2"/>
        <w:rPr>
          <w:rFonts w:ascii="宋体" w:hAnsi="宋体" w:cs="宋体" w:eastAsia="宋体" w:hint="default"/>
          <w:sz w:val="22"/>
          <w:szCs w:val="22"/>
        </w:rPr>
      </w:pPr>
    </w:p>
    <w:p>
      <w:pPr>
        <w:pStyle w:val="BodyText"/>
        <w:spacing w:line="240" w:lineRule="auto"/>
        <w:ind w:left="641" w:right="209"/>
        <w:jc w:val="left"/>
        <w:rPr>
          <w:rFonts w:ascii="黑体" w:hAnsi="黑体" w:cs="黑体" w:eastAsia="黑体" w:hint="default"/>
        </w:rPr>
      </w:pPr>
      <w:r>
        <w:rPr>
          <w:rFonts w:ascii="Times New Roman" w:hAnsi="Times New Roman" w:cs="Times New Roman" w:eastAsia="Times New Roman" w:hint="default"/>
        </w:rPr>
        <w:t>18.</w:t>
      </w:r>
      <w:r>
        <w:rPr>
          <w:rFonts w:ascii="Times New Roman" w:hAnsi="Times New Roman" w:cs="Times New Roman" w:eastAsia="Times New Roman" w:hint="default"/>
          <w:spacing w:val="-17"/>
        </w:rPr>
        <w:t> </w:t>
      </w:r>
      <w:r>
        <w:rPr>
          <w:rFonts w:ascii="黑体" w:hAnsi="黑体" w:cs="黑体" w:eastAsia="黑体" w:hint="default"/>
        </w:rPr>
        <w:t>应付职工薪酬</w:t>
      </w:r>
    </w:p>
    <w:p>
      <w:pPr>
        <w:spacing w:line="240" w:lineRule="auto" w:before="9"/>
        <w:rPr>
          <w:rFonts w:ascii="黑体" w:hAnsi="黑体" w:cs="黑体" w:eastAsia="黑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895"/>
        <w:gridCol w:w="1296"/>
        <w:gridCol w:w="1409"/>
        <w:gridCol w:w="1410"/>
        <w:gridCol w:w="1307"/>
        <w:gridCol w:w="1633"/>
      </w:tblGrid>
      <w:tr>
        <w:trPr>
          <w:trHeight w:val="376"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3" w:right="0"/>
              <w:jc w:val="left"/>
              <w:rPr>
                <w:rFonts w:ascii="Times New Roman" w:hAnsi="Times New Roman" w:cs="Times New Roman" w:eastAsia="Times New Roman" w:hint="default"/>
                <w:sz w:val="18"/>
                <w:szCs w:val="18"/>
              </w:rPr>
            </w:pPr>
            <w:r>
              <w:rPr>
                <w:rFonts w:ascii="Times New Roman"/>
                <w:sz w:val="18"/>
              </w:rPr>
              <w:t>2009-12-31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8" w:right="0"/>
              <w:jc w:val="left"/>
              <w:rPr>
                <w:rFonts w:ascii="Times New Roman" w:hAnsi="Times New Roman" w:cs="Times New Roman" w:eastAsia="Times New Roman" w:hint="default"/>
                <w:sz w:val="18"/>
                <w:szCs w:val="18"/>
              </w:rPr>
            </w:pPr>
            <w:r>
              <w:rPr>
                <w:rFonts w:ascii="Times New Roman"/>
                <w:sz w:val="18"/>
              </w:rPr>
              <w:t>2010-12-31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2" w:right="0"/>
              <w:jc w:val="left"/>
              <w:rPr>
                <w:rFonts w:ascii="宋体" w:hAnsi="宋体" w:cs="宋体" w:eastAsia="宋体" w:hint="default"/>
                <w:sz w:val="18"/>
                <w:szCs w:val="18"/>
              </w:rPr>
            </w:pPr>
            <w:r>
              <w:rPr>
                <w:rFonts w:ascii="宋体" w:hAnsi="宋体" w:cs="宋体" w:eastAsia="宋体" w:hint="default"/>
                <w:sz w:val="18"/>
                <w:szCs w:val="18"/>
              </w:rPr>
              <w:t>预计发放时间</w:t>
            </w:r>
          </w:p>
        </w:tc>
      </w:tr>
      <w:tr>
        <w:trPr>
          <w:trHeight w:val="620"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93"/>
              <w:jc w:val="left"/>
              <w:rPr>
                <w:rFonts w:ascii="宋体" w:hAnsi="宋体" w:cs="宋体" w:eastAsia="宋体" w:hint="default"/>
                <w:sz w:val="18"/>
                <w:szCs w:val="18"/>
              </w:rPr>
            </w:pPr>
            <w:r>
              <w:rPr>
                <w:rFonts w:ascii="宋体" w:hAnsi="宋体" w:cs="宋体" w:eastAsia="宋体" w:hint="default"/>
                <w:spacing w:val="7"/>
                <w:sz w:val="18"/>
                <w:szCs w:val="18"/>
              </w:rPr>
              <w:t>一、工资、奖金、津 </w:t>
            </w:r>
            <w:r>
              <w:rPr>
                <w:rFonts w:ascii="宋体" w:hAnsi="宋体" w:cs="宋体" w:eastAsia="宋体" w:hint="default"/>
                <w:sz w:val="18"/>
                <w:szCs w:val="18"/>
              </w:rPr>
              <w:t>贴和补贴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6,167,479.18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35,271,062.15</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36,334,444.78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5,104,096.55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r>
      <w:tr>
        <w:trPr>
          <w:trHeight w:val="370"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1,983,142.09</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1,983,142.09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1,506,783.32</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1,506,783.32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619"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93"/>
              <w:jc w:val="left"/>
              <w:rPr>
                <w:rFonts w:ascii="宋体" w:hAnsi="宋体" w:cs="宋体" w:eastAsia="宋体" w:hint="default"/>
                <w:sz w:val="18"/>
                <w:szCs w:val="18"/>
              </w:rPr>
            </w:pPr>
            <w:r>
              <w:rPr>
                <w:rFonts w:ascii="宋体" w:hAnsi="宋体" w:cs="宋体" w:eastAsia="宋体" w:hint="default"/>
                <w:spacing w:val="7"/>
                <w:sz w:val="18"/>
                <w:szCs w:val="18"/>
              </w:rPr>
              <w:t>四、工会经费和职工 </w:t>
            </w:r>
            <w:r>
              <w:rPr>
                <w:rFonts w:ascii="宋体" w:hAnsi="宋体" w:cs="宋体" w:eastAsia="宋体" w:hint="default"/>
                <w:sz w:val="18"/>
                <w:szCs w:val="18"/>
              </w:rPr>
              <w:t>教育经费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1,712,219.03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510,946.00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467,823.84</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1,755,341.19</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93"/>
              <w:jc w:val="left"/>
              <w:rPr>
                <w:rFonts w:ascii="宋体" w:hAnsi="宋体" w:cs="宋体" w:eastAsia="宋体" w:hint="default"/>
                <w:sz w:val="18"/>
                <w:szCs w:val="18"/>
              </w:rPr>
            </w:pPr>
            <w:r>
              <w:rPr>
                <w:rFonts w:ascii="宋体" w:hAnsi="宋体" w:cs="宋体" w:eastAsia="宋体" w:hint="default"/>
                <w:spacing w:val="7"/>
                <w:sz w:val="18"/>
                <w:szCs w:val="18"/>
              </w:rPr>
              <w:t>五、因解除劳动关系 </w:t>
            </w:r>
            <w:r>
              <w:rPr>
                <w:rFonts w:ascii="宋体" w:hAnsi="宋体" w:cs="宋体" w:eastAsia="宋体" w:hint="default"/>
                <w:sz w:val="18"/>
                <w:szCs w:val="18"/>
              </w:rPr>
              <w:t>给予的补偿</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1,675,522.82</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964,483.29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711,039.53</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7" w:right="0"/>
              <w:jc w:val="left"/>
              <w:rPr>
                <w:rFonts w:ascii="Times New Roman" w:hAnsi="Times New Roman" w:cs="Times New Roman" w:eastAsia="Times New Roman" w:hint="default"/>
                <w:sz w:val="18"/>
                <w:szCs w:val="18"/>
              </w:rPr>
            </w:pPr>
            <w:r>
              <w:rPr>
                <w:rFonts w:ascii="Times New Roman"/>
                <w:b/>
                <w:sz w:val="18"/>
              </w:rPr>
              <w:t>7,879,698.21</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b/>
                <w:spacing w:val="-1"/>
                <w:sz w:val="18"/>
              </w:rPr>
              <w:t>40,947,456.38</w:t>
            </w:r>
            <w:r>
              <w:rPr>
                <w:rFonts w:ascii="Times New Roman"/>
                <w:spacing w:val="-1"/>
                <w:sz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0" w:right="0"/>
              <w:jc w:val="left"/>
              <w:rPr>
                <w:rFonts w:ascii="Times New Roman" w:hAnsi="Times New Roman" w:cs="Times New Roman" w:eastAsia="Times New Roman" w:hint="default"/>
                <w:sz w:val="18"/>
                <w:szCs w:val="18"/>
              </w:rPr>
            </w:pPr>
            <w:r>
              <w:rPr>
                <w:rFonts w:ascii="Times New Roman"/>
                <w:b/>
                <w:sz w:val="18"/>
              </w:rPr>
              <w:t>41,256,677.32</w:t>
            </w:r>
            <w:r>
              <w:rPr>
                <w:rFonts w:ascii="Times New Roman"/>
                <w:sz w:val="18"/>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Times New Roman" w:hAnsi="Times New Roman" w:cs="Times New Roman" w:eastAsia="Times New Roman" w:hint="default"/>
                <w:sz w:val="18"/>
                <w:szCs w:val="18"/>
              </w:rPr>
            </w:pPr>
            <w:r>
              <w:rPr>
                <w:rFonts w:ascii="Times New Roman"/>
                <w:b/>
                <w:spacing w:val="-1"/>
                <w:sz w:val="18"/>
              </w:rPr>
              <w:t>7,570,477.27</w:t>
            </w:r>
            <w:r>
              <w:rPr>
                <w:rFonts w:ascii="Times New Roman"/>
                <w:spacing w:val="-1"/>
                <w:sz w:val="18"/>
              </w:rPr>
            </w:r>
          </w:p>
        </w:tc>
        <w:tc>
          <w:tcPr>
            <w:tcW w:w="16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黑体" w:hAnsi="黑体" w:cs="黑体" w:eastAsia="黑体" w:hint="default"/>
          <w:sz w:val="15"/>
          <w:szCs w:val="15"/>
        </w:rPr>
      </w:pPr>
    </w:p>
    <w:p>
      <w:pPr>
        <w:pStyle w:val="BodyText"/>
        <w:spacing w:line="240" w:lineRule="auto" w:before="35"/>
        <w:ind w:left="641" w:right="209"/>
        <w:jc w:val="left"/>
      </w:pPr>
      <w:r>
        <w:rPr/>
        <w:t>（</w:t>
      </w:r>
      <w:r>
        <w:rPr>
          <w:rFonts w:ascii="Times New Roman" w:hAnsi="Times New Roman" w:cs="Times New Roman" w:eastAsia="Times New Roman" w:hint="default"/>
        </w:rPr>
        <w:t>1</w:t>
      </w:r>
      <w:r>
        <w:rPr/>
        <w:t>）应付职工薪酬中属于拖欠性质的金额</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p>
    <w:p>
      <w:pPr>
        <w:spacing w:after="0" w:line="240" w:lineRule="auto"/>
        <w:jc w:val="left"/>
        <w:sectPr>
          <w:pgSz w:w="11910" w:h="16840"/>
          <w:pgMar w:header="0" w:footer="893" w:top="1140" w:bottom="1080" w:left="1480" w:right="1240"/>
        </w:sectPr>
      </w:pPr>
    </w:p>
    <w:p>
      <w:pPr>
        <w:spacing w:line="240" w:lineRule="auto" w:before="5"/>
        <w:rPr>
          <w:rFonts w:ascii="宋体" w:hAnsi="宋体" w:cs="宋体" w:eastAsia="宋体" w:hint="default"/>
          <w:sz w:val="23"/>
          <w:szCs w:val="23"/>
        </w:rPr>
      </w:pPr>
    </w:p>
    <w:p>
      <w:pPr>
        <w:pStyle w:val="BodyText"/>
        <w:spacing w:line="240" w:lineRule="auto" w:before="35"/>
        <w:ind w:left="641" w:right="123"/>
        <w:jc w:val="left"/>
      </w:pPr>
      <w:r>
        <w:rPr/>
        <w:t>（</w:t>
      </w:r>
      <w:r>
        <w:rPr>
          <w:rFonts w:ascii="Times New Roman" w:hAnsi="Times New Roman" w:cs="Times New Roman" w:eastAsia="Times New Roman" w:hint="default"/>
        </w:rPr>
        <w:t>2</w:t>
      </w:r>
      <w:r>
        <w:rPr/>
        <w:t>）工会经费和职工教育经费金额</w:t>
      </w:r>
      <w:r>
        <w:rPr>
          <w:spacing w:val="-61"/>
        </w:rPr>
        <w:t> </w:t>
      </w:r>
      <w:r>
        <w:rPr>
          <w:rFonts w:ascii="Times New Roman" w:hAnsi="Times New Roman" w:cs="Times New Roman" w:eastAsia="Times New Roman" w:hint="default"/>
        </w:rPr>
        <w:t>1,755,341.19</w:t>
      </w:r>
      <w:r>
        <w:rPr>
          <w:rFonts w:ascii="Times New Roman" w:hAnsi="Times New Roman" w:cs="Times New Roman" w:eastAsia="Times New Roman" w:hint="default"/>
          <w:spacing w:val="-9"/>
        </w:rPr>
        <w:t> </w:t>
      </w:r>
      <w:r>
        <w:rPr/>
        <w:t>元，非货币性福利金额</w:t>
      </w:r>
      <w:r>
        <w:rPr>
          <w:spacing w:val="-61"/>
        </w:rPr>
        <w:t> </w:t>
      </w:r>
      <w:r>
        <w:rPr>
          <w:rFonts w:ascii="Times New Roman" w:hAnsi="Times New Roman" w:cs="Times New Roman" w:eastAsia="Times New Roman" w:hint="default"/>
        </w:rPr>
        <w:t>13,062.02</w:t>
      </w:r>
      <w:r>
        <w:rPr>
          <w:rFonts w:ascii="Times New Roman" w:hAnsi="Times New Roman" w:cs="Times New Roman" w:eastAsia="Times New Roman" w:hint="default"/>
          <w:spacing w:val="-9"/>
        </w:rPr>
        <w:t> </w:t>
      </w:r>
      <w:r>
        <w:rPr>
          <w:spacing w:val="-3"/>
        </w:rPr>
        <w:t>元，因解</w:t>
      </w:r>
    </w:p>
    <w:p>
      <w:pPr>
        <w:pStyle w:val="BodyText"/>
        <w:spacing w:line="240" w:lineRule="auto" w:before="109"/>
        <w:ind w:left="221" w:right="209"/>
        <w:jc w:val="left"/>
      </w:pPr>
      <w:r>
        <w:rPr/>
        <w:t>除劳动关系给予补偿</w:t>
      </w:r>
      <w:r>
        <w:rPr>
          <w:spacing w:val="-55"/>
        </w:rPr>
        <w:t> </w:t>
      </w:r>
      <w:r>
        <w:rPr>
          <w:rFonts w:ascii="Times New Roman" w:hAnsi="Times New Roman" w:cs="Times New Roman" w:eastAsia="Times New Roman" w:hint="default"/>
        </w:rPr>
        <w:t>964,483.29</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17"/>
          <w:szCs w:val="17"/>
        </w:rPr>
      </w:pPr>
    </w:p>
    <w:p>
      <w:pPr>
        <w:pStyle w:val="BodyText"/>
        <w:spacing w:line="240" w:lineRule="auto"/>
        <w:ind w:left="641" w:right="209"/>
        <w:jc w:val="left"/>
        <w:rPr>
          <w:rFonts w:ascii="黑体" w:hAnsi="黑体" w:cs="黑体" w:eastAsia="黑体" w:hint="default"/>
        </w:rPr>
      </w:pPr>
      <w:r>
        <w:rPr>
          <w:rFonts w:ascii="Times New Roman" w:hAnsi="Times New Roman" w:cs="Times New Roman" w:eastAsia="Times New Roman" w:hint="default"/>
        </w:rPr>
        <w:t>19.</w:t>
      </w:r>
      <w:r>
        <w:rPr>
          <w:rFonts w:ascii="Times New Roman" w:hAnsi="Times New Roman" w:cs="Times New Roman" w:eastAsia="Times New Roman" w:hint="default"/>
          <w:spacing w:val="-17"/>
        </w:rPr>
        <w:t> </w:t>
      </w:r>
      <w:r>
        <w:rPr>
          <w:rFonts w:ascii="黑体" w:hAnsi="黑体" w:cs="黑体" w:eastAsia="黑体" w:hint="default"/>
        </w:rPr>
        <w:t>应交税费</w:t>
      </w:r>
    </w:p>
    <w:p>
      <w:pPr>
        <w:spacing w:line="240" w:lineRule="auto" w:before="6"/>
        <w:rPr>
          <w:rFonts w:ascii="黑体" w:hAnsi="黑体" w:cs="黑体" w:eastAsia="黑体" w:hint="default"/>
          <w:sz w:val="6"/>
          <w:szCs w:val="6"/>
        </w:rPr>
      </w:pPr>
    </w:p>
    <w:tbl>
      <w:tblPr>
        <w:tblW w:w="0" w:type="auto"/>
        <w:jc w:val="left"/>
        <w:tblInd w:w="185" w:type="dxa"/>
        <w:tblLayout w:type="fixed"/>
        <w:tblCellMar>
          <w:top w:w="0" w:type="dxa"/>
          <w:left w:w="0" w:type="dxa"/>
          <w:bottom w:w="0" w:type="dxa"/>
          <w:right w:w="0" w:type="dxa"/>
        </w:tblCellMar>
        <w:tblLook w:val="01E0"/>
      </w:tblPr>
      <w:tblGrid>
        <w:gridCol w:w="2933"/>
        <w:gridCol w:w="2934"/>
        <w:gridCol w:w="2934"/>
      </w:tblGrid>
      <w:tr>
        <w:trPr>
          <w:trHeight w:val="371"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79"/>
              <w:jc w:val="right"/>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2010-12-31</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pacing w:val="-1"/>
                <w:sz w:val="18"/>
              </w:rPr>
              <w:t>1,808,801.38</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4,180,500.25</w:t>
            </w:r>
          </w:p>
        </w:tc>
      </w:tr>
      <w:tr>
        <w:trPr>
          <w:trHeight w:val="370"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z w:val="18"/>
              </w:rPr>
              <w:t>75,229.64</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5,044,790.30</w:t>
            </w:r>
          </w:p>
        </w:tc>
      </w:tr>
      <w:tr>
        <w:trPr>
          <w:trHeight w:val="371"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z w:val="18"/>
              </w:rPr>
              <w:t>198,202.36</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z w:val="18"/>
              </w:rPr>
              <w:t>64,402.59</w:t>
            </w:r>
          </w:p>
        </w:tc>
      </w:tr>
      <w:tr>
        <w:trPr>
          <w:trHeight w:val="370"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z w:val="18"/>
              </w:rPr>
              <w:t>446,225.37</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z w:val="18"/>
              </w:rPr>
              <w:t>483,618.27</w:t>
            </w:r>
          </w:p>
        </w:tc>
      </w:tr>
      <w:tr>
        <w:trPr>
          <w:trHeight w:val="370"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z w:val="18"/>
              </w:rPr>
              <w:t>253,139.28</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z w:val="18"/>
              </w:rPr>
              <w:t>415,010.54</w:t>
            </w:r>
          </w:p>
        </w:tc>
      </w:tr>
      <w:tr>
        <w:trPr>
          <w:trHeight w:val="371"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z w:val="18"/>
              </w:rPr>
              <w:t>48,613.73</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z w:val="18"/>
              </w:rPr>
              <w:t>48,613.73</w:t>
            </w:r>
          </w:p>
        </w:tc>
      </w:tr>
      <w:tr>
        <w:trPr>
          <w:trHeight w:val="370"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z w:val="18"/>
              </w:rPr>
              <w:t>31,250.00</w:t>
            </w:r>
          </w:p>
        </w:tc>
      </w:tr>
      <w:tr>
        <w:trPr>
          <w:trHeight w:val="370"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z w:val="18"/>
              </w:rPr>
              <w:t>55,861.20</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z w:val="18"/>
              </w:rPr>
              <w:t>196,202.60</w:t>
            </w:r>
          </w:p>
        </w:tc>
      </w:tr>
      <w:tr>
        <w:trPr>
          <w:trHeight w:val="371"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7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b/>
                <w:spacing w:val="-1"/>
                <w:sz w:val="18"/>
              </w:rPr>
              <w:t>2,886,072.96</w:t>
            </w:r>
            <w:r>
              <w:rPr>
                <w:rFonts w:ascii="Times New Roman"/>
                <w:spacing w:val="-1"/>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10,464,388.28</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41" w:right="209"/>
        <w:jc w:val="left"/>
        <w:rPr>
          <w:rFonts w:ascii="黑体" w:hAnsi="黑体" w:cs="黑体" w:eastAsia="黑体" w:hint="default"/>
        </w:rPr>
      </w:pPr>
      <w:r>
        <w:rPr>
          <w:rFonts w:ascii="Times New Roman" w:hAnsi="Times New Roman" w:cs="Times New Roman" w:eastAsia="Times New Roman" w:hint="default"/>
        </w:rPr>
        <w:t>20.</w:t>
      </w:r>
      <w:r>
        <w:rPr>
          <w:rFonts w:ascii="Times New Roman" w:hAnsi="Times New Roman" w:cs="Times New Roman" w:eastAsia="Times New Roman" w:hint="default"/>
          <w:spacing w:val="-17"/>
        </w:rPr>
        <w:t> </w:t>
      </w:r>
      <w:r>
        <w:rPr>
          <w:rFonts w:ascii="黑体" w:hAnsi="黑体" w:cs="黑体" w:eastAsia="黑体" w:hint="default"/>
        </w:rPr>
        <w:t>应付利息</w:t>
      </w:r>
    </w:p>
    <w:p>
      <w:pPr>
        <w:spacing w:line="240" w:lineRule="auto" w:before="5"/>
        <w:rPr>
          <w:rFonts w:ascii="黑体" w:hAnsi="黑体" w:cs="黑体" w:eastAsia="黑体" w:hint="default"/>
          <w:sz w:val="7"/>
          <w:szCs w:val="7"/>
        </w:rPr>
      </w:pPr>
    </w:p>
    <w:tbl>
      <w:tblPr>
        <w:tblW w:w="0" w:type="auto"/>
        <w:jc w:val="left"/>
        <w:tblInd w:w="216" w:type="dxa"/>
        <w:tblLayout w:type="fixed"/>
        <w:tblCellMar>
          <w:top w:w="0" w:type="dxa"/>
          <w:left w:w="0" w:type="dxa"/>
          <w:bottom w:w="0" w:type="dxa"/>
          <w:right w:w="0" w:type="dxa"/>
        </w:tblCellMar>
        <w:tblLook w:val="01E0"/>
      </w:tblPr>
      <w:tblGrid>
        <w:gridCol w:w="2921"/>
        <w:gridCol w:w="2917"/>
        <w:gridCol w:w="2984"/>
      </w:tblGrid>
      <w:tr>
        <w:trPr>
          <w:trHeight w:val="370"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center"/>
              <w:rPr>
                <w:rFonts w:ascii="Times New Roman" w:hAnsi="Times New Roman" w:cs="Times New Roman" w:eastAsia="Times New Roman" w:hint="default"/>
                <w:sz w:val="18"/>
                <w:szCs w:val="18"/>
              </w:rPr>
            </w:pPr>
            <w:r>
              <w:rPr>
                <w:rFonts w:ascii="Times New Roman"/>
                <w:sz w:val="18"/>
              </w:rPr>
              <w:t>2010-12-31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center"/>
              <w:rPr>
                <w:rFonts w:ascii="Times New Roman" w:hAnsi="Times New Roman" w:cs="Times New Roman" w:eastAsia="Times New Roman" w:hint="default"/>
                <w:sz w:val="18"/>
                <w:szCs w:val="18"/>
              </w:rPr>
            </w:pPr>
            <w:r>
              <w:rPr>
                <w:rFonts w:ascii="Times New Roman"/>
                <w:sz w:val="18"/>
              </w:rPr>
              <w:t>2009-12-31</w:t>
            </w:r>
          </w:p>
        </w:tc>
      </w:tr>
      <w:tr>
        <w:trPr>
          <w:trHeight w:val="371"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9"/>
              <w:jc w:val="right"/>
              <w:rPr>
                <w:rFonts w:ascii="Times New Roman" w:hAnsi="Times New Roman" w:cs="Times New Roman" w:eastAsia="Times New Roman" w:hint="default"/>
                <w:sz w:val="18"/>
                <w:szCs w:val="18"/>
              </w:rPr>
            </w:pPr>
            <w:r>
              <w:rPr>
                <w:rFonts w:ascii="Times New Roman"/>
                <w:spacing w:val="-1"/>
                <w:sz w:val="18"/>
              </w:rPr>
              <w:t>123,710,783.57</w:t>
            </w:r>
          </w:p>
        </w:tc>
      </w:tr>
      <w:tr>
        <w:trPr>
          <w:trHeight w:val="244"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8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2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9"/>
              <w:jc w:val="right"/>
              <w:rPr>
                <w:rFonts w:ascii="Times New Roman" w:hAnsi="Times New Roman" w:cs="Times New Roman" w:eastAsia="Times New Roman" w:hint="default"/>
                <w:sz w:val="18"/>
                <w:szCs w:val="18"/>
              </w:rPr>
            </w:pPr>
            <w:r>
              <w:rPr>
                <w:rFonts w:ascii="Times New Roman"/>
                <w:b/>
                <w:spacing w:val="-1"/>
                <w:sz w:val="18"/>
              </w:rPr>
              <w:t>123,710,783.57</w:t>
            </w:r>
            <w:r>
              <w:rPr>
                <w:rFonts w:ascii="Times New Roman"/>
                <w:spacing w:val="-1"/>
                <w:sz w:val="18"/>
              </w:rPr>
            </w:r>
          </w:p>
        </w:tc>
      </w:tr>
    </w:tbl>
    <w:p>
      <w:pPr>
        <w:pStyle w:val="BodyText"/>
        <w:spacing w:line="272" w:lineRule="exact" w:before="112"/>
        <w:ind w:left="221" w:right="209" w:firstLine="420"/>
        <w:jc w:val="left"/>
      </w:pPr>
      <w:r>
        <w:rPr/>
        <w:t>期末余额为</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spacing w:val="-3"/>
        </w:rPr>
        <w:t>元，系本公司已按照重整计划规定的偿债率及清偿期限和方式对各债权人的债</w:t>
      </w:r>
      <w:r>
        <w:rPr/>
        <w:t> 权予以清偿完毕。公司重整事项详见附注十。</w:t>
      </w:r>
    </w:p>
    <w:p>
      <w:pPr>
        <w:pStyle w:val="BodyText"/>
        <w:spacing w:line="240" w:lineRule="auto" w:before="91"/>
        <w:ind w:left="641" w:right="209"/>
        <w:jc w:val="left"/>
        <w:rPr>
          <w:rFonts w:ascii="黑体" w:hAnsi="黑体" w:cs="黑体" w:eastAsia="黑体" w:hint="default"/>
        </w:rPr>
      </w:pPr>
      <w:r>
        <w:rPr>
          <w:rFonts w:ascii="Times New Roman" w:hAnsi="Times New Roman" w:cs="Times New Roman" w:eastAsia="Times New Roman" w:hint="default"/>
        </w:rPr>
        <w:t>21.</w:t>
      </w:r>
      <w:r>
        <w:rPr>
          <w:rFonts w:ascii="Times New Roman" w:hAnsi="Times New Roman" w:cs="Times New Roman" w:eastAsia="Times New Roman" w:hint="default"/>
          <w:spacing w:val="-17"/>
        </w:rPr>
        <w:t> </w:t>
      </w:r>
      <w:r>
        <w:rPr>
          <w:rFonts w:ascii="黑体" w:hAnsi="黑体" w:cs="黑体" w:eastAsia="黑体" w:hint="default"/>
        </w:rPr>
        <w:t>其他应付款</w:t>
      </w:r>
    </w:p>
    <w:p>
      <w:pPr>
        <w:spacing w:line="240" w:lineRule="auto" w:before="2"/>
        <w:rPr>
          <w:rFonts w:ascii="黑体" w:hAnsi="黑体" w:cs="黑体" w:eastAsia="黑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984"/>
        <w:gridCol w:w="2983"/>
        <w:gridCol w:w="2984"/>
      </w:tblGrid>
      <w:tr>
        <w:trPr>
          <w:trHeight w:val="371"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02" w:right="0"/>
              <w:jc w:val="left"/>
              <w:rPr>
                <w:rFonts w:ascii="Times New Roman" w:hAnsi="Times New Roman" w:cs="Times New Roman" w:eastAsia="Times New Roman" w:hint="default"/>
                <w:sz w:val="18"/>
                <w:szCs w:val="18"/>
              </w:rPr>
            </w:pPr>
            <w:r>
              <w:rPr>
                <w:rFonts w:ascii="Times New Roman"/>
                <w:sz w:val="18"/>
              </w:rPr>
              <w:t>2010-12-31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01" w:right="0"/>
              <w:jc w:val="left"/>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32,817,854.58</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258,379,454.92</w:t>
            </w:r>
          </w:p>
        </w:tc>
      </w:tr>
      <w:tr>
        <w:trPr>
          <w:trHeight w:val="371"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32,817,854.58</w:t>
            </w:r>
            <w:r>
              <w:rPr>
                <w:rFonts w:ascii="Times New Roman"/>
                <w:spacing w:val="-1"/>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258,379,454.92</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41" w:right="209"/>
        <w:jc w:val="left"/>
      </w:pPr>
      <w:r>
        <w:rPr/>
        <w:t>（</w:t>
      </w:r>
      <w:r>
        <w:rPr>
          <w:rFonts w:ascii="Times New Roman" w:hAnsi="Times New Roman" w:cs="Times New Roman" w:eastAsia="Times New Roman" w:hint="default"/>
        </w:rPr>
        <w:t>1</w:t>
      </w:r>
      <w:r>
        <w:rPr/>
        <w:t>）本报告期其他应付款中无应付持有公司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p>
    <w:p>
      <w:pPr>
        <w:spacing w:line="240" w:lineRule="auto" w:before="1"/>
        <w:rPr>
          <w:rFonts w:ascii="宋体" w:hAnsi="宋体" w:cs="宋体" w:eastAsia="宋体" w:hint="default"/>
          <w:sz w:val="22"/>
          <w:szCs w:val="22"/>
        </w:rPr>
      </w:pPr>
    </w:p>
    <w:p>
      <w:pPr>
        <w:pStyle w:val="BodyText"/>
        <w:spacing w:line="240" w:lineRule="auto"/>
        <w:ind w:left="641" w:right="209"/>
        <w:jc w:val="left"/>
      </w:pPr>
      <w:r>
        <w:rPr/>
        <w:t>（</w:t>
      </w:r>
      <w:r>
        <w:rPr>
          <w:rFonts w:ascii="Times New Roman" w:hAnsi="Times New Roman" w:cs="Times New Roman" w:eastAsia="Times New Roman" w:hint="default"/>
        </w:rPr>
        <w:t>2</w:t>
      </w:r>
      <w:r>
        <w:rPr/>
        <w:t>）期末余额中无其他应付关联方款项。</w:t>
      </w:r>
    </w:p>
    <w:p>
      <w:pPr>
        <w:spacing w:line="240" w:lineRule="auto" w:before="1"/>
        <w:rPr>
          <w:rFonts w:ascii="宋体" w:hAnsi="宋体" w:cs="宋体" w:eastAsia="宋体" w:hint="default"/>
          <w:sz w:val="22"/>
          <w:szCs w:val="22"/>
        </w:rPr>
      </w:pPr>
    </w:p>
    <w:p>
      <w:pPr>
        <w:pStyle w:val="BodyText"/>
        <w:spacing w:line="379" w:lineRule="auto"/>
        <w:ind w:left="221" w:right="209" w:firstLine="420"/>
        <w:jc w:val="left"/>
      </w:pPr>
      <w:r>
        <w:rPr/>
        <w:t>（</w:t>
      </w:r>
      <w:r>
        <w:rPr>
          <w:rFonts w:ascii="Times New Roman" w:hAnsi="Times New Roman" w:cs="Times New Roman" w:eastAsia="Times New Roman" w:hint="default"/>
        </w:rPr>
        <w:t>3</w:t>
      </w:r>
      <w:r>
        <w:rPr/>
        <w:t>）期末余额较上年大幅减少，系本公司已按照重整计划规定的偿债率及清偿期限和方式 对相关债权人的债权予以清偿完毕。公司重整事项详见附注十。</w:t>
      </w:r>
    </w:p>
    <w:p>
      <w:pPr>
        <w:spacing w:line="240" w:lineRule="auto" w:before="13"/>
        <w:rPr>
          <w:rFonts w:ascii="宋体" w:hAnsi="宋体" w:cs="宋体" w:eastAsia="宋体" w:hint="default"/>
          <w:sz w:val="13"/>
          <w:szCs w:val="13"/>
        </w:rPr>
      </w:pPr>
    </w:p>
    <w:p>
      <w:pPr>
        <w:pStyle w:val="BodyText"/>
        <w:spacing w:line="240" w:lineRule="auto"/>
        <w:ind w:left="641" w:right="209"/>
        <w:jc w:val="left"/>
        <w:rPr>
          <w:rFonts w:ascii="黑体" w:hAnsi="黑体" w:cs="黑体" w:eastAsia="黑体" w:hint="default"/>
        </w:rPr>
      </w:pPr>
      <w:r>
        <w:rPr>
          <w:rFonts w:ascii="Times New Roman" w:hAnsi="Times New Roman" w:cs="Times New Roman" w:eastAsia="Times New Roman" w:hint="default"/>
        </w:rPr>
        <w:t>22.</w:t>
      </w:r>
      <w:r>
        <w:rPr>
          <w:rFonts w:ascii="Times New Roman" w:hAnsi="Times New Roman" w:cs="Times New Roman" w:eastAsia="Times New Roman" w:hint="default"/>
          <w:spacing w:val="-17"/>
        </w:rPr>
        <w:t> </w:t>
      </w:r>
      <w:r>
        <w:rPr>
          <w:rFonts w:ascii="黑体" w:hAnsi="黑体" w:cs="黑体" w:eastAsia="黑体" w:hint="default"/>
        </w:rPr>
        <w:t>一年内到期的非流动负债</w:t>
      </w:r>
    </w:p>
    <w:p>
      <w:pPr>
        <w:spacing w:line="240" w:lineRule="auto" w:before="9"/>
        <w:rPr>
          <w:rFonts w:ascii="黑体" w:hAnsi="黑体" w:cs="黑体" w:eastAsia="黑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168"/>
        <w:gridCol w:w="2800"/>
        <w:gridCol w:w="2984"/>
      </w:tblGrid>
      <w:tr>
        <w:trPr>
          <w:trHeight w:val="41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62"/>
              <w:jc w:val="right"/>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08" w:right="0"/>
              <w:jc w:val="left"/>
              <w:rPr>
                <w:rFonts w:ascii="Times New Roman" w:hAnsi="Times New Roman" w:cs="Times New Roman" w:eastAsia="Times New Roman" w:hint="default"/>
                <w:sz w:val="18"/>
                <w:szCs w:val="18"/>
              </w:rPr>
            </w:pPr>
            <w:r>
              <w:rPr>
                <w:rFonts w:ascii="Times New Roman"/>
                <w:sz w:val="18"/>
              </w:rPr>
              <w:t>2010-12-31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201" w:right="0"/>
              <w:jc w:val="left"/>
              <w:rPr>
                <w:rFonts w:ascii="Times New Roman" w:hAnsi="Times New Roman" w:cs="Times New Roman" w:eastAsia="Times New Roman" w:hint="default"/>
                <w:sz w:val="18"/>
                <w:szCs w:val="18"/>
              </w:rPr>
            </w:pPr>
            <w:r>
              <w:rPr>
                <w:rFonts w:ascii="Times New Roman"/>
                <w:sz w:val="18"/>
              </w:rPr>
              <w:t>2009-12-31</w:t>
            </w:r>
          </w:p>
        </w:tc>
      </w:tr>
      <w:tr>
        <w:trPr>
          <w:trHeight w:val="81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90" w:firstLine="270"/>
              <w:jc w:val="left"/>
              <w:rPr>
                <w:rFonts w:ascii="宋体" w:hAnsi="宋体" w:cs="宋体" w:eastAsia="宋体" w:hint="default"/>
                <w:sz w:val="18"/>
                <w:szCs w:val="18"/>
              </w:rPr>
            </w:pPr>
            <w:r>
              <w:rPr>
                <w:rFonts w:ascii="宋体" w:hAnsi="宋体" w:cs="宋体" w:eastAsia="宋体" w:hint="default"/>
                <w:spacing w:val="12"/>
                <w:sz w:val="18"/>
                <w:szCs w:val="18"/>
              </w:rPr>
              <w:t>一年内到期的长期借款（保证借 </w:t>
            </w:r>
            <w:r>
              <w:rPr>
                <w:rFonts w:ascii="宋体" w:hAnsi="宋体" w:cs="宋体" w:eastAsia="宋体" w:hint="default"/>
                <w:sz w:val="18"/>
                <w:szCs w:val="18"/>
              </w:rPr>
              <w:t>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4"/>
                <w:szCs w:val="14"/>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3"/>
                <w:szCs w:val="23"/>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63,900,000.00</w:t>
            </w:r>
          </w:p>
        </w:tc>
      </w:tr>
      <w:tr>
        <w:trPr>
          <w:trHeight w:val="45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26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4"/>
                <w:szCs w:val="14"/>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4"/>
                <w:szCs w:val="14"/>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b/>
                <w:spacing w:val="-1"/>
                <w:sz w:val="18"/>
              </w:rPr>
              <w:t>63,900,000.00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480" w:right="1240"/>
        </w:sectPr>
      </w:pPr>
    </w:p>
    <w:p>
      <w:pPr>
        <w:spacing w:line="240" w:lineRule="auto" w:before="1"/>
        <w:rPr>
          <w:rFonts w:ascii="黑体" w:hAnsi="黑体" w:cs="黑体" w:eastAsia="黑体" w:hint="default"/>
          <w:sz w:val="27"/>
          <w:szCs w:val="27"/>
        </w:rPr>
      </w:pPr>
    </w:p>
    <w:p>
      <w:pPr>
        <w:pStyle w:val="BodyText"/>
        <w:spacing w:line="379" w:lineRule="auto" w:before="35"/>
        <w:ind w:left="221" w:right="209" w:firstLine="420"/>
        <w:jc w:val="left"/>
      </w:pPr>
      <w:r>
        <w:rPr/>
        <w:t>期末余额为</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spacing w:val="-3"/>
        </w:rPr>
        <w:t>元，系本公司已按照重整计划规定的偿债率及清偿期限和方式对各债权人的债</w:t>
      </w:r>
      <w:r>
        <w:rPr/>
        <w:t> 权予以清偿完毕。公司重整事项详见附注十。</w:t>
      </w:r>
    </w:p>
    <w:p>
      <w:pPr>
        <w:spacing w:line="240" w:lineRule="auto" w:before="13"/>
        <w:rPr>
          <w:rFonts w:ascii="宋体" w:hAnsi="宋体" w:cs="宋体" w:eastAsia="宋体" w:hint="default"/>
          <w:sz w:val="13"/>
          <w:szCs w:val="13"/>
        </w:rPr>
      </w:pPr>
    </w:p>
    <w:p>
      <w:pPr>
        <w:pStyle w:val="BodyText"/>
        <w:spacing w:line="240" w:lineRule="auto"/>
        <w:ind w:left="641" w:right="209"/>
        <w:jc w:val="left"/>
        <w:rPr>
          <w:rFonts w:ascii="黑体" w:hAnsi="黑体" w:cs="黑体" w:eastAsia="黑体" w:hint="default"/>
        </w:rPr>
      </w:pPr>
      <w:r>
        <w:rPr>
          <w:rFonts w:ascii="Times New Roman" w:hAnsi="Times New Roman" w:cs="Times New Roman" w:eastAsia="Times New Roman" w:hint="default"/>
        </w:rPr>
        <w:t>23.</w:t>
      </w:r>
      <w:r>
        <w:rPr>
          <w:rFonts w:ascii="Times New Roman" w:hAnsi="Times New Roman" w:cs="Times New Roman" w:eastAsia="Times New Roman" w:hint="default"/>
          <w:spacing w:val="-17"/>
        </w:rPr>
        <w:t> </w:t>
      </w:r>
      <w:r>
        <w:rPr>
          <w:rFonts w:ascii="黑体" w:hAnsi="黑体" w:cs="黑体" w:eastAsia="黑体" w:hint="default"/>
        </w:rPr>
        <w:t>其他流动负债</w:t>
      </w:r>
    </w:p>
    <w:p>
      <w:pPr>
        <w:spacing w:line="240" w:lineRule="auto" w:before="10"/>
        <w:rPr>
          <w:rFonts w:ascii="黑体" w:hAnsi="黑体" w:cs="黑体" w:eastAsia="黑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86"/>
        <w:gridCol w:w="2986"/>
        <w:gridCol w:w="2984"/>
      </w:tblGrid>
      <w:tr>
        <w:trPr>
          <w:trHeight w:val="450"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项目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450"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预收停车场出租收入</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1,492,405.75</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1,527,336.63</w:t>
            </w:r>
          </w:p>
        </w:tc>
      </w:tr>
      <w:tr>
        <w:trPr>
          <w:trHeight w:val="450"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未申报债权应偿付金额  </w:t>
            </w:r>
            <w:r>
              <w:rPr>
                <w:rFonts w:ascii="Times New Roman" w:hAnsi="Times New Roman" w:cs="Times New Roman" w:eastAsia="Times New Roman" w:hint="default"/>
                <w:sz w:val="18"/>
                <w:szCs w:val="18"/>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9,101,168.80</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50"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10,593,574.55</w:t>
            </w:r>
            <w:r>
              <w:rPr>
                <w:rFonts w:ascii="Times New Roman"/>
                <w:spacing w:val="-1"/>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1,527,336.63</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tabs>
          <w:tab w:pos="958" w:val="left" w:leader="none"/>
        </w:tabs>
        <w:spacing w:line="379" w:lineRule="auto" w:before="35"/>
        <w:ind w:left="221" w:right="218" w:firstLine="420"/>
        <w:jc w:val="left"/>
      </w:pPr>
      <w:r>
        <w:rPr>
          <w:rFonts w:ascii="Times New Roman" w:hAnsi="Times New Roman" w:cs="Times New Roman" w:eastAsia="Times New Roman" w:hint="default"/>
        </w:rPr>
        <w:t>*</w:t>
        <w:tab/>
      </w:r>
      <w:r>
        <w:rPr/>
        <w:t>本公司根据重整计划中未申报债权的受偿方案，将未申报债权需按照普通债权清偿比例 清偿部分转入“其他流动负债”科目核算。公司重整事项详见附注十。</w:t>
      </w:r>
    </w:p>
    <w:p>
      <w:pPr>
        <w:spacing w:line="240" w:lineRule="auto" w:before="1"/>
        <w:rPr>
          <w:rFonts w:ascii="宋体" w:hAnsi="宋体" w:cs="宋体" w:eastAsia="宋体" w:hint="default"/>
          <w:sz w:val="14"/>
          <w:szCs w:val="14"/>
        </w:rPr>
      </w:pPr>
    </w:p>
    <w:p>
      <w:pPr>
        <w:pStyle w:val="BodyText"/>
        <w:spacing w:line="240" w:lineRule="auto"/>
        <w:ind w:left="641" w:right="209"/>
        <w:jc w:val="left"/>
        <w:rPr>
          <w:rFonts w:ascii="黑体" w:hAnsi="黑体" w:cs="黑体" w:eastAsia="黑体" w:hint="default"/>
        </w:rPr>
      </w:pPr>
      <w:r>
        <w:rPr>
          <w:rFonts w:ascii="Times New Roman" w:hAnsi="Times New Roman" w:cs="Times New Roman" w:eastAsia="Times New Roman" w:hint="default"/>
        </w:rPr>
        <w:t>24.</w:t>
      </w:r>
      <w:r>
        <w:rPr>
          <w:rFonts w:ascii="Times New Roman" w:hAnsi="Times New Roman" w:cs="Times New Roman" w:eastAsia="Times New Roman" w:hint="default"/>
          <w:spacing w:val="-17"/>
        </w:rPr>
        <w:t> </w:t>
      </w:r>
      <w:r>
        <w:rPr>
          <w:rFonts w:ascii="黑体" w:hAnsi="黑体" w:cs="黑体" w:eastAsia="黑体" w:hint="default"/>
        </w:rPr>
        <w:t>长期应付款</w:t>
      </w:r>
    </w:p>
    <w:p>
      <w:pPr>
        <w:spacing w:line="240" w:lineRule="auto" w:before="9"/>
        <w:rPr>
          <w:rFonts w:ascii="黑体" w:hAnsi="黑体" w:cs="黑体" w:eastAsia="黑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86"/>
        <w:gridCol w:w="2986"/>
        <w:gridCol w:w="2984"/>
      </w:tblGrid>
      <w:tr>
        <w:trPr>
          <w:trHeight w:val="450"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项目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450"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物业公司本体维修金</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732,199.15</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874,187.24</w:t>
            </w:r>
          </w:p>
        </w:tc>
      </w:tr>
      <w:tr>
        <w:trPr>
          <w:trHeight w:val="450"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732,199.15</w:t>
            </w:r>
            <w:r>
              <w:rPr>
                <w:rFonts w:ascii="Times New Roman"/>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874,187.24</w:t>
            </w:r>
            <w:r>
              <w:rPr>
                <w:rFonts w:ascii="Times New Roman"/>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41" w:right="209"/>
        <w:jc w:val="left"/>
        <w:rPr>
          <w:rFonts w:ascii="黑体" w:hAnsi="黑体" w:cs="黑体" w:eastAsia="黑体" w:hint="default"/>
        </w:rPr>
      </w:pPr>
      <w:r>
        <w:rPr>
          <w:rFonts w:ascii="Times New Roman" w:hAnsi="Times New Roman" w:cs="Times New Roman" w:eastAsia="Times New Roman" w:hint="default"/>
        </w:rPr>
        <w:t>25.</w:t>
      </w:r>
      <w:r>
        <w:rPr>
          <w:rFonts w:ascii="Times New Roman" w:hAnsi="Times New Roman" w:cs="Times New Roman" w:eastAsia="Times New Roman" w:hint="default"/>
          <w:spacing w:val="-17"/>
        </w:rPr>
        <w:t> </w:t>
      </w:r>
      <w:r>
        <w:rPr>
          <w:rFonts w:ascii="黑体" w:hAnsi="黑体" w:cs="黑体" w:eastAsia="黑体" w:hint="default"/>
        </w:rPr>
        <w:t>递延收益</w:t>
      </w:r>
    </w:p>
    <w:p>
      <w:pPr>
        <w:spacing w:line="240" w:lineRule="auto" w:before="10"/>
        <w:rPr>
          <w:rFonts w:ascii="黑体" w:hAnsi="黑体" w:cs="黑体" w:eastAsia="黑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807"/>
        <w:gridCol w:w="1478"/>
        <w:gridCol w:w="1480"/>
        <w:gridCol w:w="1478"/>
        <w:gridCol w:w="1558"/>
      </w:tblGrid>
      <w:tr>
        <w:trPr>
          <w:trHeight w:val="455"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2009-12-31</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2010-12-31</w:t>
            </w:r>
          </w:p>
        </w:tc>
      </w:tr>
      <w:tr>
        <w:trPr>
          <w:trHeight w:val="455"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政府投资补助项目</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农业综合开发资金</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500,000.00</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500,000.00</w:t>
            </w:r>
          </w:p>
        </w:tc>
      </w:tr>
      <w:tr>
        <w:trPr>
          <w:trHeight w:val="455"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种鸡孵化设备的更新改造</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55"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良种鸡生产示范基地建设</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56"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优质鸡生产示范基地建设</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55"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种鸡生物安全控制系统改造</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300,000.00</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55"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种鸡生物安全控制系统改造</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55"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农业综合开发项目</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600,000.00</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55"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优质鸡养殖生产建设</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100,000.00</w:t>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56"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2,450,000.00</w:t>
            </w:r>
            <w:r>
              <w:rPr>
                <w:rFonts w:ascii="Times New Roman"/>
                <w:spacing w:val="-1"/>
                <w:sz w:val="18"/>
              </w:rPr>
            </w:r>
          </w:p>
        </w:tc>
        <w:tc>
          <w:tcPr>
            <w:tcW w:w="14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1,200,000.00</w:t>
            </w:r>
            <w:r>
              <w:rPr>
                <w:rFonts w:ascii="Times New Roman"/>
                <w:spacing w:val="-1"/>
                <w:sz w:val="18"/>
              </w:rPr>
            </w:r>
          </w:p>
        </w:tc>
        <w:tc>
          <w:tcPr>
            <w:tcW w:w="14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pacing w:val="-1"/>
                <w:sz w:val="18"/>
              </w:rPr>
              <w:t>1,000,000.00</w:t>
            </w:r>
            <w:r>
              <w:rPr>
                <w:rFonts w:ascii="Times New Roman"/>
                <w:spacing w:val="-1"/>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2,650,000.00</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400" w:lineRule="auto" w:before="35"/>
        <w:ind w:left="221" w:right="209" w:firstLine="420"/>
        <w:jc w:val="left"/>
      </w:pPr>
      <w:r>
        <w:rPr>
          <w:spacing w:val="-3"/>
        </w:rPr>
        <w:t>本期增加均系收到的政府专项建设资金，因拨款项目尚未建成或相关资产未经政府相关部门</w:t>
      </w:r>
      <w:r>
        <w:rPr/>
        <w:t> 验收，故未结转收益。本期减少系已转入营业外收入。</w:t>
      </w:r>
    </w:p>
    <w:p>
      <w:pPr>
        <w:spacing w:after="0" w:line="400" w:lineRule="auto"/>
        <w:jc w:val="left"/>
        <w:sectPr>
          <w:pgSz w:w="11910" w:h="16840"/>
          <w:pgMar w:header="0" w:footer="893" w:top="1140" w:bottom="1080" w:left="1480" w:right="1240"/>
        </w:sectPr>
      </w:pPr>
    </w:p>
    <w:p>
      <w:pPr>
        <w:spacing w:line="240" w:lineRule="auto" w:before="1"/>
        <w:rPr>
          <w:rFonts w:ascii="宋体" w:hAnsi="宋体" w:cs="宋体" w:eastAsia="宋体" w:hint="default"/>
          <w:sz w:val="27"/>
          <w:szCs w:val="27"/>
        </w:rPr>
      </w:pPr>
    </w:p>
    <w:p>
      <w:pPr>
        <w:pStyle w:val="BodyText"/>
        <w:spacing w:line="240" w:lineRule="auto" w:before="35"/>
        <w:ind w:left="641" w:right="512"/>
        <w:jc w:val="left"/>
        <w:rPr>
          <w:rFonts w:ascii="黑体" w:hAnsi="黑体" w:cs="黑体" w:eastAsia="黑体" w:hint="default"/>
        </w:rPr>
      </w:pPr>
      <w:r>
        <w:rPr>
          <w:rFonts w:ascii="Times New Roman" w:hAnsi="Times New Roman" w:cs="Times New Roman" w:eastAsia="Times New Roman" w:hint="default"/>
        </w:rPr>
        <w:t>26.</w:t>
      </w:r>
      <w:r>
        <w:rPr>
          <w:rFonts w:ascii="Times New Roman" w:hAnsi="Times New Roman" w:cs="Times New Roman" w:eastAsia="Times New Roman" w:hint="default"/>
          <w:spacing w:val="-17"/>
        </w:rPr>
        <w:t> </w:t>
      </w:r>
      <w:r>
        <w:rPr>
          <w:rFonts w:ascii="黑体" w:hAnsi="黑体" w:cs="黑体" w:eastAsia="黑体" w:hint="default"/>
        </w:rPr>
        <w:t>预计负债</w:t>
      </w:r>
    </w:p>
    <w:p>
      <w:pPr>
        <w:spacing w:line="240" w:lineRule="auto" w:before="5"/>
        <w:rPr>
          <w:rFonts w:ascii="黑体" w:hAnsi="黑体" w:cs="黑体" w:eastAsia="黑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068"/>
        <w:gridCol w:w="1720"/>
        <w:gridCol w:w="1260"/>
        <w:gridCol w:w="1620"/>
        <w:gridCol w:w="1260"/>
      </w:tblGrid>
      <w:tr>
        <w:trPr>
          <w:trHeight w:val="889"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60"/>
              <w:ind w:right="104"/>
              <w:jc w:val="center"/>
              <w:rPr>
                <w:rFonts w:ascii="宋体" w:hAnsi="宋体" w:cs="宋体" w:eastAsia="宋体" w:hint="default"/>
                <w:sz w:val="18"/>
                <w:szCs w:val="18"/>
              </w:rPr>
            </w:pPr>
            <w:r>
              <w:rPr>
                <w:rFonts w:ascii="宋体" w:hAnsi="宋体" w:cs="宋体" w:eastAsia="宋体" w:hint="default"/>
                <w:sz w:val="18"/>
                <w:szCs w:val="18"/>
              </w:rPr>
              <w:t>种类</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2009-12-31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60"/>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6"/>
              <w:ind w:left="5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2010-12-3</w:t>
            </w:r>
          </w:p>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b/>
                <w:bCs/>
                <w:sz w:val="18"/>
                <w:szCs w:val="18"/>
              </w:rPr>
              <w:t>对外提供担保</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9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－信泰利公司中行借款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26,447,622.38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26,447,622.38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－信泰利公司光大银行借款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3,094,524.38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3,094,524.38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－都之都酒店农行借款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15,087,271.00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15,087,271.00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－南京捷讯公司广发行借款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40,840,000.00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40,840,000.00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－泰丰电子公司中行深圳分行借款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8,765,520.00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8,765,520.00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－泰丰电子公司中行深圳分行借款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8,765,520.00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8,765,520.00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－泰丰通讯公司浦发行深圳分行借款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7,640,000.00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7,640,000.00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89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pacing w:val="4"/>
                <w:sz w:val="18"/>
                <w:szCs w:val="18"/>
              </w:rPr>
              <w:t>－泰丰通讯公司浦发行深圳分行借款</w:t>
            </w:r>
            <w:r>
              <w:rPr>
                <w:rFonts w:ascii="宋体" w:hAnsi="宋体" w:cs="宋体" w:eastAsia="宋体" w:hint="default"/>
                <w:sz w:val="18"/>
                <w:szCs w:val="18"/>
              </w:rPr>
            </w:r>
          </w:p>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（海王连锁代还部分）</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4,240,000.00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4,240,000.00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－泰丰通讯公司兴业银行借款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9,415,000.00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9,415,000.00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－泰丰通讯公司欠爱施德货款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34,297,321.17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34,297,321.17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b/>
                <w:spacing w:val="-1"/>
                <w:sz w:val="18"/>
              </w:rPr>
              <w:t>158,592,778.93</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b/>
                <w:spacing w:val="-1"/>
                <w:sz w:val="18"/>
              </w:rPr>
              <w:t>158,592,778.93</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b/>
                <w:bCs/>
                <w:sz w:val="18"/>
                <w:szCs w:val="18"/>
              </w:rPr>
              <w:t>涉及诉讼赔偿款</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－马来西亚顺景公司</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1,900,192.49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1,900,192.49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－广东国际容器公司</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2,572,011.22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2,572,011.22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－黄田百花园土地转让税费</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54,265,390.56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54,265,390.56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889"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－广发行深圳春风支行诉讼费</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89,925.80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89,925.80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－西部大厦土地转让税费</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1,188,200.00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1,188,200.00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－宝安建鑫实业公司</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19,886,264.60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19,886,264.60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－饲料厂房转让税费</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13,581,191.50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13,581,191.50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A007-0052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地价款及罚息</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1,925,476.78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1,925,476.78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A107-0063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地价及罚息</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16,981,628.93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16,981,628.93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b/>
                <w:spacing w:val="-1"/>
                <w:sz w:val="18"/>
              </w:rPr>
              <w:t>112,390,281.88</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b/>
                <w:spacing w:val="-1"/>
                <w:sz w:val="18"/>
              </w:rPr>
              <w:t>112,390,281.88</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51"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270,983,060.81</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270,983,060.81</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480" w:right="1260"/>
        </w:sectPr>
      </w:pPr>
    </w:p>
    <w:p>
      <w:pPr>
        <w:spacing w:line="240" w:lineRule="auto" w:before="1"/>
        <w:rPr>
          <w:rFonts w:ascii="黑体" w:hAnsi="黑体" w:cs="黑体" w:eastAsia="黑体" w:hint="default"/>
          <w:sz w:val="27"/>
          <w:szCs w:val="27"/>
        </w:rPr>
      </w:pPr>
    </w:p>
    <w:p>
      <w:pPr>
        <w:pStyle w:val="BodyText"/>
        <w:spacing w:line="379" w:lineRule="auto" w:before="35"/>
        <w:ind w:left="221" w:right="209" w:firstLine="420"/>
        <w:jc w:val="left"/>
      </w:pPr>
      <w:r>
        <w:rPr/>
        <w:t>期末余额为</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spacing w:val="-3"/>
        </w:rPr>
        <w:t>元，系本公司已按照重整计划规定的偿债率及清偿期限和方式对各债权人的债</w:t>
      </w:r>
      <w:r>
        <w:rPr/>
        <w:t> 权予以清偿完毕。公司重整事项详见附注十。</w:t>
      </w:r>
    </w:p>
    <w:p>
      <w:pPr>
        <w:spacing w:line="240" w:lineRule="auto" w:before="13"/>
        <w:rPr>
          <w:rFonts w:ascii="宋体" w:hAnsi="宋体" w:cs="宋体" w:eastAsia="宋体" w:hint="default"/>
          <w:sz w:val="13"/>
          <w:szCs w:val="13"/>
        </w:rPr>
      </w:pPr>
    </w:p>
    <w:p>
      <w:pPr>
        <w:pStyle w:val="BodyText"/>
        <w:spacing w:line="240" w:lineRule="auto"/>
        <w:ind w:left="641" w:right="209"/>
        <w:jc w:val="left"/>
        <w:rPr>
          <w:rFonts w:ascii="黑体" w:hAnsi="黑体" w:cs="黑体" w:eastAsia="黑体" w:hint="default"/>
        </w:rPr>
      </w:pPr>
      <w:r>
        <w:rPr>
          <w:rFonts w:ascii="Times New Roman" w:hAnsi="Times New Roman" w:cs="Times New Roman" w:eastAsia="Times New Roman" w:hint="default"/>
        </w:rPr>
        <w:t>27.</w:t>
      </w:r>
      <w:r>
        <w:rPr>
          <w:rFonts w:ascii="Times New Roman" w:hAnsi="Times New Roman" w:cs="Times New Roman" w:eastAsia="Times New Roman" w:hint="default"/>
          <w:spacing w:val="-17"/>
        </w:rPr>
        <w:t> </w:t>
      </w:r>
      <w:r>
        <w:rPr>
          <w:rFonts w:ascii="黑体" w:hAnsi="黑体" w:cs="黑体" w:eastAsia="黑体" w:hint="default"/>
        </w:rPr>
        <w:t>股本</w:t>
      </w:r>
    </w:p>
    <w:p>
      <w:pPr>
        <w:spacing w:line="240" w:lineRule="auto" w:before="10"/>
        <w:rPr>
          <w:rFonts w:ascii="黑体" w:hAnsi="黑体" w:cs="黑体" w:eastAsia="黑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258"/>
        <w:gridCol w:w="1340"/>
        <w:gridCol w:w="1258"/>
        <w:gridCol w:w="744"/>
        <w:gridCol w:w="1523"/>
        <w:gridCol w:w="745"/>
        <w:gridCol w:w="746"/>
        <w:gridCol w:w="1342"/>
      </w:tblGrid>
      <w:tr>
        <w:trPr>
          <w:trHeight w:val="490" w:hRule="exact"/>
        </w:trPr>
        <w:tc>
          <w:tcPr>
            <w:tcW w:w="12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2009-12-31</w:t>
            </w:r>
          </w:p>
        </w:tc>
        <w:tc>
          <w:tcPr>
            <w:tcW w:w="50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left="155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2010-12-31</w:t>
            </w:r>
          </w:p>
        </w:tc>
      </w:tr>
      <w:tr>
        <w:trPr>
          <w:trHeight w:val="490" w:hRule="exact"/>
        </w:trPr>
        <w:tc>
          <w:tcPr>
            <w:tcW w:w="1258" w:type="dxa"/>
            <w:vMerge/>
            <w:tcBorders>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2" w:type="dxa"/>
            <w:vMerge/>
            <w:tcBorders>
              <w:left w:val="single" w:sz="4" w:space="0" w:color="000000"/>
              <w:bottom w:val="single" w:sz="4" w:space="0" w:color="000000"/>
              <w:right w:val="single" w:sz="4" w:space="0" w:color="000000"/>
            </w:tcBorders>
          </w:tcPr>
          <w:p>
            <w:pPr/>
          </w:p>
        </w:tc>
      </w:tr>
      <w:tr>
        <w:trPr>
          <w:trHeight w:val="491"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b/>
                <w:sz w:val="18"/>
              </w:rPr>
              <w:t>357,973,531.00</w:t>
            </w:r>
            <w:r>
              <w:rPr>
                <w:rFonts w:ascii="Times New Roman"/>
                <w:sz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b/>
                <w:sz w:val="18"/>
              </w:rPr>
              <w:t>357,973,531.00</w:t>
            </w:r>
            <w:r>
              <w:rPr>
                <w:rFonts w:ascii="Times New Roman"/>
                <w:sz w:val="18"/>
              </w:rPr>
            </w:r>
          </w:p>
        </w:tc>
      </w:tr>
    </w:tbl>
    <w:p>
      <w:pPr>
        <w:spacing w:line="240" w:lineRule="auto" w:before="3"/>
        <w:rPr>
          <w:rFonts w:ascii="黑体" w:hAnsi="黑体" w:cs="黑体" w:eastAsia="黑体" w:hint="default"/>
          <w:sz w:val="12"/>
          <w:szCs w:val="12"/>
        </w:rPr>
      </w:pPr>
    </w:p>
    <w:p>
      <w:pPr>
        <w:pStyle w:val="BodyText"/>
        <w:spacing w:line="240" w:lineRule="auto" w:before="35"/>
        <w:ind w:left="641" w:right="209"/>
        <w:jc w:val="left"/>
        <w:rPr>
          <w:rFonts w:ascii="黑体" w:hAnsi="黑体" w:cs="黑体" w:eastAsia="黑体" w:hint="default"/>
        </w:rPr>
      </w:pPr>
      <w:r>
        <w:rPr>
          <w:rFonts w:ascii="Times New Roman" w:hAnsi="Times New Roman" w:cs="Times New Roman" w:eastAsia="Times New Roman" w:hint="default"/>
        </w:rPr>
        <w:t>28.</w:t>
      </w:r>
      <w:r>
        <w:rPr>
          <w:rFonts w:ascii="Times New Roman" w:hAnsi="Times New Roman" w:cs="Times New Roman" w:eastAsia="Times New Roman" w:hint="default"/>
          <w:spacing w:val="-17"/>
        </w:rPr>
        <w:t> </w:t>
      </w:r>
      <w:r>
        <w:rPr>
          <w:rFonts w:ascii="黑体" w:hAnsi="黑体" w:cs="黑体" w:eastAsia="黑体" w:hint="default"/>
        </w:rPr>
        <w:t>资本公积</w:t>
      </w:r>
    </w:p>
    <w:p>
      <w:pPr>
        <w:spacing w:line="240" w:lineRule="auto" w:before="10"/>
        <w:rPr>
          <w:rFonts w:ascii="黑体" w:hAnsi="黑体" w:cs="黑体" w:eastAsia="黑体" w:hint="default"/>
          <w:sz w:val="11"/>
          <w:szCs w:val="11"/>
        </w:rPr>
      </w:pPr>
    </w:p>
    <w:tbl>
      <w:tblPr>
        <w:tblW w:w="0" w:type="auto"/>
        <w:jc w:val="left"/>
        <w:tblInd w:w="186" w:type="dxa"/>
        <w:tblLayout w:type="fixed"/>
        <w:tblCellMar>
          <w:top w:w="0" w:type="dxa"/>
          <w:left w:w="0" w:type="dxa"/>
          <w:bottom w:w="0" w:type="dxa"/>
          <w:right w:w="0" w:type="dxa"/>
        </w:tblCellMar>
        <w:tblLook w:val="01E0"/>
      </w:tblPr>
      <w:tblGrid>
        <w:gridCol w:w="1759"/>
        <w:gridCol w:w="1760"/>
        <w:gridCol w:w="1759"/>
        <w:gridCol w:w="1760"/>
        <w:gridCol w:w="1760"/>
      </w:tblGrid>
      <w:tr>
        <w:trPr>
          <w:trHeight w:val="431"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2009-12-31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2010-12-31</w:t>
            </w:r>
          </w:p>
        </w:tc>
      </w:tr>
      <w:tr>
        <w:trPr>
          <w:trHeight w:val="43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5"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tabs>
                <w:tab w:pos="565" w:val="left" w:leader="none"/>
              </w:tabs>
              <w:spacing w:line="240" w:lineRule="auto" w:before="156"/>
              <w:ind w:left="-125" w:right="58"/>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pacing w:val="-1"/>
                <w:sz w:val="18"/>
                <w:szCs w:val="18"/>
              </w:rPr>
              <w:t>247,877,838.42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247,877,838.42</w:t>
            </w:r>
          </w:p>
        </w:tc>
      </w:tr>
      <w:tr>
        <w:trPr>
          <w:trHeight w:val="43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14,870,213.63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377,254,359.12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392,124,572.75</w:t>
            </w:r>
          </w:p>
        </w:tc>
      </w:tr>
      <w:tr>
        <w:trPr>
          <w:trHeight w:val="431"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262,748,052.05</w:t>
            </w:r>
            <w:r>
              <w:rPr>
                <w:rFonts w:ascii="Times New Roman"/>
                <w:spacing w:val="-1"/>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377,254,359.12</w:t>
            </w:r>
            <w:r>
              <w:rPr>
                <w:rFonts w:ascii="Times New Roman"/>
                <w:spacing w:val="-1"/>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640,002,411.17</w:t>
            </w:r>
            <w:r>
              <w:rPr>
                <w:rFonts w:ascii="Times New Roman"/>
                <w:spacing w:val="-1"/>
                <w:sz w:val="18"/>
              </w:rPr>
            </w:r>
          </w:p>
        </w:tc>
      </w:tr>
    </w:tbl>
    <w:p>
      <w:pPr>
        <w:spacing w:line="240" w:lineRule="auto" w:before="3"/>
        <w:rPr>
          <w:rFonts w:ascii="黑体" w:hAnsi="黑体" w:cs="黑体" w:eastAsia="黑体" w:hint="default"/>
          <w:sz w:val="12"/>
          <w:szCs w:val="12"/>
        </w:rPr>
      </w:pPr>
    </w:p>
    <w:p>
      <w:pPr>
        <w:pStyle w:val="BodyText"/>
        <w:spacing w:line="348" w:lineRule="auto" w:before="35"/>
        <w:ind w:left="221" w:right="123" w:firstLine="420"/>
        <w:jc w:val="left"/>
      </w:pPr>
      <w:r>
        <w:rPr/>
        <w:t>本期增加的资本公积主要为股东无偿让渡本公司股票用以支付本公司重整费用和共益债务、 清偿本公司部分债务以及保全本公司主要子公司经营资产而形成的资本公积，具体明细如下：</w:t>
      </w:r>
    </w:p>
    <w:p>
      <w:pPr>
        <w:spacing w:line="240" w:lineRule="auto" w:before="11"/>
        <w:rPr>
          <w:rFonts w:ascii="宋体" w:hAnsi="宋体" w:cs="宋体" w:eastAsia="宋体" w:hint="default"/>
          <w:sz w:val="5"/>
          <w:szCs w:val="5"/>
        </w:rPr>
      </w:pPr>
    </w:p>
    <w:tbl>
      <w:tblPr>
        <w:tblW w:w="0" w:type="auto"/>
        <w:jc w:val="left"/>
        <w:tblInd w:w="186" w:type="dxa"/>
        <w:tblLayout w:type="fixed"/>
        <w:tblCellMar>
          <w:top w:w="0" w:type="dxa"/>
          <w:left w:w="0" w:type="dxa"/>
          <w:bottom w:w="0" w:type="dxa"/>
          <w:right w:w="0" w:type="dxa"/>
        </w:tblCellMar>
        <w:tblLook w:val="01E0"/>
      </w:tblPr>
      <w:tblGrid>
        <w:gridCol w:w="4170"/>
        <w:gridCol w:w="1799"/>
        <w:gridCol w:w="2831"/>
      </w:tblGrid>
      <w:tr>
        <w:trPr>
          <w:trHeight w:val="430"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130"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本公司股东让渡股份增加的资本公积</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382,448,062.08</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6"/>
              <w:ind w:left="23" w:right="11"/>
              <w:jc w:val="both"/>
              <w:rPr>
                <w:rFonts w:ascii="宋体" w:hAnsi="宋体" w:cs="宋体" w:eastAsia="宋体" w:hint="default"/>
                <w:sz w:val="18"/>
                <w:szCs w:val="18"/>
              </w:rPr>
            </w:pPr>
            <w:r>
              <w:rPr>
                <w:rFonts w:ascii="宋体" w:hAnsi="宋体" w:cs="宋体" w:eastAsia="宋体" w:hint="default"/>
                <w:spacing w:val="4"/>
                <w:sz w:val="18"/>
                <w:szCs w:val="18"/>
              </w:rPr>
              <w:t>根据重整计划，本公司股东共让渡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公司股份 </w:t>
            </w:r>
            <w:r>
              <w:rPr>
                <w:rFonts w:ascii="Times New Roman" w:hAnsi="Times New Roman" w:cs="Times New Roman" w:eastAsia="Times New Roman" w:hint="default"/>
                <w:sz w:val="18"/>
                <w:szCs w:val="18"/>
              </w:rPr>
              <w:t>44,264,819 </w:t>
            </w:r>
            <w:r>
              <w:rPr>
                <w:rFonts w:ascii="宋体" w:hAnsi="宋体" w:cs="宋体" w:eastAsia="宋体" w:hint="default"/>
                <w:sz w:val="18"/>
                <w:szCs w:val="18"/>
              </w:rPr>
              <w:t>股，按照</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8.64 </w:t>
            </w:r>
            <w:r>
              <w:rPr>
                <w:rFonts w:ascii="宋体" w:hAnsi="宋体" w:cs="宋体" w:eastAsia="宋体" w:hint="default"/>
                <w:spacing w:val="13"/>
                <w:sz w:val="18"/>
                <w:szCs w:val="18"/>
              </w:rPr>
              <w:t>元</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股计算，增加本公司资本公积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3.82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2530"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期初少数股东权益增加资本公积</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2,945,390.88</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3" w:right="20"/>
              <w:jc w:val="both"/>
              <w:rPr>
                <w:rFonts w:ascii="宋体" w:hAnsi="宋体" w:cs="宋体" w:eastAsia="宋体" w:hint="default"/>
                <w:sz w:val="18"/>
                <w:szCs w:val="18"/>
              </w:rPr>
            </w:pPr>
            <w:r>
              <w:rPr>
                <w:rFonts w:ascii="宋体" w:hAnsi="宋体" w:cs="宋体" w:eastAsia="宋体" w:hint="default"/>
                <w:spacing w:val="4"/>
                <w:sz w:val="18"/>
                <w:szCs w:val="18"/>
              </w:rPr>
              <w:t>期初少数股东权益为实业公司之少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数股东拥有，根据重整计划，实业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公司除本公司外的其他股东让渡持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有的全部实业公司股份。实业公司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其他股东让渡的全部股份由本公司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受让，实业公司在重整计划执行完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毕后成为本公司的全资子公司。故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期初少数股东权益增加本公司资本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公积。</w:t>
            </w:r>
          </w:p>
        </w:tc>
      </w:tr>
      <w:tr>
        <w:trPr>
          <w:trHeight w:val="1130"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合并抵销子公司期末持有的可供出售金融资产金额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-7,819,242.84</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3" w:right="20"/>
              <w:jc w:val="both"/>
              <w:rPr>
                <w:rFonts w:ascii="宋体" w:hAnsi="宋体" w:cs="宋体" w:eastAsia="宋体" w:hint="default"/>
                <w:sz w:val="18"/>
                <w:szCs w:val="18"/>
              </w:rPr>
            </w:pPr>
            <w:r>
              <w:rPr>
                <w:rFonts w:ascii="宋体" w:hAnsi="宋体" w:cs="宋体" w:eastAsia="宋体" w:hint="default"/>
                <w:spacing w:val="4"/>
                <w:sz w:val="18"/>
                <w:szCs w:val="18"/>
              </w:rPr>
              <w:t>为本公司之子公司作为债权人申报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债权分得的本公司股票，期末将子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公司持有的本公司股票在合并时抵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w:t>
            </w:r>
          </w:p>
        </w:tc>
      </w:tr>
      <w:tr>
        <w:trPr>
          <w:trHeight w:val="1129"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2" w:lineRule="exact"/>
              <w:ind w:left="25" w:right="22" w:firstLine="90"/>
              <w:jc w:val="left"/>
              <w:rPr>
                <w:rFonts w:ascii="宋体" w:hAnsi="宋体" w:cs="宋体" w:eastAsia="宋体" w:hint="default"/>
                <w:sz w:val="18"/>
                <w:szCs w:val="18"/>
              </w:rPr>
            </w:pPr>
            <w:r>
              <w:rPr>
                <w:rFonts w:ascii="宋体" w:hAnsi="宋体" w:cs="宋体" w:eastAsia="宋体" w:hint="default"/>
                <w:spacing w:val="2"/>
                <w:sz w:val="18"/>
                <w:szCs w:val="18"/>
              </w:rPr>
              <w:t>子公司期末持有可供出售金融资产公允价值变动金 </w:t>
            </w:r>
            <w:r>
              <w:rPr>
                <w:rFonts w:ascii="宋体" w:hAnsi="宋体" w:cs="宋体" w:eastAsia="宋体" w:hint="default"/>
                <w:sz w:val="18"/>
                <w:szCs w:val="18"/>
              </w:rPr>
              <w:t>额计入资本公积金额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-319,851.00</w:t>
            </w:r>
            <w:r>
              <w:rPr>
                <w:rFonts w:ascii="Times New Roman"/>
                <w:sz w:val="18"/>
              </w:rPr>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 w:right="20"/>
              <w:jc w:val="both"/>
              <w:rPr>
                <w:rFonts w:ascii="宋体" w:hAnsi="宋体" w:cs="宋体" w:eastAsia="宋体" w:hint="default"/>
                <w:sz w:val="18"/>
                <w:szCs w:val="18"/>
              </w:rPr>
            </w:pPr>
            <w:r>
              <w:rPr>
                <w:rFonts w:ascii="宋体" w:hAnsi="宋体" w:cs="宋体" w:eastAsia="宋体" w:hint="default"/>
                <w:spacing w:val="4"/>
                <w:sz w:val="18"/>
                <w:szCs w:val="18"/>
              </w:rPr>
              <w:t>为本公司之子公司作为债权人申报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债权分得的本公司股票，期末按公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允价值计算，变动损益计入资本公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积。</w:t>
            </w:r>
          </w:p>
        </w:tc>
      </w:tr>
      <w:tr>
        <w:trPr>
          <w:trHeight w:val="431"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pacing w:val="-1"/>
                <w:sz w:val="18"/>
              </w:rPr>
              <w:t>377,254,359.12</w:t>
            </w:r>
            <w:r>
              <w:rPr>
                <w:rFonts w:ascii="Times New Roman"/>
                <w:spacing w:val="-1"/>
                <w:sz w:val="18"/>
              </w:rPr>
            </w:r>
          </w:p>
        </w:tc>
        <w:tc>
          <w:tcPr>
            <w:tcW w:w="2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2"/>
          <w:szCs w:val="12"/>
        </w:rPr>
      </w:pPr>
    </w:p>
    <w:p>
      <w:pPr>
        <w:pStyle w:val="BodyText"/>
        <w:spacing w:line="240" w:lineRule="auto" w:before="35"/>
        <w:ind w:left="641" w:right="209"/>
        <w:jc w:val="left"/>
      </w:pPr>
      <w:r>
        <w:rPr/>
        <w:t>公司重整事项详见附注十。</w:t>
      </w:r>
    </w:p>
    <w:p>
      <w:pPr>
        <w:spacing w:after="0" w:line="240" w:lineRule="auto"/>
        <w:jc w:val="left"/>
        <w:sectPr>
          <w:pgSz w:w="11910" w:h="16840"/>
          <w:pgMar w:header="0" w:footer="893" w:top="1140" w:bottom="1080" w:left="1480" w:right="1240"/>
        </w:sectPr>
      </w:pPr>
    </w:p>
    <w:p>
      <w:pPr>
        <w:spacing w:line="240" w:lineRule="auto" w:before="5"/>
        <w:rPr>
          <w:rFonts w:ascii="宋体" w:hAnsi="宋体" w:cs="宋体" w:eastAsia="宋体" w:hint="default"/>
          <w:sz w:val="23"/>
          <w:szCs w:val="23"/>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29.</w:t>
      </w:r>
      <w:r>
        <w:rPr>
          <w:rFonts w:ascii="Times New Roman" w:hAnsi="Times New Roman" w:cs="Times New Roman" w:eastAsia="Times New Roman" w:hint="default"/>
          <w:spacing w:val="-17"/>
        </w:rPr>
        <w:t> </w:t>
      </w:r>
      <w:r>
        <w:rPr>
          <w:rFonts w:ascii="黑体" w:hAnsi="黑体" w:cs="黑体" w:eastAsia="黑体" w:hint="default"/>
        </w:rPr>
        <w:t>盈余公积</w:t>
      </w:r>
    </w:p>
    <w:p>
      <w:pPr>
        <w:spacing w:line="240" w:lineRule="auto" w:before="10"/>
        <w:rPr>
          <w:rFonts w:ascii="黑体" w:hAnsi="黑体" w:cs="黑体" w:eastAsia="黑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759"/>
        <w:gridCol w:w="1760"/>
        <w:gridCol w:w="1759"/>
        <w:gridCol w:w="1760"/>
        <w:gridCol w:w="1760"/>
      </w:tblGrid>
      <w:tr>
        <w:trPr>
          <w:trHeight w:val="43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692"/>
              <w:jc w:val="right"/>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2009-12-31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2010-12-31</w:t>
            </w:r>
          </w:p>
        </w:tc>
      </w:tr>
      <w:tr>
        <w:trPr>
          <w:trHeight w:val="431"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642"/>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65,738,593.50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43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69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b/>
                <w:spacing w:val="-1"/>
                <w:sz w:val="18"/>
              </w:rPr>
              <w:t>65,738,593.50</w:t>
            </w:r>
            <w:r>
              <w:rPr>
                <w:rFonts w:ascii="Times New Roman"/>
                <w:spacing w:val="-1"/>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w:t>
            </w:r>
            <w:r>
              <w:rPr>
                <w:rFonts w:ascii="Times New Roman"/>
                <w:spacing w:val="-1"/>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b/>
                <w:spacing w:val="-1"/>
                <w:sz w:val="18"/>
              </w:rPr>
              <w:t>65,738,593.50</w:t>
            </w:r>
            <w:r>
              <w:rPr>
                <w:rFonts w:ascii="Times New Roman"/>
                <w:spacing w:val="-1"/>
                <w:sz w:val="18"/>
              </w:rPr>
            </w:r>
          </w:p>
        </w:tc>
      </w:tr>
    </w:tbl>
    <w:p>
      <w:pPr>
        <w:spacing w:line="240" w:lineRule="auto" w:before="3"/>
        <w:rPr>
          <w:rFonts w:ascii="黑体" w:hAnsi="黑体" w:cs="黑体" w:eastAsia="黑体" w:hint="default"/>
          <w:sz w:val="12"/>
          <w:szCs w:val="12"/>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30.</w:t>
      </w:r>
      <w:r>
        <w:rPr>
          <w:rFonts w:ascii="Times New Roman" w:hAnsi="Times New Roman" w:cs="Times New Roman" w:eastAsia="Times New Roman" w:hint="default"/>
          <w:spacing w:val="-17"/>
        </w:rPr>
        <w:t> </w:t>
      </w:r>
      <w:r>
        <w:rPr>
          <w:rFonts w:ascii="黑体" w:hAnsi="黑体" w:cs="黑体" w:eastAsia="黑体" w:hint="default"/>
        </w:rPr>
        <w:t>未分配利润</w:t>
      </w:r>
    </w:p>
    <w:p>
      <w:pPr>
        <w:spacing w:line="240" w:lineRule="auto" w:before="11"/>
        <w:rPr>
          <w:rFonts w:ascii="黑体" w:hAnsi="黑体" w:cs="黑体" w:eastAsia="黑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854"/>
        <w:gridCol w:w="2448"/>
        <w:gridCol w:w="2572"/>
      </w:tblGrid>
      <w:tr>
        <w:trPr>
          <w:trHeight w:val="410"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662"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12"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上年末未分配利润</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-1,495,799,665.75</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加：其他转入</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12"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498,142,241.73</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w:t>
            </w:r>
          </w:p>
        </w:tc>
      </w:tr>
      <w:tr>
        <w:trPr>
          <w:trHeight w:val="410"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12"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8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8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12"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8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pacing w:val="-1"/>
                <w:sz w:val="18"/>
              </w:rPr>
              <w:t>-997,657,424.02</w:t>
            </w:r>
            <w:r>
              <w:rPr>
                <w:rFonts w:ascii="Times New Roman"/>
                <w:spacing w:val="-1"/>
                <w:sz w:val="18"/>
              </w:rPr>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3"/>
        <w:rPr>
          <w:rFonts w:ascii="黑体" w:hAnsi="黑体" w:cs="黑体" w:eastAsia="黑体" w:hint="default"/>
          <w:sz w:val="12"/>
          <w:szCs w:val="12"/>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rFonts w:ascii="黑体" w:hAnsi="黑体" w:cs="黑体" w:eastAsia="黑体" w:hint="default"/>
        </w:rPr>
        <w:t>营业收入和营业成本</w:t>
      </w:r>
    </w:p>
    <w:p>
      <w:pPr>
        <w:spacing w:line="240" w:lineRule="auto" w:before="6"/>
        <w:rPr>
          <w:rFonts w:ascii="黑体" w:hAnsi="黑体" w:cs="黑体" w:eastAsia="黑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1</w:t>
      </w:r>
      <w:r>
        <w:rPr/>
        <w:t>）营业收入和营业成本</w:t>
      </w:r>
    </w:p>
    <w:p>
      <w:pPr>
        <w:spacing w:line="240" w:lineRule="auto" w:before="6"/>
        <w:rPr>
          <w:rFonts w:ascii="宋体" w:hAnsi="宋体" w:cs="宋体" w:eastAsia="宋体" w:hint="default"/>
          <w:sz w:val="6"/>
          <w:szCs w:val="6"/>
        </w:rPr>
      </w:pPr>
    </w:p>
    <w:tbl>
      <w:tblPr>
        <w:tblW w:w="0" w:type="auto"/>
        <w:jc w:val="left"/>
        <w:tblInd w:w="136" w:type="dxa"/>
        <w:tblLayout w:type="fixed"/>
        <w:tblCellMar>
          <w:top w:w="0" w:type="dxa"/>
          <w:left w:w="0" w:type="dxa"/>
          <w:bottom w:w="0" w:type="dxa"/>
          <w:right w:w="0" w:type="dxa"/>
        </w:tblCellMar>
        <w:tblLook w:val="01E0"/>
      </w:tblPr>
      <w:tblGrid>
        <w:gridCol w:w="2878"/>
        <w:gridCol w:w="2987"/>
        <w:gridCol w:w="2983"/>
      </w:tblGrid>
      <w:tr>
        <w:trPr>
          <w:trHeight w:val="37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402,162,769.87</w:t>
            </w:r>
            <w:r>
              <w:rPr>
                <w:rFonts w:ascii="Times New Roman"/>
                <w:spacing w:val="-1"/>
                <w:sz w:val="18"/>
              </w:rPr>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b/>
                <w:spacing w:val="-1"/>
                <w:sz w:val="18"/>
              </w:rPr>
              <w:t>339,365,609.55</w:t>
            </w:r>
            <w:r>
              <w:rPr>
                <w:rFonts w:ascii="Times New Roman"/>
                <w:spacing w:val="-1"/>
                <w:sz w:val="18"/>
              </w:rPr>
            </w:r>
          </w:p>
        </w:tc>
      </w:tr>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395,368,010.68</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334,142,662.04</w:t>
            </w:r>
          </w:p>
        </w:tc>
      </w:tr>
      <w:tr>
        <w:trPr>
          <w:trHeight w:val="37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45"/>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6,794,759.19</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5,222,947.51</w:t>
            </w:r>
          </w:p>
        </w:tc>
      </w:tr>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331,169,242.47</w:t>
            </w:r>
            <w:r>
              <w:rPr>
                <w:rFonts w:ascii="Times New Roman"/>
                <w:spacing w:val="-1"/>
                <w:sz w:val="18"/>
              </w:rPr>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b/>
                <w:spacing w:val="-1"/>
                <w:sz w:val="18"/>
              </w:rPr>
              <w:t>279,829,185.68</w:t>
            </w:r>
            <w:r>
              <w:rPr>
                <w:rFonts w:ascii="Times New Roman"/>
                <w:spacing w:val="-1"/>
                <w:sz w:val="18"/>
              </w:rPr>
            </w:r>
          </w:p>
        </w:tc>
      </w:tr>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327,522,716.92</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276,317,138.80</w:t>
            </w:r>
          </w:p>
        </w:tc>
      </w:tr>
      <w:tr>
        <w:trPr>
          <w:trHeight w:val="37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45"/>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3,646,525.55</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3,512,046.88</w:t>
            </w:r>
          </w:p>
        </w:tc>
      </w:tr>
    </w:tbl>
    <w:p>
      <w:pPr>
        <w:spacing w:line="240" w:lineRule="auto" w:before="12"/>
        <w:rPr>
          <w:rFonts w:ascii="宋体" w:hAnsi="宋体" w:cs="宋体" w:eastAsia="宋体" w:hint="default"/>
          <w:sz w:val="15"/>
          <w:szCs w:val="15"/>
        </w:rPr>
      </w:pPr>
    </w:p>
    <w:p>
      <w:pPr>
        <w:pStyle w:val="BodyText"/>
        <w:spacing w:line="240" w:lineRule="auto" w:before="35"/>
        <w:ind w:right="0"/>
        <w:jc w:val="left"/>
      </w:pPr>
      <w:r>
        <w:rPr/>
        <w:t>（</w:t>
      </w:r>
      <w:r>
        <w:rPr>
          <w:rFonts w:ascii="Times New Roman" w:hAnsi="Times New Roman" w:cs="Times New Roman" w:eastAsia="Times New Roman" w:hint="default"/>
        </w:rPr>
        <w:t>2</w:t>
      </w:r>
      <w:r>
        <w:rPr/>
        <w:t>）主营业务（分行业）</w:t>
      </w:r>
    </w:p>
    <w:p>
      <w:pPr>
        <w:spacing w:line="240" w:lineRule="auto" w:before="5"/>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766"/>
        <w:gridCol w:w="1766"/>
        <w:gridCol w:w="1768"/>
        <w:gridCol w:w="1766"/>
        <w:gridCol w:w="1800"/>
      </w:tblGrid>
      <w:tr>
        <w:trPr>
          <w:trHeight w:val="370" w:hRule="exact"/>
        </w:trPr>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1" w:hRule="exact"/>
        </w:trPr>
        <w:tc>
          <w:tcPr>
            <w:tcW w:w="1766"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3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b/>
                <w:bCs/>
                <w:sz w:val="18"/>
                <w:szCs w:val="18"/>
              </w:rPr>
              <w:t>一、主营业务收入</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b/>
                <w:spacing w:val="-1"/>
                <w:sz w:val="18"/>
              </w:rPr>
              <w:t>395,368,010.68</w:t>
            </w:r>
            <w:r>
              <w:rPr>
                <w:rFonts w:ascii="Times New Roman"/>
                <w:spacing w:val="-1"/>
                <w:sz w:val="18"/>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b/>
                <w:spacing w:val="-1"/>
                <w:sz w:val="18"/>
              </w:rPr>
              <w:t>327,522,716.92</w:t>
            </w:r>
            <w:r>
              <w:rPr>
                <w:rFonts w:ascii="Times New Roman"/>
                <w:spacing w:val="-1"/>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b/>
                <w:spacing w:val="-1"/>
                <w:sz w:val="18"/>
              </w:rPr>
              <w:t>334,142,662.04</w:t>
            </w:r>
            <w:r>
              <w:rPr>
                <w:rFonts w:ascii="Times New Roman"/>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4"/>
              <w:jc w:val="right"/>
              <w:rPr>
                <w:rFonts w:ascii="Times New Roman" w:hAnsi="Times New Roman" w:cs="Times New Roman" w:eastAsia="Times New Roman" w:hint="default"/>
                <w:sz w:val="18"/>
                <w:szCs w:val="18"/>
              </w:rPr>
            </w:pPr>
            <w:r>
              <w:rPr>
                <w:rFonts w:ascii="Times New Roman"/>
                <w:b/>
                <w:spacing w:val="-1"/>
                <w:sz w:val="18"/>
              </w:rPr>
              <w:t>276,317,138.80</w:t>
            </w:r>
            <w:r>
              <w:rPr>
                <w:rFonts w:ascii="Times New Roman"/>
                <w:spacing w:val="-1"/>
                <w:sz w:val="18"/>
              </w:rPr>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其中：工业</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196,740,060.04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147,461,234.87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161,742,666.28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119,989,834.29</w:t>
            </w:r>
          </w:p>
        </w:tc>
      </w:tr>
      <w:tr>
        <w:trPr>
          <w:trHeight w:val="37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50" w:right="0"/>
              <w:jc w:val="left"/>
              <w:rPr>
                <w:rFonts w:ascii="宋体" w:hAnsi="宋体" w:cs="宋体" w:eastAsia="宋体" w:hint="default"/>
                <w:sz w:val="18"/>
                <w:szCs w:val="18"/>
              </w:rPr>
            </w:pPr>
            <w:r>
              <w:rPr>
                <w:rFonts w:ascii="宋体" w:hAnsi="宋体" w:cs="宋体" w:eastAsia="宋体" w:hint="default"/>
                <w:sz w:val="18"/>
                <w:szCs w:val="18"/>
              </w:rPr>
              <w:t>农畜业</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192,317,537.05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180,050,693.16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165,926,542.95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156,149,526.63</w:t>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0" w:right="0"/>
              <w:jc w:val="left"/>
              <w:rPr>
                <w:rFonts w:ascii="宋体" w:hAnsi="宋体" w:cs="宋体" w:eastAsia="宋体" w:hint="default"/>
                <w:sz w:val="18"/>
                <w:szCs w:val="18"/>
              </w:rPr>
            </w:pPr>
            <w:r>
              <w:rPr>
                <w:rFonts w:ascii="宋体" w:hAnsi="宋体" w:cs="宋体" w:eastAsia="宋体" w:hint="default"/>
                <w:sz w:val="18"/>
                <w:szCs w:val="18"/>
              </w:rPr>
              <w:t>物业管理及出租</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6,233,697.59</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9"/>
              <w:jc w:val="right"/>
              <w:rPr>
                <w:rFonts w:ascii="Times New Roman" w:hAnsi="Times New Roman" w:cs="Times New Roman" w:eastAsia="Times New Roman" w:hint="default"/>
                <w:sz w:val="18"/>
                <w:szCs w:val="18"/>
              </w:rPr>
            </w:pPr>
            <w:r>
              <w:rPr>
                <w:rFonts w:ascii="Times New Roman"/>
                <w:sz w:val="18"/>
              </w:rPr>
              <w:t>10,788.89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6,183,052.81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9"/>
              <w:jc w:val="right"/>
              <w:rPr>
                <w:rFonts w:ascii="Times New Roman" w:hAnsi="Times New Roman" w:cs="Times New Roman" w:eastAsia="Times New Roman" w:hint="default"/>
                <w:sz w:val="18"/>
                <w:szCs w:val="18"/>
              </w:rPr>
            </w:pPr>
            <w:r>
              <w:rPr>
                <w:rFonts w:ascii="Times New Roman"/>
                <w:sz w:val="18"/>
              </w:rPr>
              <w:t>10,788.89</w:t>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50"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z w:val="18"/>
              </w:rPr>
              <w:t>76,716.00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z w:val="18"/>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z w:val="18"/>
              </w:rPr>
              <w:t>290,400.00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5"/>
              <w:jc w:val="right"/>
              <w:rPr>
                <w:rFonts w:ascii="Times New Roman" w:hAnsi="Times New Roman" w:cs="Times New Roman" w:eastAsia="Times New Roman" w:hint="default"/>
                <w:sz w:val="18"/>
                <w:szCs w:val="18"/>
              </w:rPr>
            </w:pPr>
            <w:r>
              <w:rPr>
                <w:rFonts w:ascii="Times New Roman"/>
                <w:sz w:val="18"/>
              </w:rPr>
              <w:t>166,988.99</w:t>
            </w:r>
          </w:p>
        </w:tc>
      </w:tr>
      <w:tr>
        <w:trPr>
          <w:trHeight w:val="37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b/>
                <w:bCs/>
                <w:sz w:val="18"/>
                <w:szCs w:val="18"/>
              </w:rPr>
              <w:t>二、其他业务收入</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4"/>
              <w:jc w:val="right"/>
              <w:rPr>
                <w:rFonts w:ascii="Times New Roman" w:hAnsi="Times New Roman" w:cs="Times New Roman" w:eastAsia="Times New Roman" w:hint="default"/>
                <w:sz w:val="18"/>
                <w:szCs w:val="18"/>
              </w:rPr>
            </w:pPr>
            <w:r>
              <w:rPr>
                <w:rFonts w:ascii="Times New Roman"/>
                <w:b/>
                <w:spacing w:val="-1"/>
                <w:sz w:val="18"/>
              </w:rPr>
              <w:t>6,794,759.19</w:t>
            </w:r>
            <w:r>
              <w:rPr>
                <w:rFonts w:ascii="Times New Roman"/>
                <w:spacing w:val="-1"/>
                <w:sz w:val="18"/>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4"/>
              <w:jc w:val="right"/>
              <w:rPr>
                <w:rFonts w:ascii="Times New Roman" w:hAnsi="Times New Roman" w:cs="Times New Roman" w:eastAsia="Times New Roman" w:hint="default"/>
                <w:sz w:val="18"/>
                <w:szCs w:val="18"/>
              </w:rPr>
            </w:pPr>
            <w:r>
              <w:rPr>
                <w:rFonts w:ascii="Times New Roman"/>
                <w:b/>
                <w:spacing w:val="-1"/>
                <w:sz w:val="18"/>
              </w:rPr>
              <w:t>3,646,525.55</w:t>
            </w:r>
            <w:r>
              <w:rPr>
                <w:rFonts w:ascii="Times New Roman"/>
                <w:spacing w:val="-1"/>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b/>
                <w:spacing w:val="-1"/>
                <w:sz w:val="18"/>
              </w:rPr>
              <w:t>5,222,947.51</w:t>
            </w:r>
            <w:r>
              <w:rPr>
                <w:rFonts w:ascii="Times New Roman"/>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6"/>
              <w:jc w:val="right"/>
              <w:rPr>
                <w:rFonts w:ascii="Times New Roman" w:hAnsi="Times New Roman" w:cs="Times New Roman" w:eastAsia="Times New Roman" w:hint="default"/>
                <w:sz w:val="18"/>
                <w:szCs w:val="18"/>
              </w:rPr>
            </w:pPr>
            <w:r>
              <w:rPr>
                <w:rFonts w:ascii="Times New Roman"/>
                <w:b/>
                <w:spacing w:val="-1"/>
                <w:sz w:val="18"/>
              </w:rPr>
              <w:t>3,512,046.88</w:t>
            </w:r>
            <w:r>
              <w:rPr>
                <w:rFonts w:ascii="Times New Roman"/>
                <w:spacing w:val="-1"/>
                <w:sz w:val="18"/>
              </w:rPr>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其中：加工</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1,447,710.41</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1,218,778.27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1,762,493.51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1,347,211.07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560" w:right="1240"/>
        </w:sectPr>
      </w:pPr>
    </w:p>
    <w:p>
      <w:pPr>
        <w:spacing w:line="240" w:lineRule="auto" w:before="4"/>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766"/>
        <w:gridCol w:w="1766"/>
        <w:gridCol w:w="1768"/>
        <w:gridCol w:w="1766"/>
        <w:gridCol w:w="1800"/>
      </w:tblGrid>
      <w:tr>
        <w:trPr>
          <w:trHeight w:val="370" w:hRule="exact"/>
        </w:trPr>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1766"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3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50"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5,347,048.78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2,427,747.28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3,460,454.00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6"/>
              <w:jc w:val="right"/>
              <w:rPr>
                <w:rFonts w:ascii="Times New Roman" w:hAnsi="Times New Roman" w:cs="Times New Roman" w:eastAsia="Times New Roman" w:hint="default"/>
                <w:sz w:val="18"/>
                <w:szCs w:val="18"/>
              </w:rPr>
            </w:pPr>
            <w:r>
              <w:rPr>
                <w:rFonts w:ascii="Times New Roman"/>
                <w:spacing w:val="-1"/>
                <w:sz w:val="18"/>
              </w:rPr>
              <w:t>2,164,835.81</w:t>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9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b/>
                <w:spacing w:val="-1"/>
                <w:sz w:val="18"/>
              </w:rPr>
              <w:t>402,162,769.87</w:t>
            </w:r>
            <w:r>
              <w:rPr>
                <w:rFonts w:ascii="Times New Roman"/>
                <w:spacing w:val="-1"/>
                <w:sz w:val="18"/>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b/>
                <w:spacing w:val="-1"/>
                <w:sz w:val="18"/>
              </w:rPr>
              <w:t>331,169,242.47</w:t>
            </w:r>
            <w:r>
              <w:rPr>
                <w:rFonts w:ascii="Times New Roman"/>
                <w:spacing w:val="-1"/>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b/>
                <w:spacing w:val="-1"/>
                <w:sz w:val="18"/>
              </w:rPr>
              <w:t>339,365,609.55</w:t>
            </w:r>
            <w:r>
              <w:rPr>
                <w:rFonts w:ascii="Times New Roman"/>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4"/>
              <w:jc w:val="right"/>
              <w:rPr>
                <w:rFonts w:ascii="Times New Roman" w:hAnsi="Times New Roman" w:cs="Times New Roman" w:eastAsia="Times New Roman" w:hint="default"/>
                <w:sz w:val="18"/>
                <w:szCs w:val="18"/>
              </w:rPr>
            </w:pPr>
            <w:r>
              <w:rPr>
                <w:rFonts w:ascii="Times New Roman"/>
                <w:b/>
                <w:spacing w:val="-1"/>
                <w:sz w:val="18"/>
              </w:rPr>
              <w:t>279,829,185.68</w:t>
            </w:r>
            <w:r>
              <w:rPr>
                <w:rFonts w:ascii="Times New Roman"/>
                <w:spacing w:val="-1"/>
                <w:sz w:val="18"/>
              </w:rPr>
            </w:r>
          </w:p>
        </w:tc>
      </w:tr>
    </w:tbl>
    <w:p>
      <w:pPr>
        <w:spacing w:line="240" w:lineRule="auto" w:before="12"/>
        <w:rPr>
          <w:rFonts w:ascii="宋体" w:hAnsi="宋体" w:cs="宋体" w:eastAsia="宋体" w:hint="default"/>
          <w:sz w:val="15"/>
          <w:szCs w:val="15"/>
        </w:rPr>
      </w:pPr>
    </w:p>
    <w:p>
      <w:pPr>
        <w:pStyle w:val="BodyText"/>
        <w:spacing w:line="240" w:lineRule="auto" w:before="35"/>
        <w:ind w:right="0"/>
        <w:jc w:val="left"/>
      </w:pPr>
      <w:r>
        <w:rPr/>
        <w:t>（</w:t>
      </w:r>
      <w:r>
        <w:rPr>
          <w:rFonts w:ascii="Times New Roman" w:hAnsi="Times New Roman" w:cs="Times New Roman" w:eastAsia="Times New Roman" w:hint="default"/>
        </w:rPr>
        <w:t>3</w:t>
      </w:r>
      <w:r>
        <w:rPr/>
        <w:t>）公司前五名客户的营业收入情况</w:t>
      </w:r>
    </w:p>
    <w:p>
      <w:pPr>
        <w:spacing w:line="240" w:lineRule="auto" w:before="5"/>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332"/>
        <w:gridCol w:w="2532"/>
        <w:gridCol w:w="2983"/>
      </w:tblGrid>
      <w:tr>
        <w:trPr>
          <w:trHeight w:val="45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1" w:right="0"/>
              <w:jc w:val="left"/>
              <w:rPr>
                <w:rFonts w:ascii="宋体" w:hAnsi="宋体" w:cs="宋体" w:eastAsia="宋体" w:hint="default"/>
                <w:sz w:val="18"/>
                <w:szCs w:val="18"/>
              </w:rPr>
            </w:pPr>
            <w:r>
              <w:rPr>
                <w:rFonts w:ascii="宋体" w:hAnsi="宋体" w:cs="宋体" w:eastAsia="宋体" w:hint="default"/>
                <w:sz w:val="18"/>
                <w:szCs w:val="18"/>
              </w:rPr>
              <w:t>东莞茶山袁照辉</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31,961,540.10</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7.95</w:t>
            </w:r>
          </w:p>
        </w:tc>
      </w:tr>
      <w:tr>
        <w:trPr>
          <w:trHeight w:val="40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1" w:right="0"/>
              <w:jc w:val="left"/>
              <w:rPr>
                <w:rFonts w:ascii="宋体" w:hAnsi="宋体" w:cs="宋体" w:eastAsia="宋体" w:hint="default"/>
                <w:sz w:val="18"/>
                <w:szCs w:val="18"/>
              </w:rPr>
            </w:pPr>
            <w:r>
              <w:rPr>
                <w:rFonts w:ascii="宋体" w:hAnsi="宋体" w:cs="宋体" w:eastAsia="宋体" w:hint="default"/>
                <w:sz w:val="18"/>
                <w:szCs w:val="18"/>
              </w:rPr>
              <w:t>北京市国顺泰科贸易有限公司</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24,971,201.57</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6.21</w:t>
            </w:r>
          </w:p>
        </w:tc>
      </w:tr>
      <w:tr>
        <w:trPr>
          <w:trHeight w:val="40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1" w:right="0"/>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中国电信股份有限公司安徽分公司</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12,692,644.43</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w:t>
            </w:r>
          </w:p>
        </w:tc>
      </w:tr>
      <w:tr>
        <w:trPr>
          <w:trHeight w:val="40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1" w:right="0"/>
              <w:jc w:val="left"/>
              <w:rPr>
                <w:rFonts w:ascii="宋体" w:hAnsi="宋体" w:cs="宋体" w:eastAsia="宋体" w:hint="default"/>
                <w:sz w:val="18"/>
                <w:szCs w:val="18"/>
              </w:rPr>
            </w:pPr>
            <w:r>
              <w:rPr>
                <w:rFonts w:ascii="宋体" w:hAnsi="宋体" w:cs="宋体" w:eastAsia="宋体" w:hint="default"/>
                <w:sz w:val="18"/>
                <w:szCs w:val="18"/>
              </w:rPr>
              <w:t>上海中邮华海通信设备有限公司</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9,573,504.87</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w:t>
            </w:r>
          </w:p>
        </w:tc>
      </w:tr>
      <w:tr>
        <w:trPr>
          <w:trHeight w:val="40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1" w:right="0"/>
              <w:jc w:val="left"/>
              <w:rPr>
                <w:rFonts w:ascii="宋体" w:hAnsi="宋体" w:cs="宋体" w:eastAsia="宋体" w:hint="default"/>
                <w:sz w:val="18"/>
                <w:szCs w:val="18"/>
              </w:rPr>
            </w:pPr>
            <w:r>
              <w:rPr>
                <w:rFonts w:ascii="宋体" w:hAnsi="宋体" w:cs="宋体" w:eastAsia="宋体" w:hint="default"/>
                <w:sz w:val="18"/>
                <w:szCs w:val="18"/>
              </w:rPr>
              <w:t>深圳泰丰网络技术有限公司</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8,839,904.95</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w:t>
            </w:r>
          </w:p>
        </w:tc>
      </w:tr>
      <w:tr>
        <w:trPr>
          <w:trHeight w:val="45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3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88,038,795.92</w:t>
            </w:r>
            <w:r>
              <w:rPr>
                <w:rFonts w:ascii="Times New Roman"/>
                <w:spacing w:val="-1"/>
                <w:sz w:val="18"/>
              </w:rPr>
            </w:r>
          </w:p>
        </w:tc>
        <w:tc>
          <w:tcPr>
            <w:tcW w:w="298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21.90</w:t>
            </w:r>
            <w:r>
              <w:rPr>
                <w:rFonts w:ascii="Times New Roman"/>
                <w:sz w:val="18"/>
              </w:rPr>
            </w:r>
          </w:p>
        </w:tc>
      </w:tr>
    </w:tbl>
    <w:p>
      <w:pPr>
        <w:spacing w:line="240" w:lineRule="auto" w:before="12"/>
        <w:rPr>
          <w:rFonts w:ascii="宋体" w:hAnsi="宋体" w:cs="宋体" w:eastAsia="宋体" w:hint="default"/>
          <w:sz w:val="15"/>
          <w:szCs w:val="15"/>
        </w:rPr>
      </w:pPr>
    </w:p>
    <w:p>
      <w:pPr>
        <w:pStyle w:val="BodyText"/>
        <w:spacing w:line="240" w:lineRule="auto" w:before="35"/>
        <w:ind w:right="0"/>
        <w:jc w:val="left"/>
        <w:rPr>
          <w:rFonts w:ascii="黑体" w:hAnsi="黑体" w:cs="黑体" w:eastAsia="黑体" w:hint="default"/>
        </w:rPr>
      </w:pPr>
      <w:r>
        <w:rPr>
          <w:rFonts w:ascii="Times New Roman" w:hAnsi="Times New Roman" w:cs="Times New Roman" w:eastAsia="Times New Roman" w:hint="default"/>
        </w:rPr>
        <w:t>32.</w:t>
      </w:r>
      <w:r>
        <w:rPr>
          <w:rFonts w:ascii="Times New Roman" w:hAnsi="Times New Roman" w:cs="Times New Roman" w:eastAsia="Times New Roman" w:hint="default"/>
          <w:spacing w:val="-17"/>
        </w:rPr>
        <w:t> </w:t>
      </w:r>
      <w:r>
        <w:rPr>
          <w:rFonts w:ascii="黑体" w:hAnsi="黑体" w:cs="黑体" w:eastAsia="黑体" w:hint="default"/>
        </w:rPr>
        <w:t>营业税金及附加</w:t>
      </w:r>
    </w:p>
    <w:p>
      <w:pPr>
        <w:spacing w:line="240" w:lineRule="auto" w:before="5"/>
        <w:rPr>
          <w:rFonts w:ascii="黑体" w:hAnsi="黑体" w:cs="黑体" w:eastAsia="黑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960"/>
        <w:gridCol w:w="2959"/>
        <w:gridCol w:w="2957"/>
      </w:tblGrid>
      <w:tr>
        <w:trPr>
          <w:trHeight w:val="372"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95"/>
              <w:jc w:val="right"/>
              <w:rPr>
                <w:rFonts w:ascii="宋体" w:hAnsi="宋体" w:cs="宋体" w:eastAsia="宋体" w:hint="default"/>
                <w:sz w:val="18"/>
                <w:szCs w:val="18"/>
              </w:rPr>
            </w:pPr>
            <w:r>
              <w:rPr>
                <w:rFonts w:ascii="宋体" w:hAnsi="宋体" w:cs="宋体" w:eastAsia="宋体" w:hint="default"/>
                <w:sz w:val="18"/>
                <w:szCs w:val="18"/>
              </w:rPr>
              <w:t>项目</w:t>
            </w:r>
          </w:p>
        </w:tc>
        <w:tc>
          <w:tcPr>
            <w:tcW w:w="295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5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0"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514,030.07</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442,280.59</w:t>
            </w:r>
          </w:p>
        </w:tc>
      </w:tr>
      <w:tr>
        <w:trPr>
          <w:trHeight w:val="390"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239,160.44</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88,603.65</w:t>
            </w:r>
          </w:p>
        </w:tc>
      </w:tr>
      <w:tr>
        <w:trPr>
          <w:trHeight w:val="390"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401,028.56</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263,973.08</w:t>
            </w:r>
          </w:p>
        </w:tc>
      </w:tr>
      <w:tr>
        <w:trPr>
          <w:trHeight w:val="391"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9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b/>
                <w:spacing w:val="-1"/>
                <w:sz w:val="18"/>
              </w:rPr>
              <w:t>1,154,219.07</w:t>
            </w:r>
            <w:r>
              <w:rPr>
                <w:rFonts w:ascii="Times New Roman"/>
                <w:spacing w:val="-1"/>
                <w:sz w:val="18"/>
              </w:rPr>
            </w:r>
          </w:p>
        </w:tc>
        <w:tc>
          <w:tcPr>
            <w:tcW w:w="295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right="23"/>
              <w:jc w:val="right"/>
              <w:rPr>
                <w:rFonts w:ascii="Times New Roman" w:hAnsi="Times New Roman" w:cs="Times New Roman" w:eastAsia="Times New Roman" w:hint="default"/>
                <w:sz w:val="18"/>
                <w:szCs w:val="18"/>
              </w:rPr>
            </w:pPr>
            <w:r>
              <w:rPr>
                <w:rFonts w:ascii="Times New Roman"/>
                <w:b/>
                <w:sz w:val="18"/>
              </w:rPr>
              <w:t>794,857.32</w:t>
            </w:r>
            <w:r>
              <w:rPr>
                <w:rFonts w:ascii="Times New Roman"/>
                <w:sz w:val="18"/>
              </w:rPr>
            </w:r>
          </w:p>
        </w:tc>
      </w:tr>
    </w:tbl>
    <w:p>
      <w:pPr>
        <w:spacing w:line="240" w:lineRule="auto" w:before="12"/>
        <w:rPr>
          <w:rFonts w:ascii="黑体" w:hAnsi="黑体" w:cs="黑体" w:eastAsia="黑体" w:hint="default"/>
          <w:sz w:val="15"/>
          <w:szCs w:val="15"/>
        </w:rPr>
      </w:pPr>
    </w:p>
    <w:p>
      <w:pPr>
        <w:pStyle w:val="BodyText"/>
        <w:spacing w:line="240" w:lineRule="auto" w:before="35"/>
        <w:ind w:right="0"/>
        <w:jc w:val="left"/>
      </w:pPr>
      <w:r>
        <w:rPr/>
        <w:t>营业税金及附加的计缴标准见附注三。</w:t>
      </w:r>
    </w:p>
    <w:p>
      <w:pPr>
        <w:spacing w:line="240" w:lineRule="auto" w:before="4"/>
        <w:rPr>
          <w:rFonts w:ascii="宋体" w:hAnsi="宋体" w:cs="宋体" w:eastAsia="宋体" w:hint="default"/>
          <w:sz w:val="23"/>
          <w:szCs w:val="23"/>
        </w:rPr>
      </w:pPr>
    </w:p>
    <w:p>
      <w:pPr>
        <w:pStyle w:val="BodyText"/>
        <w:spacing w:line="240" w:lineRule="auto"/>
        <w:ind w:right="0"/>
        <w:jc w:val="left"/>
        <w:rPr>
          <w:rFonts w:ascii="黑体" w:hAnsi="黑体" w:cs="黑体" w:eastAsia="黑体" w:hint="default"/>
        </w:rPr>
      </w:pPr>
      <w:r>
        <w:rPr>
          <w:rFonts w:ascii="Times New Roman" w:hAnsi="Times New Roman" w:cs="Times New Roman" w:eastAsia="Times New Roman" w:hint="default"/>
        </w:rPr>
        <w:t>33.</w:t>
      </w:r>
      <w:r>
        <w:rPr>
          <w:rFonts w:ascii="Times New Roman" w:hAnsi="Times New Roman" w:cs="Times New Roman" w:eastAsia="Times New Roman" w:hint="default"/>
          <w:spacing w:val="-17"/>
        </w:rPr>
        <w:t> </w:t>
      </w:r>
      <w:r>
        <w:rPr>
          <w:rFonts w:ascii="黑体" w:hAnsi="黑体" w:cs="黑体" w:eastAsia="黑体" w:hint="default"/>
        </w:rPr>
        <w:t>销售费用</w:t>
      </w:r>
    </w:p>
    <w:p>
      <w:pPr>
        <w:spacing w:line="240" w:lineRule="auto" w:before="5"/>
        <w:rPr>
          <w:rFonts w:ascii="黑体" w:hAnsi="黑体" w:cs="黑体" w:eastAsia="黑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485"/>
        <w:gridCol w:w="2801"/>
        <w:gridCol w:w="2574"/>
      </w:tblGrid>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9"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3,277,749.99</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4,227,224.14</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z w:val="18"/>
              </w:rPr>
              <w:t>319,881.30</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z w:val="18"/>
              </w:rPr>
              <w:t>293,711.78</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z w:val="18"/>
              </w:rPr>
              <w:t>92,887.55</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z w:val="18"/>
              </w:rPr>
              <w:t>84,047.87</w:t>
            </w:r>
          </w:p>
        </w:tc>
      </w:tr>
      <w:tr>
        <w:trPr>
          <w:trHeight w:val="379"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工会、职工教育经费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z w:val="18"/>
              </w:rPr>
              <w:t>75,002.29</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z w:val="18"/>
              </w:rPr>
              <w:t>74,500.44</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办公、通讯、汽车等费用</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1,852,721.68</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1,933,576.03</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2,130,205.90</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3,579,552.80</w:t>
            </w:r>
          </w:p>
        </w:tc>
      </w:tr>
      <w:tr>
        <w:trPr>
          <w:trHeight w:val="379"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2,182,076.88</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1,113,781.20</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2,024,191.37</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1,645,472.66</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6,255,987.47</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3,858,078.20</w:t>
            </w:r>
          </w:p>
        </w:tc>
      </w:tr>
      <w:tr>
        <w:trPr>
          <w:trHeight w:val="379"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1,083,165.90</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1,003,315.60</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2,711,506.48</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2,517,429.04</w:t>
            </w:r>
          </w:p>
        </w:tc>
      </w:tr>
      <w:tr>
        <w:trPr>
          <w:trHeight w:val="379"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商品维修费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z w:val="18"/>
              </w:rPr>
              <w:t>963,363.59</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z w:val="18"/>
              </w:rPr>
              <w:t>604,601.95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560" w:right="1220"/>
        </w:sectPr>
      </w:pPr>
    </w:p>
    <w:p>
      <w:pPr>
        <w:spacing w:line="240" w:lineRule="auto" w:before="4"/>
        <w:rPr>
          <w:rFonts w:ascii="黑体" w:hAnsi="黑体" w:cs="黑体" w:eastAsia="黑体" w:hint="default"/>
          <w:sz w:val="20"/>
          <w:szCs w:val="20"/>
        </w:rPr>
      </w:pPr>
    </w:p>
    <w:tbl>
      <w:tblPr>
        <w:tblW w:w="0" w:type="auto"/>
        <w:jc w:val="left"/>
        <w:tblInd w:w="196" w:type="dxa"/>
        <w:tblLayout w:type="fixed"/>
        <w:tblCellMar>
          <w:top w:w="0" w:type="dxa"/>
          <w:left w:w="0" w:type="dxa"/>
          <w:bottom w:w="0" w:type="dxa"/>
          <w:right w:w="0" w:type="dxa"/>
        </w:tblCellMar>
        <w:tblLook w:val="01E0"/>
      </w:tblPr>
      <w:tblGrid>
        <w:gridCol w:w="3485"/>
        <w:gridCol w:w="2801"/>
        <w:gridCol w:w="2574"/>
      </w:tblGrid>
      <w:tr>
        <w:trPr>
          <w:trHeight w:val="379"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551"/>
              <w:jc w:val="right"/>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检疫报关费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z w:val="18"/>
              </w:rPr>
              <w:t>284,395.13</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z w:val="18"/>
              </w:rPr>
              <w:t>203,232.85</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法律咨询等中介费</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2,197,033.33</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1,106,308.00</w:t>
            </w:r>
          </w:p>
        </w:tc>
      </w:tr>
      <w:tr>
        <w:trPr>
          <w:trHeight w:val="379"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z w:val="18"/>
              </w:rPr>
              <w:t>689,472.00</w:t>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pacing w:val="-1"/>
                <w:sz w:val="18"/>
              </w:rPr>
              <w:t>1,318,794.94</w:t>
            </w:r>
          </w:p>
        </w:tc>
      </w:tr>
      <w:tr>
        <w:trPr>
          <w:trHeight w:val="380" w:hRule="exact"/>
        </w:trPr>
        <w:tc>
          <w:tcPr>
            <w:tcW w:w="3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55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b/>
                <w:spacing w:val="-1"/>
                <w:sz w:val="18"/>
              </w:rPr>
              <w:t>26,139,640.86</w:t>
            </w:r>
            <w:r>
              <w:rPr>
                <w:rFonts w:ascii="Times New Roman"/>
                <w:spacing w:val="-1"/>
                <w:sz w:val="18"/>
              </w:rPr>
            </w:r>
          </w:p>
        </w:tc>
        <w:tc>
          <w:tcPr>
            <w:tcW w:w="2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b/>
                <w:spacing w:val="-1"/>
                <w:sz w:val="18"/>
              </w:rPr>
              <w:t>23,563,627.50</w:t>
            </w:r>
            <w:r>
              <w:rPr>
                <w:rFonts w:ascii="Times New Roman"/>
                <w:spacing w:val="-1"/>
                <w:sz w:val="18"/>
              </w:rPr>
            </w:r>
          </w:p>
        </w:tc>
      </w:tr>
    </w:tbl>
    <w:p>
      <w:pPr>
        <w:spacing w:line="240" w:lineRule="auto" w:before="13"/>
        <w:rPr>
          <w:rFonts w:ascii="黑体" w:hAnsi="黑体" w:cs="黑体" w:eastAsia="黑体" w:hint="default"/>
          <w:sz w:val="15"/>
          <w:szCs w:val="15"/>
        </w:rPr>
      </w:pPr>
    </w:p>
    <w:p>
      <w:pPr>
        <w:pStyle w:val="BodyText"/>
        <w:spacing w:line="240" w:lineRule="auto" w:before="35"/>
        <w:ind w:left="641" w:right="0"/>
        <w:jc w:val="left"/>
        <w:rPr>
          <w:rFonts w:ascii="黑体" w:hAnsi="黑体" w:cs="黑体" w:eastAsia="黑体" w:hint="default"/>
        </w:rPr>
      </w:pPr>
      <w:r>
        <w:rPr>
          <w:rFonts w:ascii="Times New Roman" w:hAnsi="Times New Roman" w:cs="Times New Roman" w:eastAsia="Times New Roman" w:hint="default"/>
        </w:rPr>
        <w:t>34.</w:t>
      </w:r>
      <w:r>
        <w:rPr>
          <w:rFonts w:ascii="Times New Roman" w:hAnsi="Times New Roman" w:cs="Times New Roman" w:eastAsia="Times New Roman" w:hint="default"/>
          <w:spacing w:val="-17"/>
        </w:rPr>
        <w:t> </w:t>
      </w:r>
      <w:r>
        <w:rPr>
          <w:rFonts w:ascii="黑体" w:hAnsi="黑体" w:cs="黑体" w:eastAsia="黑体" w:hint="default"/>
        </w:rPr>
        <w:t>管理费用</w:t>
      </w:r>
    </w:p>
    <w:p>
      <w:pPr>
        <w:spacing w:line="240" w:lineRule="auto" w:before="5"/>
        <w:rPr>
          <w:rFonts w:ascii="黑体" w:hAnsi="黑体" w:cs="黑体" w:eastAsia="黑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3967"/>
        <w:gridCol w:w="2444"/>
        <w:gridCol w:w="2446"/>
      </w:tblGrid>
      <w:tr>
        <w:trPr>
          <w:trHeight w:val="379"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6,067,592.53</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pacing w:val="-1"/>
                <w:sz w:val="18"/>
              </w:rPr>
              <w:t>11,818,730.94</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z w:val="18"/>
              </w:rPr>
              <w:t>763,410.34</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pacing w:val="-1"/>
                <w:sz w:val="18"/>
              </w:rPr>
              <w:t>1,245,069.51</w:t>
            </w:r>
          </w:p>
        </w:tc>
      </w:tr>
      <w:tr>
        <w:trPr>
          <w:trHeight w:val="379"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z w:val="18"/>
              </w:rPr>
              <w:t>612,320.93</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pacing w:val="-1"/>
                <w:sz w:val="18"/>
              </w:rPr>
              <w:t>1,479,055.39</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工会、职工教育经费</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z w:val="18"/>
              </w:rPr>
              <w:t>284,891.85</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330,368.74</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办公、通讯、汽车、水电等费用</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2,971,773.08</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3,639,933.86</w:t>
            </w:r>
          </w:p>
        </w:tc>
      </w:tr>
      <w:tr>
        <w:trPr>
          <w:trHeight w:val="379"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z w:val="18"/>
              </w:rPr>
              <w:t>949,059.92</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492,139.03</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1,108,459.16</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1,144,948.38</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5,762,797.54</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3,823,112.00</w:t>
            </w:r>
          </w:p>
        </w:tc>
      </w:tr>
      <w:tr>
        <w:trPr>
          <w:trHeight w:val="379"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法律诉讼费</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2,212,232.91</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3,693,003.82</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z w:val="18"/>
              </w:rPr>
              <w:t>517,392.35</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459,567.30</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无形资产和长期待摊费用摊销</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z w:val="18"/>
              </w:rPr>
              <w:t>949,043.46</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989,250.54</w:t>
            </w:r>
          </w:p>
        </w:tc>
      </w:tr>
      <w:tr>
        <w:trPr>
          <w:trHeight w:val="379"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研发及设计费</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3,978,138.23</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896,444.32</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1,675,522.82</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9,212,576.25</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3,140,365.11</w:t>
            </w:r>
          </w:p>
        </w:tc>
      </w:tr>
      <w:tr>
        <w:trPr>
          <w:trHeight w:val="379" w:hRule="exact"/>
        </w:trPr>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right="96"/>
              <w:jc w:val="right"/>
              <w:rPr>
                <w:rFonts w:ascii="Times New Roman" w:hAnsi="Times New Roman" w:cs="Times New Roman" w:eastAsia="Times New Roman" w:hint="default"/>
                <w:sz w:val="18"/>
                <w:szCs w:val="18"/>
              </w:rPr>
            </w:pPr>
            <w:r>
              <w:rPr>
                <w:rFonts w:ascii="Times New Roman"/>
                <w:b/>
                <w:spacing w:val="-1"/>
                <w:sz w:val="18"/>
              </w:rPr>
              <w:t>37,065,211.37</w:t>
            </w:r>
            <w:r>
              <w:rPr>
                <w:rFonts w:ascii="Times New Roman"/>
                <w:spacing w:val="-1"/>
                <w:sz w:val="18"/>
              </w:rPr>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b/>
                <w:spacing w:val="-1"/>
                <w:sz w:val="18"/>
              </w:rPr>
              <w:t>33,151,988.94</w:t>
            </w:r>
            <w:r>
              <w:rPr>
                <w:rFonts w:ascii="Times New Roman"/>
                <w:spacing w:val="-1"/>
                <w:sz w:val="18"/>
              </w:rPr>
            </w:r>
          </w:p>
        </w:tc>
      </w:tr>
    </w:tbl>
    <w:p>
      <w:pPr>
        <w:spacing w:line="240" w:lineRule="auto" w:before="13"/>
        <w:rPr>
          <w:rFonts w:ascii="黑体" w:hAnsi="黑体" w:cs="黑体" w:eastAsia="黑体" w:hint="default"/>
          <w:sz w:val="15"/>
          <w:szCs w:val="15"/>
        </w:rPr>
      </w:pPr>
    </w:p>
    <w:p>
      <w:pPr>
        <w:pStyle w:val="BodyText"/>
        <w:spacing w:line="240" w:lineRule="auto" w:before="35"/>
        <w:ind w:left="641" w:right="0"/>
        <w:jc w:val="left"/>
        <w:rPr>
          <w:rFonts w:ascii="黑体" w:hAnsi="黑体" w:cs="黑体" w:eastAsia="黑体" w:hint="default"/>
        </w:rPr>
      </w:pPr>
      <w:r>
        <w:rPr>
          <w:rFonts w:ascii="Times New Roman" w:hAnsi="Times New Roman" w:cs="Times New Roman" w:eastAsia="Times New Roman" w:hint="default"/>
        </w:rPr>
        <w:t>35.</w:t>
      </w:r>
      <w:r>
        <w:rPr>
          <w:rFonts w:ascii="Times New Roman" w:hAnsi="Times New Roman" w:cs="Times New Roman" w:eastAsia="Times New Roman" w:hint="default"/>
          <w:spacing w:val="-17"/>
        </w:rPr>
        <w:t> </w:t>
      </w:r>
      <w:r>
        <w:rPr>
          <w:rFonts w:ascii="黑体" w:hAnsi="黑体" w:cs="黑体" w:eastAsia="黑体" w:hint="default"/>
        </w:rPr>
        <w:t>财务费用</w:t>
      </w:r>
    </w:p>
    <w:p>
      <w:pPr>
        <w:spacing w:line="240" w:lineRule="auto" w:before="5"/>
        <w:rPr>
          <w:rFonts w:ascii="黑体" w:hAnsi="黑体" w:cs="黑体" w:eastAsia="黑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75"/>
        <w:gridCol w:w="2976"/>
        <w:gridCol w:w="2975"/>
      </w:tblGrid>
      <w:tr>
        <w:trPr>
          <w:trHeight w:val="35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301"/>
              <w:jc w:val="right"/>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49"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5,197.79</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27,891,814.94</w:t>
            </w:r>
          </w:p>
        </w:tc>
      </w:tr>
      <w:tr>
        <w:trPr>
          <w:trHeight w:val="35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83,262.62</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175,173.44</w:t>
            </w:r>
          </w:p>
        </w:tc>
      </w:tr>
      <w:tr>
        <w:trPr>
          <w:trHeight w:val="35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362,696.05</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44,761.67</w:t>
            </w:r>
          </w:p>
        </w:tc>
      </w:tr>
      <w:tr>
        <w:trPr>
          <w:trHeight w:val="349"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49,811.41</w:t>
            </w:r>
          </w:p>
        </w:tc>
      </w:tr>
      <w:tr>
        <w:trPr>
          <w:trHeight w:val="35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124,814.94</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91,881.14</w:t>
            </w:r>
          </w:p>
        </w:tc>
      </w:tr>
      <w:tr>
        <w:trPr>
          <w:trHeight w:val="35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0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b/>
                <w:sz w:val="18"/>
              </w:rPr>
              <w:t>409,446.16</w:t>
            </w:r>
            <w:r>
              <w:rPr>
                <w:rFonts w:ascii="Times New Roman"/>
                <w:sz w:val="18"/>
              </w:rPr>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pacing w:val="-1"/>
                <w:sz w:val="18"/>
              </w:rPr>
              <w:t>27,803,472.90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480" w:right="1220"/>
        </w:sectPr>
      </w:pPr>
    </w:p>
    <w:p>
      <w:pPr>
        <w:spacing w:line="240" w:lineRule="auto" w:before="12"/>
        <w:rPr>
          <w:rFonts w:ascii="黑体" w:hAnsi="黑体" w:cs="黑体" w:eastAsia="黑体" w:hint="default"/>
          <w:sz w:val="2"/>
          <w:szCs w:val="2"/>
        </w:rPr>
      </w:pPr>
    </w:p>
    <w:p>
      <w:pPr>
        <w:spacing w:line="20" w:lineRule="exact"/>
        <w:ind w:left="186" w:right="0" w:firstLine="0"/>
        <w:rPr>
          <w:rFonts w:ascii="黑体" w:hAnsi="黑体" w:cs="黑体" w:eastAsia="黑体" w:hint="default"/>
          <w:sz w:val="2"/>
          <w:szCs w:val="2"/>
        </w:rPr>
      </w:pPr>
      <w:r>
        <w:rPr>
          <w:rFonts w:ascii="黑体" w:hAnsi="黑体" w:cs="黑体" w:eastAsia="黑体" w:hint="default"/>
          <w:sz w:val="2"/>
          <w:szCs w:val="2"/>
        </w:rPr>
        <w:pict>
          <v:group style="width:428.8pt;height:.5pt;mso-position-horizontal-relative:char;mso-position-vertical-relative:line" coordorigin="0,0" coordsize="8576,10">
            <v:group style="position:absolute;left:5;top:5;width:8566;height:2" coordorigin="5,5" coordsize="8566,2">
              <v:shape style="position:absolute;left:5;top:5;width:8566;height:2" coordorigin="5,5" coordsize="8566,0" path="m5,5l8570,5e" filled="false" stroked="true" strokeweight=".48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sz w:val="27"/>
          <w:szCs w:val="27"/>
        </w:rPr>
      </w:pPr>
    </w:p>
    <w:p>
      <w:pPr>
        <w:pStyle w:val="BodyText"/>
        <w:spacing w:line="240" w:lineRule="auto" w:before="35"/>
        <w:ind w:left="641" w:right="245"/>
        <w:jc w:val="left"/>
        <w:rPr>
          <w:rFonts w:ascii="黑体" w:hAnsi="黑体" w:cs="黑体" w:eastAsia="黑体" w:hint="default"/>
        </w:rPr>
      </w:pPr>
      <w:r>
        <w:rPr>
          <w:rFonts w:ascii="Times New Roman" w:hAnsi="Times New Roman" w:cs="Times New Roman" w:eastAsia="Times New Roman" w:hint="default"/>
        </w:rPr>
        <w:t>36.</w:t>
      </w:r>
      <w:r>
        <w:rPr>
          <w:rFonts w:ascii="Times New Roman" w:hAnsi="Times New Roman" w:cs="Times New Roman" w:eastAsia="Times New Roman" w:hint="default"/>
          <w:spacing w:val="-17"/>
        </w:rPr>
        <w:t> </w:t>
      </w:r>
      <w:r>
        <w:rPr>
          <w:rFonts w:ascii="黑体" w:hAnsi="黑体" w:cs="黑体" w:eastAsia="黑体" w:hint="default"/>
        </w:rPr>
        <w:t>资产减值损失</w:t>
      </w:r>
    </w:p>
    <w:p>
      <w:pPr>
        <w:spacing w:line="240" w:lineRule="auto" w:before="5"/>
        <w:rPr>
          <w:rFonts w:ascii="黑体" w:hAnsi="黑体" w:cs="黑体" w:eastAsia="黑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08"/>
        <w:gridCol w:w="2908"/>
        <w:gridCol w:w="2906"/>
      </w:tblGrid>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49"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-6,086,068.28</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3,363,498.38</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314,143.00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431,209.65</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三、长期股权投资减值损失</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49"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四、固定资产减值损失</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1,008,959.14</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b/>
                <w:spacing w:val="-1"/>
                <w:sz w:val="18"/>
              </w:rPr>
              <w:t>-4,762,966.14</w:t>
            </w:r>
            <w:r>
              <w:rPr>
                <w:rFonts w:ascii="Times New Roman"/>
                <w:spacing w:val="-1"/>
                <w:sz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pacing w:val="-1"/>
                <w:sz w:val="18"/>
              </w:rPr>
              <w:t>5,794,708.03</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41" w:right="245"/>
        <w:jc w:val="left"/>
        <w:rPr>
          <w:rFonts w:ascii="黑体" w:hAnsi="黑体" w:cs="黑体" w:eastAsia="黑体" w:hint="default"/>
        </w:rPr>
      </w:pPr>
      <w:r>
        <w:rPr>
          <w:rFonts w:ascii="Times New Roman" w:hAnsi="Times New Roman" w:cs="Times New Roman" w:eastAsia="Times New Roman" w:hint="default"/>
        </w:rPr>
        <w:t>37.</w:t>
      </w:r>
      <w:r>
        <w:rPr>
          <w:rFonts w:ascii="Times New Roman" w:hAnsi="Times New Roman" w:cs="Times New Roman" w:eastAsia="Times New Roman" w:hint="default"/>
          <w:spacing w:val="-17"/>
        </w:rPr>
        <w:t> </w:t>
      </w:r>
      <w:r>
        <w:rPr>
          <w:rFonts w:ascii="黑体" w:hAnsi="黑体" w:cs="黑体" w:eastAsia="黑体" w:hint="default"/>
        </w:rPr>
        <w:t>投资收益</w:t>
      </w:r>
    </w:p>
    <w:p>
      <w:pPr>
        <w:spacing w:line="240" w:lineRule="auto" w:before="5"/>
        <w:rPr>
          <w:rFonts w:ascii="黑体" w:hAnsi="黑体" w:cs="黑体" w:eastAsia="黑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609"/>
        <w:gridCol w:w="2159"/>
        <w:gridCol w:w="1979"/>
      </w:tblGrid>
      <w:tr>
        <w:trPr>
          <w:trHeight w:val="350"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50"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138,683,024.52</w:t>
            </w:r>
          </w:p>
        </w:tc>
      </w:tr>
      <w:tr>
        <w:trPr>
          <w:trHeight w:val="490"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70,032.81</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738,227.80</w:t>
            </w:r>
          </w:p>
        </w:tc>
      </w:tr>
      <w:tr>
        <w:trPr>
          <w:trHeight w:val="350"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70,032.81</w:t>
            </w:r>
            <w:r>
              <w:rPr>
                <w:rFonts w:ascii="Times New Roman"/>
                <w:sz w:val="18"/>
              </w:rPr>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pacing w:val="-1"/>
                <w:sz w:val="18"/>
              </w:rPr>
              <w:t>139,421,252.32</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41" w:right="245"/>
        <w:jc w:val="left"/>
        <w:rPr>
          <w:rFonts w:ascii="黑体" w:hAnsi="黑体" w:cs="黑体" w:eastAsia="黑体" w:hint="default"/>
        </w:rPr>
      </w:pPr>
      <w:r>
        <w:rPr>
          <w:rFonts w:ascii="Times New Roman" w:hAnsi="Times New Roman" w:cs="Times New Roman" w:eastAsia="Times New Roman" w:hint="default"/>
        </w:rPr>
        <w:t>38.</w:t>
      </w:r>
      <w:r>
        <w:rPr>
          <w:rFonts w:ascii="Times New Roman" w:hAnsi="Times New Roman" w:cs="Times New Roman" w:eastAsia="Times New Roman" w:hint="default"/>
          <w:spacing w:val="-17"/>
        </w:rPr>
        <w:t> </w:t>
      </w:r>
      <w:r>
        <w:rPr>
          <w:rFonts w:ascii="黑体" w:hAnsi="黑体" w:cs="黑体" w:eastAsia="黑体" w:hint="default"/>
        </w:rPr>
        <w:t>营业外收入</w:t>
      </w:r>
    </w:p>
    <w:p>
      <w:pPr>
        <w:spacing w:line="240" w:lineRule="auto" w:before="5"/>
        <w:rPr>
          <w:rFonts w:ascii="黑体" w:hAnsi="黑体" w:cs="黑体" w:eastAsia="黑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608"/>
        <w:gridCol w:w="1712"/>
        <w:gridCol w:w="1798"/>
        <w:gridCol w:w="1603"/>
      </w:tblGrid>
      <w:tr>
        <w:trPr>
          <w:trHeight w:val="490"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5" w:right="166" w:hanging="90"/>
              <w:jc w:val="left"/>
              <w:rPr>
                <w:rFonts w:ascii="宋体" w:hAnsi="宋体" w:cs="宋体" w:eastAsia="宋体" w:hint="default"/>
                <w:sz w:val="18"/>
                <w:szCs w:val="18"/>
              </w:rPr>
            </w:pPr>
            <w:r>
              <w:rPr>
                <w:rFonts w:ascii="宋体" w:hAnsi="宋体" w:cs="宋体" w:eastAsia="宋体" w:hint="default"/>
                <w:sz w:val="18"/>
                <w:szCs w:val="18"/>
              </w:rPr>
              <w:t>计入当期非经常 性损益的金额</w:t>
            </w:r>
          </w:p>
        </w:tc>
      </w:tr>
      <w:tr>
        <w:trPr>
          <w:trHeight w:val="350"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、非流动资产处置利得合计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1,558,175.93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529,871.57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1,558,175.93</w:t>
            </w:r>
          </w:p>
        </w:tc>
      </w:tr>
      <w:tr>
        <w:trPr>
          <w:trHeight w:val="350"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1,558,175.93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529,871.57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1,558,175.93</w:t>
            </w:r>
          </w:p>
        </w:tc>
      </w:tr>
      <w:tr>
        <w:trPr>
          <w:trHeight w:val="34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、债务重组利得</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488,916,069.84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488,916,069.84</w:t>
            </w:r>
          </w:p>
        </w:tc>
      </w:tr>
      <w:tr>
        <w:trPr>
          <w:trHeight w:val="491"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、土地被法院裁定抵给债权人产生的净收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19,224,171.34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、政府补助</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、赔偿收入</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500,000.00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750,259.28</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705,925.46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750,259.28</w:t>
            </w:r>
          </w:p>
        </w:tc>
      </w:tr>
      <w:tr>
        <w:trPr>
          <w:trHeight w:val="350"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b/>
                <w:spacing w:val="-1"/>
                <w:sz w:val="18"/>
              </w:rPr>
              <w:t>491,224,505.05</w:t>
            </w:r>
            <w:r>
              <w:rPr>
                <w:rFonts w:ascii="Times New Roman"/>
                <w:spacing w:val="-1"/>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pacing w:val="-1"/>
                <w:sz w:val="18"/>
              </w:rPr>
              <w:t>20,959,968.37</w:t>
            </w:r>
            <w:r>
              <w:rPr>
                <w:rFonts w:ascii="Times New Roman"/>
                <w:spacing w:val="-1"/>
                <w:sz w:val="18"/>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pacing w:val="-1"/>
                <w:sz w:val="18"/>
              </w:rPr>
              <w:t>491,224,505.05</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400" w:lineRule="auto" w:before="35"/>
        <w:ind w:left="221" w:right="245" w:firstLine="420"/>
        <w:jc w:val="left"/>
      </w:pPr>
      <w:r>
        <w:rPr>
          <w:spacing w:val="2"/>
        </w:rPr>
        <w:t>债务重组利得系公司账面记录的债权数与根据法院裁定批准的重整计划确认债权数额及 </w:t>
      </w:r>
      <w:r>
        <w:rPr/>
        <w:t>偿债率计算的应支付的债权金额的差额确认为债务重组利得。公司重整事项详见附注十。</w:t>
      </w:r>
    </w:p>
    <w:p>
      <w:pPr>
        <w:pStyle w:val="BodyText"/>
        <w:spacing w:line="240" w:lineRule="auto" w:before="164"/>
        <w:ind w:left="641" w:right="245"/>
        <w:jc w:val="left"/>
        <w:rPr>
          <w:rFonts w:ascii="黑体" w:hAnsi="黑体" w:cs="黑体" w:eastAsia="黑体" w:hint="default"/>
        </w:rPr>
      </w:pPr>
      <w:r>
        <w:rPr>
          <w:rFonts w:ascii="Times New Roman" w:hAnsi="Times New Roman" w:cs="Times New Roman" w:eastAsia="Times New Roman" w:hint="default"/>
        </w:rPr>
        <w:t>39.</w:t>
      </w:r>
      <w:r>
        <w:rPr>
          <w:rFonts w:ascii="Times New Roman" w:hAnsi="Times New Roman" w:cs="Times New Roman" w:eastAsia="Times New Roman" w:hint="default"/>
          <w:spacing w:val="-17"/>
        </w:rPr>
        <w:t> </w:t>
      </w:r>
      <w:r>
        <w:rPr>
          <w:rFonts w:ascii="黑体" w:hAnsi="黑体" w:cs="黑体" w:eastAsia="黑体" w:hint="default"/>
        </w:rPr>
        <w:t>营业外支出</w:t>
      </w:r>
    </w:p>
    <w:p>
      <w:pPr>
        <w:spacing w:line="240" w:lineRule="auto" w:before="10"/>
        <w:rPr>
          <w:rFonts w:ascii="黑体" w:hAnsi="黑体" w:cs="黑体" w:eastAsia="黑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085"/>
        <w:gridCol w:w="1928"/>
        <w:gridCol w:w="1928"/>
        <w:gridCol w:w="1781"/>
      </w:tblGrid>
      <w:tr>
        <w:trPr>
          <w:trHeight w:val="81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7"/>
              <w:ind w:left="435" w:right="163" w:hanging="270"/>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0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、非流动资产处置损失合计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2,563,929.00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88,091.32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2,563,929.00</w:t>
            </w:r>
          </w:p>
        </w:tc>
      </w:tr>
      <w:tr>
        <w:trPr>
          <w:trHeight w:val="41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2,563,929.00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88,091.32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2,563,929.00</w:t>
            </w:r>
          </w:p>
        </w:tc>
      </w:tr>
      <w:tr>
        <w:trPr>
          <w:trHeight w:val="41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、计提预计负债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339,884.20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其中：已涉及诉讼应付款</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339,884.20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、补计已拍卖土地地价款</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4,475,318.59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、捐赠支出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480" w:right="1440"/>
        </w:sectPr>
      </w:pPr>
    </w:p>
    <w:p>
      <w:pPr>
        <w:spacing w:line="240" w:lineRule="auto" w:before="4"/>
        <w:rPr>
          <w:rFonts w:ascii="黑体" w:hAnsi="黑体" w:cs="黑体" w:eastAsia="黑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3085"/>
        <w:gridCol w:w="1928"/>
        <w:gridCol w:w="1928"/>
        <w:gridCol w:w="1781"/>
      </w:tblGrid>
      <w:tr>
        <w:trPr>
          <w:trHeight w:val="81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7"/>
              <w:ind w:left="435" w:right="163" w:hanging="270"/>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0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、罚款、罚息及滞纳金支出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15,674.96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w w:val="95"/>
                <w:sz w:val="18"/>
              </w:rPr>
              <w:t>11,018.90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15,674.96</w:t>
            </w:r>
          </w:p>
        </w:tc>
      </w:tr>
      <w:tr>
        <w:trPr>
          <w:trHeight w:val="41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377,030.43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43,120.63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377,030.43</w:t>
            </w:r>
          </w:p>
        </w:tc>
      </w:tr>
      <w:tr>
        <w:trPr>
          <w:trHeight w:val="41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2,961,634.39</w:t>
            </w:r>
            <w:r>
              <w:rPr>
                <w:rFonts w:ascii="Times New Roman"/>
                <w:spacing w:val="-1"/>
                <w:sz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4,957,433.64</w:t>
            </w:r>
            <w:r>
              <w:rPr>
                <w:rFonts w:ascii="Times New Roman"/>
                <w:spacing w:val="-1"/>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2,961,634.39</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41" w:right="230"/>
        <w:jc w:val="left"/>
        <w:rPr>
          <w:rFonts w:ascii="黑体" w:hAnsi="黑体" w:cs="黑体" w:eastAsia="黑体" w:hint="default"/>
        </w:rPr>
      </w:pPr>
      <w:r>
        <w:rPr>
          <w:rFonts w:ascii="Times New Roman" w:hAnsi="Times New Roman" w:cs="Times New Roman" w:eastAsia="Times New Roman" w:hint="default"/>
        </w:rPr>
        <w:t>40.</w:t>
      </w:r>
      <w:r>
        <w:rPr>
          <w:rFonts w:ascii="Times New Roman" w:hAnsi="Times New Roman" w:cs="Times New Roman" w:eastAsia="Times New Roman" w:hint="default"/>
          <w:spacing w:val="-17"/>
        </w:rPr>
        <w:t> </w:t>
      </w:r>
      <w:r>
        <w:rPr>
          <w:rFonts w:ascii="黑体" w:hAnsi="黑体" w:cs="黑体" w:eastAsia="黑体" w:hint="default"/>
        </w:rPr>
        <w:t>所得税费用</w:t>
      </w:r>
    </w:p>
    <w:p>
      <w:pPr>
        <w:spacing w:line="240" w:lineRule="auto" w:before="5"/>
        <w:rPr>
          <w:rFonts w:ascii="黑体" w:hAnsi="黑体" w:cs="黑体" w:eastAsia="黑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3020"/>
        <w:gridCol w:w="2708"/>
        <w:gridCol w:w="2926"/>
      </w:tblGrid>
      <w:tr>
        <w:trPr>
          <w:trHeight w:val="41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7"/>
              <w:jc w:val="center"/>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1,178,637.82</w:t>
            </w:r>
          </w:p>
        </w:tc>
        <w:tc>
          <w:tcPr>
            <w:tcW w:w="29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723,025.98</w:t>
            </w:r>
          </w:p>
        </w:tc>
      </w:tr>
      <w:tr>
        <w:trPr>
          <w:trHeight w:val="416"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1,178,637.82</w:t>
            </w:r>
            <w:r>
              <w:rPr>
                <w:rFonts w:ascii="Times New Roman"/>
                <w:spacing w:val="-1"/>
                <w:sz w:val="18"/>
              </w:rPr>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723,025.98</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41" w:right="230"/>
        <w:jc w:val="left"/>
      </w:pPr>
      <w:r>
        <w:rPr/>
        <w:t>所得税税率详见附注三。</w:t>
      </w:r>
    </w:p>
    <w:p>
      <w:pPr>
        <w:spacing w:line="240" w:lineRule="auto" w:before="4"/>
        <w:rPr>
          <w:rFonts w:ascii="宋体" w:hAnsi="宋体" w:cs="宋体" w:eastAsia="宋体" w:hint="default"/>
          <w:sz w:val="23"/>
          <w:szCs w:val="23"/>
        </w:rPr>
      </w:pPr>
    </w:p>
    <w:p>
      <w:pPr>
        <w:pStyle w:val="BodyText"/>
        <w:spacing w:line="240" w:lineRule="auto"/>
        <w:ind w:left="641" w:right="230"/>
        <w:jc w:val="left"/>
      </w:pPr>
      <w:r>
        <w:rPr>
          <w:rFonts w:ascii="Times New Roman" w:hAnsi="Times New Roman" w:cs="Times New Roman" w:eastAsia="Times New Roman" w:hint="default"/>
        </w:rPr>
        <w:t>41.</w:t>
      </w:r>
      <w:r>
        <w:rPr>
          <w:rFonts w:ascii="Times New Roman" w:hAnsi="Times New Roman" w:cs="Times New Roman" w:eastAsia="Times New Roman" w:hint="default"/>
          <w:spacing w:val="-17"/>
        </w:rPr>
        <w:t> </w:t>
      </w:r>
      <w:r>
        <w:rPr/>
        <w:t>基本每股收益和稀释每股收益</w:t>
      </w:r>
    </w:p>
    <w:p>
      <w:pPr>
        <w:spacing w:line="240" w:lineRule="auto" w:before="5"/>
        <w:rPr>
          <w:rFonts w:ascii="宋体" w:hAnsi="宋体" w:cs="宋体" w:eastAsia="宋体" w:hint="default"/>
          <w:sz w:val="7"/>
          <w:szCs w:val="7"/>
        </w:rPr>
      </w:pPr>
    </w:p>
    <w:tbl>
      <w:tblPr>
        <w:tblW w:w="0" w:type="auto"/>
        <w:jc w:val="left"/>
        <w:tblInd w:w="189" w:type="dxa"/>
        <w:tblLayout w:type="fixed"/>
        <w:tblCellMar>
          <w:top w:w="0" w:type="dxa"/>
          <w:left w:w="0" w:type="dxa"/>
          <w:bottom w:w="0" w:type="dxa"/>
          <w:right w:w="0" w:type="dxa"/>
        </w:tblCellMar>
        <w:tblLook w:val="01E0"/>
      </w:tblPr>
      <w:tblGrid>
        <w:gridCol w:w="2852"/>
        <w:gridCol w:w="2855"/>
        <w:gridCol w:w="2854"/>
      </w:tblGrid>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归属母公司所有者的净利润</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498,142,241.73</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133,403,579.37</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已发行的普通股加权平均数</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357,973,531.00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357,973,531.00</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基本每股收益（每股人民币元）</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1.39</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0.37</w:t>
            </w:r>
          </w:p>
        </w:tc>
      </w:tr>
      <w:tr>
        <w:trPr>
          <w:trHeight w:val="37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稀释每股收益（每股人民币元）</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1.39</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0.37</w:t>
            </w:r>
          </w:p>
        </w:tc>
      </w:tr>
    </w:tbl>
    <w:p>
      <w:pPr>
        <w:spacing w:line="240" w:lineRule="auto" w:before="12"/>
        <w:rPr>
          <w:rFonts w:ascii="宋体" w:hAnsi="宋体" w:cs="宋体" w:eastAsia="宋体" w:hint="default"/>
          <w:sz w:val="15"/>
          <w:szCs w:val="15"/>
        </w:rPr>
      </w:pPr>
    </w:p>
    <w:p>
      <w:pPr>
        <w:pStyle w:val="BodyText"/>
        <w:spacing w:line="240" w:lineRule="auto" w:before="35"/>
        <w:ind w:left="641" w:right="230"/>
        <w:jc w:val="left"/>
        <w:rPr>
          <w:rFonts w:ascii="黑体" w:hAnsi="黑体" w:cs="黑体" w:eastAsia="黑体" w:hint="default"/>
        </w:rPr>
      </w:pPr>
      <w:r>
        <w:rPr>
          <w:rFonts w:ascii="Times New Roman" w:hAnsi="Times New Roman" w:cs="Times New Roman" w:eastAsia="Times New Roman" w:hint="default"/>
        </w:rPr>
        <w:t>42.</w:t>
      </w:r>
      <w:r>
        <w:rPr>
          <w:rFonts w:ascii="Times New Roman" w:hAnsi="Times New Roman" w:cs="Times New Roman" w:eastAsia="Times New Roman" w:hint="default"/>
          <w:spacing w:val="-17"/>
        </w:rPr>
        <w:t> </w:t>
      </w:r>
      <w:r>
        <w:rPr>
          <w:rFonts w:ascii="黑体" w:hAnsi="黑体" w:cs="黑体" w:eastAsia="黑体" w:hint="default"/>
        </w:rPr>
        <w:t>现金流量表</w:t>
      </w:r>
    </w:p>
    <w:p>
      <w:pPr>
        <w:spacing w:line="240" w:lineRule="auto" w:before="1"/>
        <w:rPr>
          <w:rFonts w:ascii="黑体" w:hAnsi="黑体" w:cs="黑体" w:eastAsia="黑体" w:hint="default"/>
          <w:sz w:val="22"/>
          <w:szCs w:val="22"/>
        </w:rPr>
      </w:pPr>
    </w:p>
    <w:p>
      <w:pPr>
        <w:pStyle w:val="BodyText"/>
        <w:spacing w:line="240" w:lineRule="auto"/>
        <w:ind w:left="641" w:right="230"/>
        <w:jc w:val="left"/>
      </w:pPr>
      <w:r>
        <w:rPr/>
        <w:t>（</w:t>
      </w:r>
      <w:r>
        <w:rPr>
          <w:rFonts w:ascii="Times New Roman" w:hAnsi="Times New Roman" w:cs="Times New Roman" w:eastAsia="Times New Roman" w:hint="default"/>
        </w:rPr>
        <w:t>1</w:t>
      </w:r>
      <w:r>
        <w:rPr/>
        <w:t>）收到的其他与经营活动有关的现金</w:t>
      </w:r>
    </w:p>
    <w:p>
      <w:pPr>
        <w:spacing w:line="240" w:lineRule="auto" w:before="10"/>
        <w:rPr>
          <w:rFonts w:ascii="宋体" w:hAnsi="宋体" w:cs="宋体" w:eastAsia="宋体" w:hint="default"/>
          <w:sz w:val="12"/>
          <w:szCs w:val="12"/>
        </w:rPr>
      </w:pPr>
    </w:p>
    <w:tbl>
      <w:tblPr>
        <w:tblW w:w="0" w:type="auto"/>
        <w:jc w:val="left"/>
        <w:tblInd w:w="189" w:type="dxa"/>
        <w:tblLayout w:type="fixed"/>
        <w:tblCellMar>
          <w:top w:w="0" w:type="dxa"/>
          <w:left w:w="0" w:type="dxa"/>
          <w:bottom w:w="0" w:type="dxa"/>
          <w:right w:w="0" w:type="dxa"/>
        </w:tblCellMar>
        <w:tblLook w:val="01E0"/>
      </w:tblPr>
      <w:tblGrid>
        <w:gridCol w:w="2852"/>
        <w:gridCol w:w="2855"/>
        <w:gridCol w:w="2854"/>
      </w:tblGrid>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59,313,377.16</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2,896,115.70</w:t>
            </w:r>
          </w:p>
        </w:tc>
      </w:tr>
      <w:tr>
        <w:trPr>
          <w:trHeight w:val="37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395,710.75</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387,565.06</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950,000.00</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83,262.62</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175,173.44</w:t>
            </w:r>
          </w:p>
        </w:tc>
      </w:tr>
      <w:tr>
        <w:trPr>
          <w:trHeight w:val="37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23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b/>
                <w:spacing w:val="-1"/>
                <w:sz w:val="18"/>
              </w:rPr>
              <w:t>60,992,350.53</w:t>
            </w:r>
            <w:r>
              <w:rPr>
                <w:rFonts w:ascii="Times New Roman"/>
                <w:spacing w:val="-1"/>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b/>
                <w:spacing w:val="-1"/>
                <w:sz w:val="18"/>
              </w:rPr>
              <w:t>4,408,854.20</w:t>
            </w:r>
            <w:r>
              <w:rPr>
                <w:rFonts w:ascii="Times New Roman"/>
                <w:spacing w:val="-1"/>
                <w:sz w:val="18"/>
              </w:rPr>
            </w:r>
          </w:p>
        </w:tc>
      </w:tr>
    </w:tbl>
    <w:p>
      <w:pPr>
        <w:spacing w:line="240" w:lineRule="auto" w:before="12"/>
        <w:rPr>
          <w:rFonts w:ascii="宋体" w:hAnsi="宋体" w:cs="宋体" w:eastAsia="宋体" w:hint="default"/>
          <w:sz w:val="15"/>
          <w:szCs w:val="15"/>
        </w:rPr>
      </w:pPr>
    </w:p>
    <w:p>
      <w:pPr>
        <w:pStyle w:val="BodyText"/>
        <w:spacing w:line="240" w:lineRule="auto" w:before="35"/>
        <w:ind w:left="641" w:right="230"/>
        <w:jc w:val="left"/>
      </w:pPr>
      <w:r>
        <w:rPr/>
        <w:t>（</w:t>
      </w:r>
      <w:r>
        <w:rPr>
          <w:rFonts w:ascii="Times New Roman" w:hAnsi="Times New Roman" w:cs="Times New Roman" w:eastAsia="Times New Roman" w:hint="default"/>
        </w:rPr>
        <w:t>2</w:t>
      </w:r>
      <w:r>
        <w:rPr/>
        <w:t>）支付的其他与经营活动有关的现金</w:t>
      </w:r>
    </w:p>
    <w:p>
      <w:pPr>
        <w:spacing w:line="240" w:lineRule="auto" w:before="9"/>
        <w:rPr>
          <w:rFonts w:ascii="宋体" w:hAnsi="宋体" w:cs="宋体" w:eastAsia="宋体" w:hint="default"/>
          <w:sz w:val="12"/>
          <w:szCs w:val="12"/>
        </w:rPr>
      </w:pPr>
    </w:p>
    <w:tbl>
      <w:tblPr>
        <w:tblW w:w="0" w:type="auto"/>
        <w:jc w:val="left"/>
        <w:tblInd w:w="189" w:type="dxa"/>
        <w:tblLayout w:type="fixed"/>
        <w:tblCellMar>
          <w:top w:w="0" w:type="dxa"/>
          <w:left w:w="0" w:type="dxa"/>
          <w:bottom w:w="0" w:type="dxa"/>
          <w:right w:w="0" w:type="dxa"/>
        </w:tblCellMar>
        <w:tblLook w:val="01E0"/>
      </w:tblPr>
      <w:tblGrid>
        <w:gridCol w:w="2852"/>
        <w:gridCol w:w="2855"/>
        <w:gridCol w:w="2854"/>
      </w:tblGrid>
      <w:tr>
        <w:trPr>
          <w:trHeight w:val="37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10,413,587.60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2,346,364.38</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重整保证金</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7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537,698.84</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315,244.00</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经营费用</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22,134,491.19</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16,312,492.90</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21,824,157.61</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9,823,672.45</w:t>
            </w:r>
          </w:p>
        </w:tc>
      </w:tr>
      <w:tr>
        <w:trPr>
          <w:trHeight w:val="37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捐款支出</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5,000.00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480" w:right="1460"/>
        </w:sectPr>
      </w:pPr>
    </w:p>
    <w:p>
      <w:pPr>
        <w:spacing w:line="240" w:lineRule="auto" w:before="4"/>
        <w:rPr>
          <w:rFonts w:ascii="宋体" w:hAnsi="宋体" w:cs="宋体" w:eastAsia="宋体" w:hint="default"/>
          <w:sz w:val="20"/>
          <w:szCs w:val="20"/>
        </w:rPr>
      </w:pPr>
    </w:p>
    <w:tbl>
      <w:tblPr>
        <w:tblW w:w="0" w:type="auto"/>
        <w:jc w:val="left"/>
        <w:tblInd w:w="189" w:type="dxa"/>
        <w:tblLayout w:type="fixed"/>
        <w:tblCellMar>
          <w:top w:w="0" w:type="dxa"/>
          <w:left w:w="0" w:type="dxa"/>
          <w:bottom w:w="0" w:type="dxa"/>
          <w:right w:w="0" w:type="dxa"/>
        </w:tblCellMar>
        <w:tblLook w:val="01E0"/>
      </w:tblPr>
      <w:tblGrid>
        <w:gridCol w:w="2852"/>
        <w:gridCol w:w="2855"/>
        <w:gridCol w:w="2854"/>
      </w:tblGrid>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罚款、罚息及滞纳金支出</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15,674.96</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6,843.90</w:t>
            </w:r>
          </w:p>
        </w:tc>
      </w:tr>
      <w:tr>
        <w:trPr>
          <w:trHeight w:val="37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手续费等</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124,814.94</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91,881.14</w:t>
            </w:r>
          </w:p>
        </w:tc>
      </w:tr>
      <w:tr>
        <w:trPr>
          <w:trHeight w:val="37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b/>
                <w:spacing w:val="-1"/>
                <w:sz w:val="18"/>
              </w:rPr>
              <w:t>55,055,425.14</w:t>
            </w:r>
            <w:r>
              <w:rPr>
                <w:rFonts w:ascii="Times New Roman"/>
                <w:spacing w:val="-1"/>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b/>
                <w:spacing w:val="-1"/>
                <w:sz w:val="18"/>
              </w:rPr>
              <w:t>38,896,498.77</w:t>
            </w:r>
            <w:r>
              <w:rPr>
                <w:rFonts w:ascii="Times New Roman"/>
                <w:spacing w:val="-1"/>
                <w:sz w:val="18"/>
              </w:rPr>
            </w:r>
          </w:p>
        </w:tc>
      </w:tr>
    </w:tbl>
    <w:p>
      <w:pPr>
        <w:spacing w:line="240" w:lineRule="auto" w:before="12"/>
        <w:rPr>
          <w:rFonts w:ascii="宋体" w:hAnsi="宋体" w:cs="宋体" w:eastAsia="宋体" w:hint="default"/>
          <w:sz w:val="15"/>
          <w:szCs w:val="15"/>
        </w:rPr>
      </w:pPr>
    </w:p>
    <w:p>
      <w:pPr>
        <w:pStyle w:val="BodyText"/>
        <w:spacing w:line="240" w:lineRule="auto" w:before="35"/>
        <w:ind w:left="641" w:right="0"/>
        <w:jc w:val="left"/>
        <w:rPr>
          <w:rFonts w:ascii="黑体" w:hAnsi="黑体" w:cs="黑体" w:eastAsia="黑体" w:hint="default"/>
        </w:rPr>
      </w:pPr>
      <w:r>
        <w:rPr>
          <w:rFonts w:ascii="Times New Roman" w:hAnsi="Times New Roman" w:cs="Times New Roman" w:eastAsia="Times New Roman" w:hint="default"/>
        </w:rPr>
        <w:t>43.</w:t>
      </w:r>
      <w:r>
        <w:rPr>
          <w:rFonts w:ascii="Times New Roman" w:hAnsi="Times New Roman" w:cs="Times New Roman" w:eastAsia="Times New Roman" w:hint="default"/>
          <w:spacing w:val="-17"/>
        </w:rPr>
        <w:t> </w:t>
      </w:r>
      <w:r>
        <w:rPr>
          <w:rFonts w:ascii="黑体" w:hAnsi="黑体" w:cs="黑体" w:eastAsia="黑体" w:hint="default"/>
        </w:rPr>
        <w:t>现金流量表补充资料</w:t>
      </w:r>
    </w:p>
    <w:p>
      <w:pPr>
        <w:spacing w:line="240" w:lineRule="auto" w:before="2"/>
        <w:rPr>
          <w:rFonts w:ascii="黑体" w:hAnsi="黑体" w:cs="黑体" w:eastAsia="黑体" w:hint="default"/>
          <w:sz w:val="22"/>
          <w:szCs w:val="22"/>
        </w:rPr>
      </w:pPr>
    </w:p>
    <w:p>
      <w:pPr>
        <w:pStyle w:val="BodyText"/>
        <w:spacing w:line="240" w:lineRule="auto"/>
        <w:ind w:left="641" w:right="0"/>
        <w:jc w:val="left"/>
      </w:pPr>
      <w:r>
        <w:rPr/>
        <w:t>（</w:t>
      </w:r>
      <w:r>
        <w:rPr>
          <w:rFonts w:ascii="Times New Roman" w:hAnsi="Times New Roman" w:cs="Times New Roman" w:eastAsia="Times New Roman" w:hint="default"/>
        </w:rPr>
        <w:t>1</w:t>
      </w:r>
      <w:r>
        <w:rPr/>
        <w:t>）现金流量表补充资料</w:t>
      </w:r>
    </w:p>
    <w:p>
      <w:pPr>
        <w:spacing w:line="240" w:lineRule="auto" w:before="9"/>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5776"/>
        <w:gridCol w:w="1513"/>
        <w:gridCol w:w="1415"/>
      </w:tblGrid>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513" w:type="dxa"/>
            <w:tcBorders>
              <w:top w:val="single" w:sz="4" w:space="0" w:color="000000"/>
              <w:left w:val="single" w:sz="4" w:space="0" w:color="000000"/>
              <w:bottom w:val="single" w:sz="6" w:space="0" w:color="000000"/>
              <w:right w:val="single" w:sz="6" w:space="0" w:color="000000"/>
            </w:tcBorders>
          </w:tcPr>
          <w:p>
            <w:pPr/>
          </w:p>
        </w:tc>
        <w:tc>
          <w:tcPr>
            <w:tcW w:w="1415" w:type="dxa"/>
            <w:tcBorders>
              <w:top w:val="single" w:sz="4" w:space="0" w:color="000000"/>
              <w:left w:val="single" w:sz="6" w:space="0" w:color="000000"/>
              <w:bottom w:val="single" w:sz="6" w:space="0" w:color="000000"/>
              <w:right w:val="single" w:sz="6" w:space="0" w:color="000000"/>
            </w:tcBorders>
          </w:tcPr>
          <w:p>
            <w:pP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498,142,241.73</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123,128,530.25</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-4,762,966.14</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5,794,708.03</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3,573,908.90</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2,966,929.82</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125,006.28</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125,006.28</w:t>
            </w:r>
          </w:p>
        </w:tc>
      </w:tr>
      <w:tr>
        <w:trPr>
          <w:trHeight w:val="35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894,947.14</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1,003,477.62</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-1,557,425.93</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-529,871.57</w:t>
            </w:r>
            <w:r>
              <w:rPr>
                <w:rFonts w:ascii="Times New Roman"/>
                <w:sz w:val="18"/>
              </w:rPr>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2,563,179.00</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88,091.32</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27,891,814.94</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w w:val="95"/>
                <w:sz w:val="18"/>
              </w:rPr>
              <w:t>-70,032.81</w:t>
            </w:r>
            <w:r>
              <w:rPr>
                <w:rFonts w:ascii="Times New Roman"/>
                <w:sz w:val="18"/>
              </w:rPr>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-139,421,252.32</w:t>
            </w:r>
          </w:p>
        </w:tc>
      </w:tr>
      <w:tr>
        <w:trPr>
          <w:trHeight w:val="35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-5,764,146.92</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13,007,773.86</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预计负债的增加（减少以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339,884.20</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14,145,670.71</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5,194,275.35</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21,970,863.84</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-39,329,554.97</w:t>
            </w:r>
          </w:p>
        </w:tc>
      </w:tr>
      <w:tr>
        <w:trPr>
          <w:trHeight w:val="35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其他（债务重组利得）</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-488,916,069.84</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b/>
                <w:spacing w:val="-1"/>
                <w:sz w:val="18"/>
              </w:rPr>
              <w:t>40,345,175.96</w:t>
            </w:r>
            <w:r>
              <w:rPr>
                <w:rFonts w:ascii="Times New Roman"/>
                <w:spacing w:val="-1"/>
                <w:sz w:val="18"/>
              </w:rPr>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b/>
                <w:sz w:val="18"/>
              </w:rPr>
              <w:t>259,812.81</w:t>
            </w:r>
            <w:r>
              <w:rPr>
                <w:rFonts w:ascii="Times New Roman"/>
                <w:sz w:val="18"/>
              </w:rPr>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513" w:type="dxa"/>
            <w:tcBorders>
              <w:top w:val="single" w:sz="6" w:space="0" w:color="000000"/>
              <w:left w:val="single" w:sz="4"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w:t>
            </w:r>
          </w:p>
        </w:tc>
      </w:tr>
      <w:tr>
        <w:trPr>
          <w:trHeight w:val="35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513" w:type="dxa"/>
            <w:tcBorders>
              <w:top w:val="single" w:sz="6" w:space="0" w:color="000000"/>
              <w:left w:val="single" w:sz="4"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65,819,824.29</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26,520,025.62</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减：楼宇按揭保证金</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1,253,461.18</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1,248,896.46</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现金及现金等价物的期末余额</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b/>
                <w:spacing w:val="-1"/>
                <w:sz w:val="18"/>
              </w:rPr>
              <w:t>64,566,363.11</w:t>
            </w:r>
            <w:r>
              <w:rPr>
                <w:rFonts w:ascii="Times New Roman"/>
                <w:spacing w:val="-1"/>
                <w:sz w:val="18"/>
              </w:rPr>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b/>
                <w:spacing w:val="-1"/>
                <w:sz w:val="18"/>
              </w:rPr>
              <w:t>25,271,129.16</w:t>
            </w:r>
            <w:r>
              <w:rPr>
                <w:rFonts w:ascii="Times New Roman"/>
                <w:spacing w:val="-1"/>
                <w:sz w:val="18"/>
              </w:rPr>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现金的期初余额</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26,520,025.62</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30,023,590.78</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减：被冻结的银行存款</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540,060.86</w:t>
            </w:r>
          </w:p>
        </w:tc>
      </w:tr>
    </w:tbl>
    <w:p>
      <w:pPr>
        <w:spacing w:after="0" w:line="240" w:lineRule="auto"/>
        <w:jc w:val="right"/>
        <w:rPr>
          <w:rFonts w:ascii="Times New Roman" w:hAnsi="Times New Roman" w:cs="Times New Roman" w:eastAsia="Times New Roman" w:hint="default"/>
          <w:sz w:val="18"/>
          <w:szCs w:val="18"/>
        </w:rPr>
        <w:sectPr>
          <w:footerReference w:type="default" r:id="rId43"/>
          <w:pgSz w:w="11910" w:h="16840"/>
          <w:pgMar w:footer="893" w:header="0" w:top="1140" w:bottom="1080" w:left="1480" w:right="1480"/>
          <w:pgNumType w:start="100"/>
        </w:sectPr>
      </w:pPr>
    </w:p>
    <w:p>
      <w:pPr>
        <w:spacing w:line="240" w:lineRule="auto" w:before="2"/>
        <w:rPr>
          <w:rFonts w:ascii="Times New Roman" w:hAnsi="Times New Roman" w:cs="Times New Roman" w:eastAsia="Times New Roman"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776"/>
        <w:gridCol w:w="1513"/>
        <w:gridCol w:w="1431"/>
      </w:tblGrid>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1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2"/>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3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2"/>
              <w:ind w:left="3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减：楼宇按揭保证金</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1,248,896.46</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6"/>
              <w:jc w:val="right"/>
              <w:rPr>
                <w:rFonts w:ascii="Times New Roman" w:hAnsi="Times New Roman" w:cs="Times New Roman" w:eastAsia="Times New Roman" w:hint="default"/>
                <w:sz w:val="18"/>
                <w:szCs w:val="18"/>
              </w:rPr>
            </w:pPr>
            <w:r>
              <w:rPr>
                <w:rFonts w:ascii="Times New Roman"/>
                <w:spacing w:val="-1"/>
                <w:sz w:val="18"/>
              </w:rPr>
              <w:t>1,244,348.38</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减：其他</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6"/>
              <w:jc w:val="right"/>
              <w:rPr>
                <w:rFonts w:ascii="Times New Roman" w:hAnsi="Times New Roman" w:cs="Times New Roman" w:eastAsia="Times New Roman" w:hint="default"/>
                <w:sz w:val="18"/>
                <w:szCs w:val="18"/>
              </w:rPr>
            </w:pPr>
            <w:r>
              <w:rPr>
                <w:rFonts w:ascii="Times New Roman"/>
                <w:sz w:val="18"/>
              </w:rPr>
              <w:t>10,953.25</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减：本期退出合并范围公司期初现金及现金等价物净增加额</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6"/>
              <w:jc w:val="right"/>
              <w:rPr>
                <w:rFonts w:ascii="Times New Roman" w:hAnsi="Times New Roman" w:cs="Times New Roman" w:eastAsia="Times New Roman" w:hint="default"/>
                <w:sz w:val="18"/>
                <w:szCs w:val="18"/>
              </w:rPr>
            </w:pPr>
            <w:r>
              <w:rPr>
                <w:rFonts w:ascii="Times New Roman"/>
                <w:sz w:val="18"/>
              </w:rPr>
              <w:t>6,415.12</w:t>
            </w:r>
          </w:p>
        </w:tc>
      </w:tr>
      <w:tr>
        <w:trPr>
          <w:trHeight w:val="35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加：现金等价物的期初余额</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6"/>
              <w:jc w:val="right"/>
              <w:rPr>
                <w:rFonts w:ascii="Times New Roman" w:hAnsi="Times New Roman" w:cs="Times New Roman" w:eastAsia="Times New Roman" w:hint="default"/>
                <w:sz w:val="18"/>
                <w:szCs w:val="18"/>
              </w:rPr>
            </w:pPr>
            <w:r>
              <w:rPr>
                <w:rFonts w:ascii="Times New Roman"/>
                <w:sz w:val="18"/>
              </w:rPr>
              <w:t>--</w:t>
            </w:r>
          </w:p>
        </w:tc>
      </w:tr>
      <w:tr>
        <w:trPr>
          <w:trHeight w:val="35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现金及现金等价物的期初余额</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b/>
                <w:spacing w:val="-1"/>
                <w:sz w:val="18"/>
              </w:rPr>
              <w:t>25,271,129.16</w:t>
            </w:r>
            <w:r>
              <w:rPr>
                <w:rFonts w:ascii="Times New Roman"/>
                <w:spacing w:val="-1"/>
                <w:sz w:val="18"/>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6"/>
              <w:jc w:val="right"/>
              <w:rPr>
                <w:rFonts w:ascii="Times New Roman" w:hAnsi="Times New Roman" w:cs="Times New Roman" w:eastAsia="Times New Roman" w:hint="default"/>
                <w:sz w:val="18"/>
                <w:szCs w:val="18"/>
              </w:rPr>
            </w:pPr>
            <w:r>
              <w:rPr>
                <w:rFonts w:ascii="Times New Roman"/>
                <w:b/>
                <w:spacing w:val="-1"/>
                <w:sz w:val="18"/>
              </w:rPr>
              <w:t>28,221,813.17</w:t>
            </w:r>
            <w:r>
              <w:rPr>
                <w:rFonts w:ascii="Times New Roman"/>
                <w:spacing w:val="-1"/>
                <w:sz w:val="18"/>
              </w:rPr>
            </w:r>
          </w:p>
        </w:tc>
      </w:tr>
      <w:tr>
        <w:trPr>
          <w:trHeight w:val="356"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b/>
                <w:spacing w:val="-1"/>
                <w:sz w:val="18"/>
              </w:rPr>
              <w:t>39,295,233.95</w:t>
            </w:r>
            <w:r>
              <w:rPr>
                <w:rFonts w:ascii="Times New Roman"/>
                <w:spacing w:val="-1"/>
                <w:sz w:val="18"/>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6"/>
              <w:jc w:val="right"/>
              <w:rPr>
                <w:rFonts w:ascii="Times New Roman" w:hAnsi="Times New Roman" w:cs="Times New Roman" w:eastAsia="Times New Roman" w:hint="default"/>
                <w:sz w:val="18"/>
                <w:szCs w:val="18"/>
              </w:rPr>
            </w:pPr>
            <w:r>
              <w:rPr>
                <w:rFonts w:ascii="Times New Roman"/>
                <w:b/>
                <w:spacing w:val="-1"/>
                <w:sz w:val="18"/>
              </w:rPr>
              <w:t>-2,950,684.01</w:t>
            </w:r>
            <w:r>
              <w:rPr>
                <w:rFonts w:ascii="Times New Roman"/>
                <w:spacing w:val="-1"/>
                <w:sz w:val="18"/>
              </w:rPr>
            </w:r>
          </w:p>
        </w:tc>
      </w:tr>
      <w:tr>
        <w:trPr>
          <w:trHeight w:val="644" w:hRule="exact"/>
        </w:trPr>
        <w:tc>
          <w:tcPr>
            <w:tcW w:w="8721" w:type="dxa"/>
            <w:gridSpan w:val="3"/>
            <w:tcBorders>
              <w:top w:val="single" w:sz="6"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）本期取得或处置子公司及其他营业单位的相关信息</w:t>
            </w: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51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151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105,000.00</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-423,144,776.47</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5,386,059.36</w:t>
            </w: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2,362,670.34</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191,204,632.01</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239,688,874.16</w:t>
            </w:r>
          </w:p>
        </w:tc>
      </w:tr>
      <w:tr>
        <w:trPr>
          <w:trHeight w:val="580" w:hRule="exact"/>
        </w:trPr>
        <w:tc>
          <w:tcPr>
            <w:tcW w:w="872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95"/>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）现金和现金等价物的构成</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center"/>
              <w:rPr>
                <w:rFonts w:ascii="宋体" w:hAnsi="宋体" w:cs="宋体" w:eastAsia="宋体" w:hint="default"/>
                <w:sz w:val="18"/>
                <w:szCs w:val="18"/>
              </w:rPr>
            </w:pPr>
            <w:r>
              <w:rPr>
                <w:rFonts w:ascii="宋体" w:hAnsi="宋体" w:cs="宋体" w:eastAsia="宋体" w:hint="default"/>
                <w:sz w:val="18"/>
                <w:szCs w:val="18"/>
              </w:rPr>
              <w:t>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3" w:right="0"/>
              <w:jc w:val="left"/>
              <w:rPr>
                <w:rFonts w:ascii="Times New Roman" w:hAnsi="Times New Roman" w:cs="Times New Roman" w:eastAsia="Times New Roman" w:hint="default"/>
                <w:sz w:val="18"/>
                <w:szCs w:val="18"/>
              </w:rPr>
            </w:pPr>
            <w:r>
              <w:rPr>
                <w:rFonts w:ascii="Times New Roman"/>
                <w:sz w:val="18"/>
              </w:rPr>
              <w:t>2010-12-31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0" w:right="0"/>
              <w:jc w:val="left"/>
              <w:rPr>
                <w:rFonts w:ascii="Times New Roman" w:hAnsi="Times New Roman" w:cs="Times New Roman" w:eastAsia="Times New Roman" w:hint="default"/>
                <w:sz w:val="18"/>
                <w:szCs w:val="18"/>
              </w:rPr>
            </w:pPr>
            <w:r>
              <w:rPr>
                <w:rFonts w:ascii="Times New Roman"/>
                <w:sz w:val="18"/>
              </w:rPr>
              <w:t>2009-12-31</w:t>
            </w: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65,819,824.29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0"/>
              <w:jc w:val="right"/>
              <w:rPr>
                <w:rFonts w:ascii="Times New Roman" w:hAnsi="Times New Roman" w:cs="Times New Roman" w:eastAsia="Times New Roman" w:hint="default"/>
                <w:sz w:val="18"/>
                <w:szCs w:val="18"/>
              </w:rPr>
            </w:pPr>
            <w:r>
              <w:rPr>
                <w:rFonts w:ascii="Times New Roman"/>
                <w:spacing w:val="-1"/>
                <w:sz w:val="18"/>
              </w:rPr>
              <w:t>26,520,025.62</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178,879.94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0"/>
              <w:jc w:val="right"/>
              <w:rPr>
                <w:rFonts w:ascii="Times New Roman" w:hAnsi="Times New Roman" w:cs="Times New Roman" w:eastAsia="Times New Roman" w:hint="default"/>
                <w:sz w:val="18"/>
                <w:szCs w:val="18"/>
              </w:rPr>
            </w:pPr>
            <w:r>
              <w:rPr>
                <w:rFonts w:ascii="Times New Roman"/>
                <w:sz w:val="18"/>
              </w:rPr>
              <w:t>248,151.54</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60,387,456.64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0"/>
              <w:jc w:val="right"/>
              <w:rPr>
                <w:rFonts w:ascii="Times New Roman" w:hAnsi="Times New Roman" w:cs="Times New Roman" w:eastAsia="Times New Roman" w:hint="default"/>
                <w:sz w:val="18"/>
                <w:szCs w:val="18"/>
              </w:rPr>
            </w:pPr>
            <w:r>
              <w:rPr>
                <w:rFonts w:ascii="Times New Roman"/>
                <w:spacing w:val="-1"/>
                <w:sz w:val="18"/>
              </w:rPr>
              <w:t>25,022,977.62</w:t>
            </w:r>
          </w:p>
        </w:tc>
      </w:tr>
      <w:tr>
        <w:trPr>
          <w:trHeight w:val="349"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4,000,026.53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0"/>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二、减：楼宇按揭保证金</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1,253,461.18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0"/>
              <w:jc w:val="right"/>
              <w:rPr>
                <w:rFonts w:ascii="Times New Roman" w:hAnsi="Times New Roman" w:cs="Times New Roman" w:eastAsia="Times New Roman" w:hint="default"/>
                <w:sz w:val="18"/>
                <w:szCs w:val="18"/>
              </w:rPr>
            </w:pPr>
            <w:r>
              <w:rPr>
                <w:rFonts w:ascii="Times New Roman"/>
                <w:spacing w:val="-1"/>
                <w:sz w:val="18"/>
              </w:rPr>
              <w:t>1,248,896.46</w:t>
            </w:r>
          </w:p>
        </w:tc>
      </w:tr>
      <w:tr>
        <w:trPr>
          <w:trHeight w:val="35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三、加：现金等价物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b/>
                <w:bCs/>
                <w:sz w:val="18"/>
                <w:szCs w:val="18"/>
              </w:rPr>
              <w:t>四、期末现金及现金等价物余额</w:t>
            </w:r>
            <w:r>
              <w:rPr>
                <w:rFonts w:ascii="宋体" w:hAnsi="宋体" w:cs="宋体" w:eastAsia="宋体" w:hint="default"/>
                <w:sz w:val="18"/>
                <w:szCs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b/>
                <w:spacing w:val="-1"/>
                <w:sz w:val="18"/>
              </w:rPr>
              <w:t>64,566,363.11</w:t>
            </w:r>
            <w:r>
              <w:rPr>
                <w:rFonts w:ascii="Times New Roman"/>
                <w:spacing w:val="-1"/>
                <w:sz w:val="18"/>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b/>
                <w:spacing w:val="-1"/>
                <w:sz w:val="18"/>
              </w:rPr>
              <w:t>25,271,129.16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480" w:right="1460"/>
        </w:sectPr>
      </w:pPr>
    </w:p>
    <w:p>
      <w:pPr>
        <w:spacing w:line="240" w:lineRule="auto" w:before="7"/>
        <w:rPr>
          <w:rFonts w:ascii="Times New Roman" w:hAnsi="Times New Roman" w:cs="Times New Roman" w:eastAsia="Times New Roman" w:hint="default"/>
          <w:sz w:val="26"/>
          <w:szCs w:val="26"/>
        </w:rPr>
      </w:pPr>
    </w:p>
    <w:p>
      <w:pPr>
        <w:pStyle w:val="BodyText"/>
        <w:spacing w:line="240" w:lineRule="auto" w:before="35"/>
        <w:ind w:left="641" w:right="230"/>
        <w:jc w:val="left"/>
      </w:pPr>
      <w:r>
        <w:rPr/>
        <w:t>附注六、关联方及关联交易</w:t>
      </w:r>
    </w:p>
    <w:p>
      <w:pPr>
        <w:spacing w:line="240" w:lineRule="auto" w:before="9"/>
        <w:rPr>
          <w:rFonts w:ascii="宋体" w:hAnsi="宋体" w:cs="宋体" w:eastAsia="宋体" w:hint="default"/>
          <w:sz w:val="18"/>
          <w:szCs w:val="18"/>
        </w:rPr>
      </w:pPr>
    </w:p>
    <w:p>
      <w:pPr>
        <w:pStyle w:val="BodyText"/>
        <w:tabs>
          <w:tab w:pos="1122" w:val="left" w:leader="none"/>
        </w:tabs>
        <w:spacing w:line="240" w:lineRule="auto"/>
        <w:ind w:left="761" w:right="230"/>
        <w:jc w:val="left"/>
        <w:rPr>
          <w:rFonts w:ascii="黑体" w:hAnsi="黑体" w:cs="黑体" w:eastAsia="黑体" w:hint="default"/>
        </w:rPr>
      </w:pPr>
      <w:r>
        <w:rPr>
          <w:rFonts w:ascii="Times New Roman" w:hAnsi="Times New Roman" w:cs="Times New Roman" w:eastAsia="Times New Roman" w:hint="default"/>
        </w:rPr>
        <w:t>1.</w:t>
        <w:tab/>
      </w:r>
      <w:r>
        <w:rPr>
          <w:rFonts w:ascii="黑体" w:hAnsi="黑体" w:cs="黑体" w:eastAsia="黑体" w:hint="default"/>
        </w:rPr>
        <w:t>关联方认定标准</w:t>
      </w:r>
    </w:p>
    <w:p>
      <w:pPr>
        <w:spacing w:line="240" w:lineRule="auto" w:before="6"/>
        <w:rPr>
          <w:rFonts w:ascii="黑体" w:hAnsi="黑体" w:cs="黑体" w:eastAsia="黑体" w:hint="default"/>
          <w:sz w:val="17"/>
          <w:szCs w:val="17"/>
        </w:rPr>
      </w:pPr>
    </w:p>
    <w:p>
      <w:pPr>
        <w:pStyle w:val="BodyText"/>
        <w:spacing w:line="350" w:lineRule="auto"/>
        <w:ind w:left="221" w:right="0" w:firstLine="420"/>
        <w:jc w:val="left"/>
      </w:pPr>
      <w:r>
        <w:rPr>
          <w:spacing w:val="-6"/>
        </w:rPr>
        <w:t>一方控制、共同控制另一方或对另一方施加重大影响，以及两方或两方以上同受一方控制、</w:t>
      </w:r>
      <w:r>
        <w:rPr/>
        <w:t> 共同控制或重大影响的，构成关联方。</w:t>
      </w:r>
    </w:p>
    <w:p>
      <w:pPr>
        <w:pStyle w:val="BodyText"/>
        <w:tabs>
          <w:tab w:pos="1123" w:val="left" w:leader="none"/>
        </w:tabs>
        <w:spacing w:line="240" w:lineRule="auto" w:before="148"/>
        <w:ind w:left="761" w:right="230"/>
        <w:jc w:val="left"/>
        <w:rPr>
          <w:rFonts w:ascii="黑体" w:hAnsi="黑体" w:cs="黑体" w:eastAsia="黑体" w:hint="default"/>
        </w:rPr>
      </w:pPr>
      <w:r>
        <w:rPr/>
        <w:pict>
          <v:group style="position:absolute;margin-left:79.199997pt;margin-top:29.868755pt;width:437.05pt;height:73.5pt;mso-position-horizontal-relative:page;mso-position-vertical-relative:paragraph;z-index:-727624" coordorigin="1584,597" coordsize="8741,1470">
            <v:group style="position:absolute;left:7033;top:602;width:2;height:962" coordorigin="7033,602" coordsize="2,962">
              <v:shape style="position:absolute;left:7033;top:602;width:2;height:962" coordorigin="7033,602" coordsize="0,962" path="m7033,602l7033,1563e" filled="false" stroked="true" strokeweight=".48pt" strokecolor="#000000">
                <v:path arrowok="t"/>
              </v:shape>
            </v:group>
            <v:group style="position:absolute;left:1589;top:1568;width:5450;height:2" coordorigin="1589,1568" coordsize="5450,2">
              <v:shape style="position:absolute;left:1589;top:1568;width:5450;height:2" coordorigin="1589,1568" coordsize="5450,0" path="m1589,1568l7038,1568e" filled="false" stroked="true" strokeweight=".48pt" strokecolor="#000000">
                <v:path arrowok="t"/>
              </v:shape>
            </v:group>
            <v:group style="position:absolute;left:8240;top:602;width:2;height:962" coordorigin="8240,602" coordsize="2,962">
              <v:shape style="position:absolute;left:8240;top:602;width:2;height:962" coordorigin="8240,602" coordsize="0,962" path="m8240,602l8240,1563e" filled="false" stroked="true" strokeweight=".48pt" strokecolor="#000000">
                <v:path arrowok="t"/>
              </v:shape>
            </v:group>
            <v:group style="position:absolute;left:7038;top:1568;width:1198;height:2" coordorigin="7038,1568" coordsize="1198,2">
              <v:shape style="position:absolute;left:7038;top:1568;width:1198;height:2" coordorigin="7038,1568" coordsize="1198,0" path="m7038,1568l8236,1568e" filled="false" stroked="true" strokeweight=".48pt" strokecolor="#000000">
                <v:path arrowok="t"/>
              </v:shape>
            </v:group>
            <v:group style="position:absolute;left:9542;top:602;width:2;height:962" coordorigin="9542,602" coordsize="2,962">
              <v:shape style="position:absolute;left:9542;top:602;width:2;height:962" coordorigin="9542,602" coordsize="0,962" path="m9542,602l9542,1563e" filled="false" stroked="true" strokeweight=".48pt" strokecolor="#000000">
                <v:path arrowok="t"/>
              </v:shape>
            </v:group>
            <v:group style="position:absolute;left:8236;top:1568;width:2085;height:2" coordorigin="8236,1568" coordsize="2085,2">
              <v:shape style="position:absolute;left:8236;top:1568;width:2085;height:2" coordorigin="8236,1568" coordsize="2085,0" path="m8236,1568l10320,1568e" filled="false" stroked="true" strokeweight=".48pt" strokecolor="#000000">
                <v:path arrowok="t"/>
              </v:shape>
            </v:group>
            <v:group style="position:absolute;left:7033;top:1573;width:2;height:490" coordorigin="7033,1573" coordsize="2,490">
              <v:shape style="position:absolute;left:7033;top:1573;width:2;height:490" coordorigin="7033,1573" coordsize="0,490" path="m7033,1573l7033,2063e" filled="false" stroked="true" strokeweight=".48pt" strokecolor="#000000">
                <v:path arrowok="t"/>
              </v:shape>
            </v:group>
            <v:group style="position:absolute;left:8240;top:1573;width:2;height:490" coordorigin="8240,1573" coordsize="2,490">
              <v:shape style="position:absolute;left:8240;top:1573;width:2;height:490" coordorigin="8240,1573" coordsize="0,490" path="m8240,1573l8240,2063e" filled="false" stroked="true" strokeweight=".48pt" strokecolor="#000000">
                <v:path arrowok="t"/>
              </v:shape>
            </v:group>
            <v:group style="position:absolute;left:9542;top:1573;width:2;height:490" coordorigin="9542,1573" coordsize="2,490">
              <v:shape style="position:absolute;left:9542;top:1573;width:2;height:490" coordorigin="9542,1573" coordsize="0,490" path="m9542,1573l9542,2063e" filled="false" stroked="true" strokeweight=".48pt" strokecolor="#000000">
                <v:path arrowok="t"/>
              </v:shape>
            </v:group>
            <w10:wrap type="none"/>
          </v:group>
        </w:pict>
      </w:r>
      <w:r>
        <w:rPr>
          <w:rFonts w:ascii="Times New Roman" w:hAnsi="Times New Roman" w:cs="Times New Roman" w:eastAsia="Times New Roman" w:hint="default"/>
        </w:rPr>
        <w:t>2.</w:t>
        <w:tab/>
      </w:r>
      <w:r>
        <w:rPr>
          <w:rFonts w:ascii="黑体" w:hAnsi="黑体" w:cs="黑体" w:eastAsia="黑体" w:hint="default"/>
        </w:rPr>
        <w:t>本企业的母公司情况</w:t>
      </w:r>
    </w:p>
    <w:p>
      <w:pPr>
        <w:spacing w:line="240" w:lineRule="auto" w:before="2"/>
        <w:rPr>
          <w:rFonts w:ascii="黑体" w:hAnsi="黑体" w:cs="黑体" w:eastAsia="黑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148"/>
        <w:gridCol w:w="678"/>
        <w:gridCol w:w="865"/>
        <w:gridCol w:w="584"/>
        <w:gridCol w:w="678"/>
        <w:gridCol w:w="678"/>
        <w:gridCol w:w="808"/>
        <w:gridCol w:w="1207"/>
        <w:gridCol w:w="1302"/>
        <w:gridCol w:w="773"/>
      </w:tblGrid>
      <w:tr>
        <w:trPr>
          <w:trHeight w:val="252" w:hRule="exact"/>
        </w:trPr>
        <w:tc>
          <w:tcPr>
            <w:tcW w:w="4632" w:type="dxa"/>
            <w:gridSpan w:val="6"/>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Style w:val="TableParagraph"/>
              <w:tabs>
                <w:tab w:pos="956" w:val="left" w:leader="none"/>
                <w:tab w:pos="2210" w:val="left" w:leader="none"/>
                <w:tab w:pos="3425" w:val="left" w:leader="none"/>
              </w:tabs>
              <w:spacing w:line="287" w:lineRule="exact"/>
              <w:ind w:left="218" w:right="-3169"/>
              <w:jc w:val="left"/>
              <w:rPr>
                <w:rFonts w:ascii="宋体" w:hAnsi="宋体" w:cs="宋体" w:eastAsia="宋体" w:hint="default"/>
                <w:sz w:val="18"/>
                <w:szCs w:val="18"/>
              </w:rPr>
            </w:pPr>
            <w:r>
              <w:rPr>
                <w:rFonts w:ascii="宋体" w:hAnsi="宋体" w:cs="宋体" w:eastAsia="宋体" w:hint="default"/>
                <w:position w:val="12"/>
                <w:sz w:val="18"/>
                <w:szCs w:val="18"/>
              </w:rPr>
              <w:t>注册</w:t>
              <w:tab/>
            </w:r>
            <w:r>
              <w:rPr>
                <w:rFonts w:ascii="宋体" w:hAnsi="宋体" w:cs="宋体" w:eastAsia="宋体" w:hint="default"/>
                <w:sz w:val="18"/>
                <w:szCs w:val="18"/>
              </w:rPr>
              <w:t>母公司对本</w:t>
              <w:tab/>
              <w:t>母公司对本</w:t>
              <w:tab/>
              <w:t>本企业</w:t>
            </w:r>
          </w:p>
        </w:tc>
        <w:tc>
          <w:tcPr>
            <w:tcW w:w="3282" w:type="dxa"/>
            <w:gridSpan w:val="3"/>
            <w:tcBorders>
              <w:top w:val="single" w:sz="4" w:space="0" w:color="000000"/>
              <w:left w:val="nil" w:sz="6" w:space="0" w:color="auto"/>
              <w:bottom w:val="nil" w:sz="6" w:space="0" w:color="auto"/>
              <w:right w:val="nil" w:sz="6" w:space="0" w:color="auto"/>
            </w:tcBorders>
          </w:tcPr>
          <w:p>
            <w:pPr/>
          </w:p>
        </w:tc>
      </w:tr>
      <w:tr>
        <w:trPr>
          <w:trHeight w:val="240" w:hRule="exact"/>
        </w:trPr>
        <w:tc>
          <w:tcPr>
            <w:tcW w:w="1148" w:type="dxa"/>
            <w:tcBorders>
              <w:top w:val="nil" w:sz="6" w:space="0" w:color="auto"/>
              <w:left w:val="single" w:sz="4" w:space="0" w:color="000000"/>
              <w:bottom w:val="nil" w:sz="6" w:space="0" w:color="auto"/>
              <w:right w:val="single" w:sz="4" w:space="0" w:color="000000"/>
            </w:tcBorders>
          </w:tcPr>
          <w:p>
            <w:pPr>
              <w:pStyle w:val="TableParagraph"/>
              <w:spacing w:line="185" w:lineRule="exact" w:before="94"/>
              <w:ind w:left="118"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67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关联</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48"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注册</w:t>
            </w:r>
          </w:p>
        </w:tc>
        <w:tc>
          <w:tcPr>
            <w:tcW w:w="67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法人</w:t>
            </w:r>
          </w:p>
        </w:tc>
        <w:tc>
          <w:tcPr>
            <w:tcW w:w="67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业务</w:t>
            </w:r>
          </w:p>
        </w:tc>
        <w:tc>
          <w:tcPr>
            <w:tcW w:w="808" w:type="dxa"/>
            <w:tcBorders>
              <w:top w:val="nil" w:sz="6" w:space="0" w:color="auto"/>
              <w:left w:val="single" w:sz="4" w:space="0" w:color="000000"/>
              <w:bottom w:val="nil" w:sz="6" w:space="0" w:color="auto"/>
              <w:right w:val="single" w:sz="4" w:space="0" w:color="000000"/>
            </w:tcBorders>
          </w:tcPr>
          <w:p>
            <w:pPr>
              <w:pStyle w:val="TableParagraph"/>
              <w:tabs>
                <w:tab w:pos="956" w:val="left" w:leader="none"/>
                <w:tab w:pos="2120" w:val="left" w:leader="none"/>
                <w:tab w:pos="3425" w:val="left" w:leader="none"/>
              </w:tabs>
              <w:spacing w:line="280" w:lineRule="exact"/>
              <w:ind w:left="218" w:right="-3169"/>
              <w:jc w:val="left"/>
              <w:rPr>
                <w:rFonts w:ascii="宋体" w:hAnsi="宋体" w:cs="宋体" w:eastAsia="宋体" w:hint="default"/>
                <w:sz w:val="18"/>
                <w:szCs w:val="18"/>
              </w:rPr>
            </w:pPr>
            <w:r>
              <w:rPr>
                <w:rFonts w:ascii="宋体" w:hAnsi="宋体" w:cs="宋体" w:eastAsia="宋体" w:hint="default"/>
                <w:position w:val="12"/>
                <w:sz w:val="18"/>
                <w:szCs w:val="18"/>
              </w:rPr>
              <w:t>资本</w:t>
              <w:tab/>
            </w:r>
            <w:r>
              <w:rPr>
                <w:rFonts w:ascii="宋体" w:hAnsi="宋体" w:cs="宋体" w:eastAsia="宋体" w:hint="default"/>
                <w:sz w:val="18"/>
                <w:szCs w:val="18"/>
              </w:rPr>
              <w:t>企业的持股</w:t>
              <w:tab/>
              <w:t>企业的表决权</w:t>
              <w:tab/>
              <w:t>最终控</w:t>
            </w:r>
          </w:p>
        </w:tc>
        <w:tc>
          <w:tcPr>
            <w:tcW w:w="1207" w:type="dxa"/>
            <w:tcBorders>
              <w:top w:val="nil" w:sz="6" w:space="0" w:color="auto"/>
              <w:left w:val="single" w:sz="4" w:space="0" w:color="000000"/>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240" w:hRule="exact"/>
        </w:trPr>
        <w:tc>
          <w:tcPr>
            <w:tcW w:w="1148" w:type="dxa"/>
            <w:tcBorders>
              <w:top w:val="nil" w:sz="6" w:space="0" w:color="auto"/>
              <w:left w:val="single" w:sz="4" w:space="0" w:color="000000"/>
              <w:bottom w:val="nil" w:sz="6" w:space="0" w:color="auto"/>
              <w:right w:val="single" w:sz="4" w:space="0" w:color="000000"/>
            </w:tcBorders>
          </w:tcPr>
          <w:p>
            <w:pPr/>
          </w:p>
        </w:tc>
        <w:tc>
          <w:tcPr>
            <w:tcW w:w="67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关系</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4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地</w:t>
            </w:r>
          </w:p>
        </w:tc>
        <w:tc>
          <w:tcPr>
            <w:tcW w:w="67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代表</w:t>
            </w:r>
          </w:p>
        </w:tc>
        <w:tc>
          <w:tcPr>
            <w:tcW w:w="67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808" w:type="dxa"/>
            <w:tcBorders>
              <w:top w:val="nil" w:sz="6" w:space="0" w:color="auto"/>
              <w:left w:val="single" w:sz="4" w:space="0" w:color="000000"/>
              <w:bottom w:val="nil" w:sz="6" w:space="0" w:color="auto"/>
              <w:right w:val="single" w:sz="4" w:space="0" w:color="000000"/>
            </w:tcBorders>
          </w:tcPr>
          <w:p>
            <w:pPr>
              <w:pStyle w:val="TableParagraph"/>
              <w:tabs>
                <w:tab w:pos="1092" w:val="left" w:leader="none"/>
                <w:tab w:pos="2345" w:val="left" w:leader="none"/>
                <w:tab w:pos="3515" w:val="left" w:leader="none"/>
              </w:tabs>
              <w:spacing w:line="280" w:lineRule="exact"/>
              <w:ind w:left="218" w:right="-3079"/>
              <w:jc w:val="left"/>
              <w:rPr>
                <w:rFonts w:ascii="宋体" w:hAnsi="宋体" w:cs="宋体" w:eastAsia="宋体" w:hint="default"/>
                <w:sz w:val="18"/>
                <w:szCs w:val="18"/>
              </w:rPr>
            </w:pPr>
            <w:r>
              <w:rPr>
                <w:rFonts w:ascii="宋体" w:hAnsi="宋体" w:cs="宋体" w:eastAsia="宋体" w:hint="default"/>
                <w:position w:val="12"/>
                <w:sz w:val="18"/>
                <w:szCs w:val="18"/>
              </w:rPr>
              <w:t>（万</w:t>
              <w:tab/>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制方</w:t>
            </w:r>
          </w:p>
        </w:tc>
        <w:tc>
          <w:tcPr>
            <w:tcW w:w="1207" w:type="dxa"/>
            <w:tcBorders>
              <w:top w:val="nil" w:sz="6" w:space="0" w:color="auto"/>
              <w:left w:val="single" w:sz="4" w:space="0" w:color="000000"/>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210" w:hRule="exact"/>
        </w:trPr>
        <w:tc>
          <w:tcPr>
            <w:tcW w:w="1148" w:type="dxa"/>
            <w:tcBorders>
              <w:top w:val="nil" w:sz="6" w:space="0" w:color="auto"/>
              <w:left w:val="single" w:sz="4" w:space="0" w:color="000000"/>
              <w:bottom w:val="nil" w:sz="6" w:space="0" w:color="auto"/>
              <w:right w:val="single" w:sz="4" w:space="0" w:color="000000"/>
            </w:tcBorders>
          </w:tcPr>
          <w:p>
            <w:pPr/>
          </w:p>
        </w:tc>
        <w:tc>
          <w:tcPr>
            <w:tcW w:w="678"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
        </w:tc>
        <w:tc>
          <w:tcPr>
            <w:tcW w:w="678" w:type="dxa"/>
            <w:tcBorders>
              <w:top w:val="nil" w:sz="6" w:space="0" w:color="auto"/>
              <w:left w:val="single" w:sz="4" w:space="0" w:color="000000"/>
              <w:bottom w:val="nil" w:sz="6" w:space="0" w:color="auto"/>
              <w:right w:val="single" w:sz="4" w:space="0" w:color="000000"/>
            </w:tcBorders>
          </w:tcPr>
          <w:p>
            <w:pPr/>
          </w:p>
        </w:tc>
        <w:tc>
          <w:tcPr>
            <w:tcW w:w="67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1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07" w:type="dxa"/>
            <w:tcBorders>
              <w:top w:val="nil" w:sz="6" w:space="0" w:color="auto"/>
              <w:left w:val="single" w:sz="4" w:space="0" w:color="000000"/>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519" w:hRule="exact"/>
        </w:trPr>
        <w:tc>
          <w:tcPr>
            <w:tcW w:w="1148" w:type="dxa"/>
            <w:tcBorders>
              <w:top w:val="nil" w:sz="6" w:space="0" w:color="auto"/>
              <w:left w:val="single" w:sz="4" w:space="0" w:color="000000"/>
              <w:bottom w:val="single" w:sz="4" w:space="0" w:color="000000"/>
              <w:right w:val="single" w:sz="4" w:space="0" w:color="000000"/>
            </w:tcBorders>
          </w:tcPr>
          <w:p>
            <w:pPr>
              <w:pStyle w:val="TableParagraph"/>
              <w:spacing w:line="244" w:lineRule="auto" w:before="15"/>
              <w:ind w:left="103" w:right="91"/>
              <w:jc w:val="left"/>
              <w:rPr>
                <w:rFonts w:ascii="宋体" w:hAnsi="宋体" w:cs="宋体" w:eastAsia="宋体" w:hint="default"/>
                <w:sz w:val="18"/>
                <w:szCs w:val="18"/>
              </w:rPr>
            </w:pPr>
            <w:r>
              <w:rPr>
                <w:rFonts w:ascii="宋体" w:hAnsi="宋体" w:cs="宋体" w:eastAsia="宋体" w:hint="default"/>
                <w:spacing w:val="8"/>
                <w:sz w:val="18"/>
                <w:szCs w:val="18"/>
              </w:rPr>
              <w:t>中国希格玛 </w:t>
            </w:r>
            <w:r>
              <w:rPr>
                <w:rFonts w:ascii="宋体" w:hAnsi="宋体" w:cs="宋体" w:eastAsia="宋体" w:hint="default"/>
                <w:sz w:val="18"/>
                <w:szCs w:val="18"/>
              </w:rPr>
              <w:t>有限公司</w:t>
            </w:r>
          </w:p>
        </w:tc>
        <w:tc>
          <w:tcPr>
            <w:tcW w:w="678" w:type="dxa"/>
            <w:tcBorders>
              <w:top w:val="nil" w:sz="6" w:space="0" w:color="auto"/>
              <w:left w:val="single" w:sz="4" w:space="0" w:color="000000"/>
              <w:bottom w:val="single" w:sz="4" w:space="0" w:color="000000"/>
              <w:right w:val="single" w:sz="4" w:space="0" w:color="000000"/>
            </w:tcBorders>
          </w:tcPr>
          <w:p>
            <w:pPr>
              <w:pStyle w:val="TableParagraph"/>
              <w:spacing w:line="244" w:lineRule="auto" w:before="15"/>
              <w:ind w:left="101" w:right="102"/>
              <w:jc w:val="left"/>
              <w:rPr>
                <w:rFonts w:ascii="宋体" w:hAnsi="宋体" w:cs="宋体" w:eastAsia="宋体" w:hint="default"/>
                <w:sz w:val="18"/>
                <w:szCs w:val="18"/>
              </w:rPr>
            </w:pPr>
            <w:r>
              <w:rPr>
                <w:rFonts w:ascii="宋体" w:hAnsi="宋体" w:cs="宋体" w:eastAsia="宋体" w:hint="default"/>
                <w:sz w:val="18"/>
                <w:szCs w:val="18"/>
              </w:rPr>
              <w:t>控</w:t>
            </w:r>
            <w:r>
              <w:rPr>
                <w:rFonts w:ascii="宋体" w:hAnsi="宋体" w:cs="宋体" w:eastAsia="宋体" w:hint="default"/>
                <w:spacing w:val="12"/>
                <w:sz w:val="18"/>
                <w:szCs w:val="18"/>
              </w:rPr>
              <w:t> </w:t>
            </w:r>
            <w:r>
              <w:rPr>
                <w:rFonts w:ascii="宋体" w:hAnsi="宋体" w:cs="宋体" w:eastAsia="宋体" w:hint="default"/>
                <w:sz w:val="18"/>
                <w:szCs w:val="18"/>
              </w:rPr>
              <w:t>股</w:t>
            </w:r>
            <w:r>
              <w:rPr>
                <w:rFonts w:ascii="宋体" w:hAnsi="宋体" w:cs="宋体" w:eastAsia="宋体" w:hint="default"/>
                <w:sz w:val="18"/>
                <w:szCs w:val="18"/>
              </w:rPr>
              <w:t> 股东</w:t>
            </w:r>
          </w:p>
        </w:tc>
        <w:tc>
          <w:tcPr>
            <w:tcW w:w="865" w:type="dxa"/>
            <w:tcBorders>
              <w:top w:val="nil" w:sz="6" w:space="0" w:color="auto"/>
              <w:left w:val="single" w:sz="4" w:space="0" w:color="000000"/>
              <w:bottom w:val="single" w:sz="4" w:space="0" w:color="000000"/>
              <w:right w:val="single" w:sz="4" w:space="0" w:color="000000"/>
            </w:tcBorders>
          </w:tcPr>
          <w:p>
            <w:pPr>
              <w:pStyle w:val="TableParagraph"/>
              <w:spacing w:line="244" w:lineRule="auto" w:before="15"/>
              <w:ind w:left="103" w:right="44"/>
              <w:jc w:val="left"/>
              <w:rPr>
                <w:rFonts w:ascii="宋体" w:hAnsi="宋体" w:cs="宋体" w:eastAsia="宋体" w:hint="default"/>
                <w:sz w:val="18"/>
                <w:szCs w:val="18"/>
              </w:rPr>
            </w:pPr>
            <w:r>
              <w:rPr>
                <w:rFonts w:ascii="宋体" w:hAnsi="宋体" w:cs="宋体" w:eastAsia="宋体" w:hint="default"/>
                <w:spacing w:val="36"/>
                <w:sz w:val="18"/>
                <w:szCs w:val="18"/>
              </w:rPr>
              <w:t>有限责</w:t>
            </w:r>
            <w:r>
              <w:rPr>
                <w:rFonts w:ascii="宋体" w:hAnsi="宋体" w:cs="宋体" w:eastAsia="宋体" w:hint="default"/>
                <w:spacing w:val="-88"/>
                <w:sz w:val="18"/>
                <w:szCs w:val="18"/>
              </w:rPr>
              <w:t> </w:t>
            </w:r>
            <w:r>
              <w:rPr>
                <w:rFonts w:ascii="宋体" w:hAnsi="宋体" w:cs="宋体" w:eastAsia="宋体" w:hint="default"/>
                <w:sz w:val="18"/>
                <w:szCs w:val="18"/>
              </w:rPr>
              <w:t>任公司</w:t>
            </w: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4" w:lineRule="auto" w:before="15"/>
              <w:ind w:left="103" w:right="92"/>
              <w:jc w:val="left"/>
              <w:rPr>
                <w:rFonts w:ascii="宋体" w:hAnsi="宋体" w:cs="宋体" w:eastAsia="宋体" w:hint="default"/>
                <w:sz w:val="18"/>
                <w:szCs w:val="18"/>
              </w:rPr>
            </w:pPr>
            <w:r>
              <w:rPr>
                <w:rFonts w:ascii="宋体" w:hAnsi="宋体" w:cs="宋体" w:eastAsia="宋体" w:hint="default"/>
                <w:spacing w:val="8"/>
                <w:sz w:val="18"/>
                <w:szCs w:val="18"/>
              </w:rPr>
              <w:t>北京 </w:t>
            </w:r>
            <w:r>
              <w:rPr>
                <w:rFonts w:ascii="宋体" w:hAnsi="宋体" w:cs="宋体" w:eastAsia="宋体" w:hint="default"/>
                <w:sz w:val="18"/>
                <w:szCs w:val="18"/>
              </w:rPr>
              <w:t>市</w:t>
            </w:r>
          </w:p>
        </w:tc>
        <w:tc>
          <w:tcPr>
            <w:tcW w:w="678" w:type="dxa"/>
            <w:tcBorders>
              <w:top w:val="nil" w:sz="6" w:space="0" w:color="auto"/>
              <w:left w:val="single" w:sz="4" w:space="0" w:color="000000"/>
              <w:bottom w:val="single" w:sz="4" w:space="0" w:color="000000"/>
              <w:right w:val="single" w:sz="4" w:space="0" w:color="000000"/>
            </w:tcBorders>
          </w:tcPr>
          <w:p>
            <w:pPr>
              <w:pStyle w:val="TableParagraph"/>
              <w:spacing w:line="244" w:lineRule="auto" w:before="15"/>
              <w:ind w:left="103" w:right="101"/>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12"/>
                <w:sz w:val="18"/>
                <w:szCs w:val="18"/>
              </w:rPr>
              <w:t> </w:t>
            </w:r>
            <w:r>
              <w:rPr>
                <w:rFonts w:ascii="宋体" w:hAnsi="宋体" w:cs="宋体" w:eastAsia="宋体" w:hint="default"/>
                <w:sz w:val="18"/>
                <w:szCs w:val="18"/>
              </w:rPr>
              <w:t>晓</w:t>
            </w:r>
            <w:r>
              <w:rPr>
                <w:rFonts w:ascii="宋体" w:hAnsi="宋体" w:cs="宋体" w:eastAsia="宋体" w:hint="default"/>
                <w:sz w:val="18"/>
                <w:szCs w:val="18"/>
              </w:rPr>
              <w:t> 岩</w:t>
            </w:r>
          </w:p>
        </w:tc>
        <w:tc>
          <w:tcPr>
            <w:tcW w:w="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nil" w:sz="6" w:space="0" w:color="auto"/>
              <w:left w:val="single" w:sz="4" w:space="0" w:color="000000"/>
              <w:bottom w:val="single" w:sz="4" w:space="0" w:color="000000"/>
              <w:right w:val="single" w:sz="4" w:space="0" w:color="000000"/>
            </w:tcBorders>
          </w:tcPr>
          <w:p>
            <w:pPr>
              <w:pStyle w:val="TableParagraph"/>
              <w:tabs>
                <w:tab w:pos="1203" w:val="left" w:leader="none"/>
                <w:tab w:pos="2457" w:val="left" w:leader="none"/>
                <w:tab w:pos="3425" w:val="left" w:leader="none"/>
              </w:tabs>
              <w:spacing w:line="240" w:lineRule="auto" w:before="135"/>
              <w:ind w:left="244" w:right="-3168"/>
              <w:jc w:val="left"/>
              <w:rPr>
                <w:rFonts w:ascii="宋体" w:hAnsi="宋体" w:cs="宋体" w:eastAsia="宋体" w:hint="default"/>
                <w:sz w:val="18"/>
                <w:szCs w:val="18"/>
              </w:rPr>
            </w:pPr>
            <w:r>
              <w:rPr>
                <w:rFonts w:ascii="Times New Roman" w:hAnsi="Times New Roman" w:cs="Times New Roman" w:eastAsia="Times New Roman" w:hint="default"/>
                <w:sz w:val="18"/>
                <w:szCs w:val="18"/>
              </w:rPr>
              <w:t>10037</w:t>
              <w:tab/>
              <w:t>21.88</w:t>
              <w:tab/>
              <w:t>21.88</w:t>
              <w:tab/>
            </w:r>
            <w:r>
              <w:rPr>
                <w:rFonts w:ascii="宋体" w:hAnsi="宋体" w:cs="宋体" w:eastAsia="宋体" w:hint="default"/>
                <w:sz w:val="18"/>
                <w:szCs w:val="18"/>
              </w:rPr>
              <w:t>王晓岩</w:t>
            </w:r>
          </w:p>
        </w:tc>
        <w:tc>
          <w:tcPr>
            <w:tcW w:w="1207" w:type="dxa"/>
            <w:tcBorders>
              <w:top w:val="nil" w:sz="6" w:space="0" w:color="auto"/>
              <w:left w:val="single" w:sz="4" w:space="0" w:color="000000"/>
              <w:bottom w:val="nil" w:sz="6" w:space="0" w:color="auto"/>
              <w:right w:val="nil" w:sz="6" w:space="0" w:color="auto"/>
            </w:tcBorders>
          </w:tcPr>
          <w:p>
            <w:pPr/>
          </w:p>
        </w:tc>
        <w:tc>
          <w:tcPr>
            <w:tcW w:w="1302" w:type="dxa"/>
            <w:tcBorders>
              <w:top w:val="nil" w:sz="6" w:space="0" w:color="auto"/>
              <w:left w:val="nil" w:sz="6" w:space="0" w:color="auto"/>
              <w:bottom w:val="single" w:sz="4" w:space="0" w:color="000000"/>
              <w:right w:val="nil" w:sz="6" w:space="0" w:color="auto"/>
            </w:tcBorders>
          </w:tcPr>
          <w:p>
            <w:pPr/>
          </w:p>
        </w:tc>
        <w:tc>
          <w:tcPr>
            <w:tcW w:w="773" w:type="dxa"/>
            <w:tcBorders>
              <w:top w:val="nil" w:sz="6" w:space="0" w:color="auto"/>
              <w:left w:val="nil" w:sz="6" w:space="0" w:color="auto"/>
              <w:bottom w:val="single" w:sz="4" w:space="0" w:color="000000"/>
              <w:right w:val="nil" w:sz="6" w:space="0" w:color="auto"/>
            </w:tcBorders>
          </w:tcPr>
          <w:p>
            <w:pPr/>
          </w:p>
        </w:tc>
      </w:tr>
    </w:tbl>
    <w:p>
      <w:pPr>
        <w:spacing w:line="240" w:lineRule="auto" w:before="7"/>
        <w:rPr>
          <w:rFonts w:ascii="黑体" w:hAnsi="黑体" w:cs="黑体" w:eastAsia="黑体" w:hint="default"/>
          <w:sz w:val="15"/>
          <w:szCs w:val="15"/>
        </w:rPr>
      </w:pPr>
    </w:p>
    <w:p>
      <w:pPr>
        <w:pStyle w:val="BodyText"/>
        <w:spacing w:line="391" w:lineRule="auto" w:before="35"/>
        <w:ind w:left="221" w:right="236"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业务性质为：高新技术、新工艺、新产品开发、生产、销售；化工原材料（危险品除 </w:t>
      </w:r>
      <w:r>
        <w:rPr>
          <w:spacing w:val="-3"/>
        </w:rPr>
        <w:t>外）、建筑材料、计算机软硬件、电子电器设备、有线通讯设备、机械设备、家用电器开发、</w:t>
      </w:r>
      <w:r>
        <w:rPr>
          <w:spacing w:val="-89"/>
        </w:rPr>
        <w:t> </w:t>
      </w:r>
      <w:r>
        <w:rPr>
          <w:spacing w:val="-89"/>
        </w:rPr>
      </w:r>
      <w:r>
        <w:rPr/>
        <w:t>生产、销售；装饰装修工程；百货的销售；上述范围的项目承包、技术咨询、信息咨询。</w:t>
      </w:r>
    </w:p>
    <w:p>
      <w:pPr>
        <w:pStyle w:val="BodyText"/>
        <w:spacing w:line="456" w:lineRule="auto" w:before="124"/>
        <w:ind w:left="1106" w:right="6039" w:hanging="345"/>
        <w:jc w:val="left"/>
        <w:rPr>
          <w:rFonts w:ascii="黑体" w:hAnsi="黑体" w:cs="黑体" w:eastAsia="黑体" w:hint="default"/>
        </w:rPr>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rFonts w:ascii="黑体" w:hAnsi="黑体" w:cs="黑体" w:eastAsia="黑体" w:hint="default"/>
        </w:rPr>
        <w:t>本企业的子公司情况 详见附注四（一）</w:t>
      </w:r>
    </w:p>
    <w:p>
      <w:pPr>
        <w:pStyle w:val="BodyText"/>
        <w:spacing w:line="240" w:lineRule="auto" w:before="64"/>
        <w:ind w:left="761" w:right="230"/>
        <w:jc w:val="left"/>
        <w:rPr>
          <w:rFonts w:ascii="黑体" w:hAnsi="黑体" w:cs="黑体" w:eastAsia="黑体" w:hint="default"/>
        </w:rPr>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rFonts w:ascii="黑体" w:hAnsi="黑体" w:cs="黑体" w:eastAsia="黑体" w:hint="default"/>
        </w:rPr>
        <w:t>联营企业及其他被投资企业</w:t>
      </w:r>
    </w:p>
    <w:p>
      <w:pPr>
        <w:spacing w:line="240" w:lineRule="auto" w:before="4"/>
        <w:rPr>
          <w:rFonts w:ascii="黑体" w:hAnsi="黑体" w:cs="黑体" w:eastAsia="黑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982"/>
        <w:gridCol w:w="881"/>
        <w:gridCol w:w="3406"/>
        <w:gridCol w:w="731"/>
        <w:gridCol w:w="722"/>
      </w:tblGrid>
      <w:tr>
        <w:trPr>
          <w:trHeight w:val="371" w:hRule="exact"/>
        </w:trPr>
        <w:tc>
          <w:tcPr>
            <w:tcW w:w="29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855"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4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70" w:hRule="exact"/>
        </w:trPr>
        <w:tc>
          <w:tcPr>
            <w:tcW w:w="2982"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3406" w:type="dxa"/>
            <w:vMerge/>
            <w:tcBorders>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0"/>
              <w:jc w:val="right"/>
              <w:rPr>
                <w:rFonts w:ascii="宋体" w:hAnsi="宋体" w:cs="宋体" w:eastAsia="宋体" w:hint="default"/>
                <w:sz w:val="18"/>
                <w:szCs w:val="18"/>
              </w:rPr>
            </w:pPr>
            <w:r>
              <w:rPr>
                <w:rFonts w:ascii="宋体" w:hAnsi="宋体" w:cs="宋体" w:eastAsia="宋体" w:hint="default"/>
                <w:sz w:val="18"/>
                <w:szCs w:val="18"/>
              </w:rPr>
              <w:t>直接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4"/>
              <w:jc w:val="right"/>
              <w:rPr>
                <w:rFonts w:ascii="宋体" w:hAnsi="宋体" w:cs="宋体" w:eastAsia="宋体" w:hint="default"/>
                <w:sz w:val="18"/>
                <w:szCs w:val="18"/>
              </w:rPr>
            </w:pPr>
            <w:r>
              <w:rPr>
                <w:rFonts w:ascii="宋体" w:hAnsi="宋体" w:cs="宋体" w:eastAsia="宋体" w:hint="default"/>
                <w:sz w:val="18"/>
                <w:szCs w:val="18"/>
              </w:rPr>
              <w:t>间接</w:t>
            </w:r>
          </w:p>
        </w:tc>
      </w:tr>
      <w:tr>
        <w:trPr>
          <w:trHeight w:val="41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宋体" w:hAnsi="宋体" w:cs="宋体" w:eastAsia="宋体" w:hint="default"/>
                <w:sz w:val="18"/>
                <w:szCs w:val="18"/>
              </w:rPr>
            </w:pPr>
            <w:r>
              <w:rPr>
                <w:rFonts w:ascii="宋体" w:hAnsi="宋体" w:cs="宋体" w:eastAsia="宋体" w:hint="default"/>
                <w:sz w:val="18"/>
                <w:szCs w:val="18"/>
              </w:rPr>
              <w:t>投资兴办实业、国内商业物资供销</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z w:val="18"/>
              </w:rPr>
              <w:t>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0"/>
              <w:jc w:val="right"/>
              <w:rPr>
                <w:rFonts w:ascii="Times New Roman" w:hAnsi="Times New Roman" w:cs="Times New Roman" w:eastAsia="Times New Roman" w:hint="default"/>
                <w:sz w:val="18"/>
                <w:szCs w:val="18"/>
              </w:rPr>
            </w:pPr>
            <w:r>
              <w:rPr>
                <w:rFonts w:ascii="Times New Roman"/>
                <w:sz w:val="18"/>
              </w:rPr>
              <w:t>--</w:t>
            </w:r>
          </w:p>
        </w:tc>
      </w:tr>
      <w:tr>
        <w:trPr>
          <w:trHeight w:val="1355"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深圳市天极光电实业股份有限公司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336" w:lineRule="auto"/>
              <w:ind w:left="121" w:right="32" w:hanging="11"/>
              <w:jc w:val="left"/>
              <w:rPr>
                <w:rFonts w:ascii="宋体" w:hAnsi="宋体" w:cs="宋体" w:eastAsia="宋体" w:hint="default"/>
                <w:sz w:val="18"/>
                <w:szCs w:val="18"/>
              </w:rPr>
            </w:pPr>
            <w:r>
              <w:rPr>
                <w:rFonts w:ascii="宋体" w:hAnsi="宋体" w:cs="宋体" w:eastAsia="宋体" w:hint="default"/>
                <w:spacing w:val="2"/>
                <w:sz w:val="18"/>
                <w:szCs w:val="18"/>
              </w:rPr>
              <w:t>投资兴办实业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国内商业、物资供销业；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从事高新技术产品的开发、研究、应用、</w:t>
            </w:r>
            <w:r>
              <w:rPr>
                <w:rFonts w:ascii="宋体" w:hAnsi="宋体" w:cs="宋体" w:eastAsia="宋体" w:hint="default"/>
                <w:sz w:val="18"/>
                <w:szCs w:val="18"/>
              </w:rPr>
              <w:t> 生产和销售</w:t>
            </w:r>
            <w:r>
              <w:rPr>
                <w:rFonts w:ascii="Times New Roman" w:hAnsi="Times New Roman" w:cs="Times New Roman" w:eastAsia="Times New Roman" w:hint="default"/>
                <w:sz w:val="18"/>
                <w:szCs w:val="18"/>
              </w:rPr>
              <w:t>;</w:t>
            </w:r>
            <w:r>
              <w:rPr>
                <w:rFonts w:ascii="宋体" w:hAnsi="宋体" w:cs="宋体" w:eastAsia="宋体" w:hint="default"/>
                <w:sz w:val="18"/>
                <w:szCs w:val="18"/>
              </w:rPr>
              <w:t>并提供相关的技术咨询服务</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4"/>
              <w:ind w:right="121"/>
              <w:jc w:val="right"/>
              <w:rPr>
                <w:rFonts w:ascii="Times New Roman" w:hAnsi="Times New Roman" w:cs="Times New Roman" w:eastAsia="Times New Roman" w:hint="default"/>
                <w:sz w:val="18"/>
                <w:szCs w:val="18"/>
              </w:rPr>
            </w:pPr>
            <w:r>
              <w:rPr>
                <w:rFonts w:ascii="Times New Roman"/>
                <w:sz w:val="18"/>
              </w:rPr>
              <w:t>5.03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4"/>
              <w:ind w:right="120"/>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深圳市华宝进出口有限公司  </w:t>
            </w:r>
            <w:r>
              <w:rPr>
                <w:rFonts w:ascii="Times New Roman" w:hAnsi="Times New Roman" w:cs="Times New Roman" w:eastAsia="Times New Roman" w:hint="default"/>
                <w:sz w:val="18"/>
                <w:szCs w:val="18"/>
              </w:rPr>
              <w:t>*1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宋体" w:hAnsi="宋体" w:cs="宋体" w:eastAsia="宋体" w:hint="default"/>
                <w:sz w:val="18"/>
                <w:szCs w:val="18"/>
              </w:rPr>
            </w:pPr>
            <w:r>
              <w:rPr>
                <w:rFonts w:ascii="宋体" w:hAnsi="宋体" w:cs="宋体" w:eastAsia="宋体" w:hint="default"/>
                <w:sz w:val="18"/>
                <w:szCs w:val="18"/>
              </w:rPr>
              <w:t>货物及技术进出口</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21"/>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20"/>
              <w:jc w:val="right"/>
              <w:rPr>
                <w:rFonts w:ascii="Times New Roman" w:hAnsi="Times New Roman" w:cs="Times New Roman" w:eastAsia="Times New Roman" w:hint="default"/>
                <w:sz w:val="18"/>
                <w:szCs w:val="18"/>
              </w:rPr>
            </w:pPr>
            <w:r>
              <w:rPr>
                <w:rFonts w:ascii="Times New Roman"/>
                <w:sz w:val="18"/>
              </w:rPr>
              <w:t>10</w:t>
            </w:r>
          </w:p>
        </w:tc>
      </w:tr>
      <w:tr>
        <w:trPr>
          <w:trHeight w:val="69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深圳泰丰宽带技术有限公司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62"/>
              <w:ind w:left="121" w:right="122" w:hanging="11"/>
              <w:jc w:val="left"/>
              <w:rPr>
                <w:rFonts w:ascii="宋体" w:hAnsi="宋体" w:cs="宋体" w:eastAsia="宋体" w:hint="default"/>
                <w:sz w:val="18"/>
                <w:szCs w:val="18"/>
              </w:rPr>
            </w:pPr>
            <w:r>
              <w:rPr>
                <w:rFonts w:ascii="宋体" w:hAnsi="宋体" w:cs="宋体" w:eastAsia="宋体" w:hint="default"/>
                <w:spacing w:val="-5"/>
                <w:sz w:val="18"/>
                <w:szCs w:val="18"/>
              </w:rPr>
              <w:t>计算机、网络通信以及电子技术产品的开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发和销售</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22"/>
                <w:szCs w:val="22"/>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22"/>
                <w:szCs w:val="22"/>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30</w:t>
            </w:r>
          </w:p>
        </w:tc>
      </w:tr>
      <w:tr>
        <w:trPr>
          <w:trHeight w:val="41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深圳市泰丰通讯电子有限公司</w:t>
            </w:r>
            <w:r>
              <w:rPr>
                <w:rFonts w:ascii="Times New Roman" w:hAnsi="Times New Roman" w:cs="Times New Roman" w:eastAsia="Times New Roman" w:hint="default"/>
                <w:sz w:val="18"/>
                <w:szCs w:val="18"/>
              </w:rPr>
              <w:t>*2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宋体" w:hAnsi="宋体" w:cs="宋体" w:eastAsia="宋体" w:hint="default"/>
                <w:sz w:val="18"/>
                <w:szCs w:val="18"/>
              </w:rPr>
            </w:pPr>
            <w:r>
              <w:rPr>
                <w:rFonts w:ascii="宋体" w:hAnsi="宋体" w:cs="宋体" w:eastAsia="宋体" w:hint="default"/>
                <w:sz w:val="18"/>
                <w:szCs w:val="18"/>
              </w:rPr>
              <w:t>无线电话机等的生产与销售</w:t>
            </w:r>
          </w:p>
        </w:tc>
        <w:tc>
          <w:tcPr>
            <w:tcW w:w="7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0"/>
              <w:jc w:val="right"/>
              <w:rPr>
                <w:rFonts w:ascii="Times New Roman" w:hAnsi="Times New Roman" w:cs="Times New Roman" w:eastAsia="Times New Roman" w:hint="default"/>
                <w:sz w:val="18"/>
                <w:szCs w:val="18"/>
              </w:rPr>
            </w:pPr>
            <w:r>
              <w:rPr>
                <w:rFonts w:ascii="Times New Roman"/>
                <w:sz w:val="18"/>
              </w:rPr>
              <w:t>10</w:t>
            </w:r>
          </w:p>
        </w:tc>
      </w:tr>
    </w:tbl>
    <w:p>
      <w:pPr>
        <w:spacing w:line="240" w:lineRule="auto" w:before="12"/>
        <w:rPr>
          <w:rFonts w:ascii="黑体" w:hAnsi="黑体" w:cs="黑体" w:eastAsia="黑体" w:hint="default"/>
          <w:sz w:val="15"/>
          <w:szCs w:val="15"/>
        </w:rPr>
      </w:pPr>
    </w:p>
    <w:p>
      <w:pPr>
        <w:pStyle w:val="BodyText"/>
        <w:spacing w:line="240" w:lineRule="auto" w:before="35"/>
        <w:ind w:left="641" w:right="23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该公司于</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日成立，至今未开展经营活动。</w:t>
      </w:r>
    </w:p>
    <w:p>
      <w:pPr>
        <w:spacing w:line="240" w:lineRule="auto" w:before="1"/>
        <w:rPr>
          <w:rFonts w:ascii="宋体" w:hAnsi="宋体" w:cs="宋体" w:eastAsia="宋体" w:hint="default"/>
          <w:sz w:val="22"/>
          <w:szCs w:val="22"/>
        </w:rPr>
      </w:pPr>
    </w:p>
    <w:p>
      <w:pPr>
        <w:pStyle w:val="BodyText"/>
        <w:spacing w:line="240" w:lineRule="auto"/>
        <w:ind w:left="641" w:right="230"/>
        <w:jc w:val="left"/>
      </w:pPr>
      <w:r>
        <w:rPr>
          <w:rFonts w:ascii="Times New Roman" w:hAnsi="Times New Roman" w:cs="Times New Roman" w:eastAsia="Times New Roman" w:hint="default"/>
        </w:rPr>
        <w:t>*2  </w:t>
      </w:r>
      <w:r>
        <w:rPr/>
        <w:t>本公司之子公司深圳市深信泰丰投资发展有限公司持有通讯公司</w:t>
      </w:r>
      <w:r>
        <w:rPr>
          <w:spacing w:val="-56"/>
        </w:rPr>
        <w:t> </w:t>
      </w:r>
      <w:r>
        <w:rPr>
          <w:rFonts w:ascii="Times New Roman" w:hAnsi="Times New Roman" w:cs="Times New Roman" w:eastAsia="Times New Roman" w:hint="default"/>
        </w:rPr>
        <w:t>10%</w:t>
      </w:r>
      <w:r>
        <w:rPr/>
        <w:t>股权。</w:t>
      </w:r>
    </w:p>
    <w:p>
      <w:pPr>
        <w:spacing w:after="0" w:line="240" w:lineRule="auto"/>
        <w:jc w:val="left"/>
        <w:sectPr>
          <w:pgSz w:w="11910" w:h="16840"/>
          <w:pgMar w:header="0" w:footer="893" w:top="1140" w:bottom="1080" w:left="148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761" w:right="230"/>
        <w:jc w:val="left"/>
        <w:rPr>
          <w:rFonts w:ascii="黑体" w:hAnsi="黑体" w:cs="黑体" w:eastAsia="黑体" w:hint="default"/>
        </w:rPr>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rFonts w:ascii="黑体" w:hAnsi="黑体" w:cs="黑体" w:eastAsia="黑体" w:hint="default"/>
        </w:rPr>
        <w:t>本企业的其他关联方情况</w:t>
      </w:r>
    </w:p>
    <w:p>
      <w:pPr>
        <w:spacing w:line="240" w:lineRule="auto" w:before="11"/>
        <w:rPr>
          <w:rFonts w:ascii="黑体" w:hAnsi="黑体" w:cs="黑体" w:eastAsia="黑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699"/>
        <w:gridCol w:w="3011"/>
        <w:gridCol w:w="3012"/>
      </w:tblGrid>
      <w:tr>
        <w:trPr>
          <w:trHeight w:val="810"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51"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543" w:right="475" w:firstLine="45"/>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其他关联方与本公司关系</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545" w:right="476" w:firstLine="45"/>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其他关联方与本公司关系</w:t>
            </w:r>
          </w:p>
        </w:tc>
      </w:tr>
      <w:tr>
        <w:trPr>
          <w:trHeight w:val="410"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前股东</w:t>
            </w:r>
          </w:p>
        </w:tc>
      </w:tr>
      <w:tr>
        <w:trPr>
          <w:trHeight w:val="409"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深圳市宝安区投资管理公司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911"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74" w:right="85" w:hanging="98"/>
              <w:jc w:val="both"/>
              <w:rPr>
                <w:rFonts w:ascii="宋体" w:hAnsi="宋体" w:cs="宋体" w:eastAsia="宋体" w:hint="default"/>
                <w:sz w:val="18"/>
                <w:szCs w:val="18"/>
              </w:rPr>
            </w:pPr>
            <w:r>
              <w:rPr>
                <w:rFonts w:ascii="宋体" w:hAnsi="宋体" w:cs="宋体" w:eastAsia="宋体" w:hint="default"/>
                <w:spacing w:val="6"/>
                <w:sz w:val="18"/>
                <w:szCs w:val="18"/>
              </w:rPr>
              <w:t>深圳市昊鹏投资有限公司（原名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深圳市蛇口泰丰投资贸易有限</w:t>
            </w:r>
            <w:r>
              <w:rPr>
                <w:rFonts w:ascii="宋体" w:hAnsi="宋体" w:cs="宋体" w:eastAsia="宋体" w:hint="default"/>
                <w:spacing w:val="14"/>
                <w:sz w:val="18"/>
                <w:szCs w:val="18"/>
              </w:rPr>
              <w:t> </w:t>
            </w:r>
            <w:r>
              <w:rPr>
                <w:rFonts w:ascii="宋体" w:hAnsi="宋体" w:cs="宋体" w:eastAsia="宋体" w:hint="default"/>
                <w:sz w:val="18"/>
                <w:szCs w:val="18"/>
              </w:rPr>
              <w:t>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前股东之控股股东</w:t>
            </w:r>
          </w:p>
        </w:tc>
      </w:tr>
      <w:tr>
        <w:trPr>
          <w:trHeight w:val="409"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本公司前董事长系该公司大股东</w:t>
            </w:r>
          </w:p>
        </w:tc>
      </w:tr>
      <w:tr>
        <w:trPr>
          <w:trHeight w:val="410"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深圳达泰宁科技有限公司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本公司前董事系该公司股东</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本公司董事系该公司股东</w:t>
            </w:r>
          </w:p>
        </w:tc>
      </w:tr>
      <w:tr>
        <w:trPr>
          <w:trHeight w:val="410"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深圳泰丰网络技术有限公司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受前股东控制</w:t>
            </w:r>
          </w:p>
        </w:tc>
      </w:tr>
      <w:tr>
        <w:trPr>
          <w:trHeight w:val="409"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深圳市泰丰宽带技术有限公司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子公司之联营公司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子公司之联营公司</w:t>
            </w:r>
          </w:p>
        </w:tc>
      </w:tr>
      <w:tr>
        <w:trPr>
          <w:trHeight w:val="410"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深圳市新产业创业投资有限公司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联营公司之股东</w:t>
            </w:r>
          </w:p>
        </w:tc>
      </w:tr>
      <w:tr>
        <w:trPr>
          <w:trHeight w:val="410"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联营公司之股东</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810"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74" w:right="94" w:hanging="98"/>
              <w:jc w:val="left"/>
              <w:rPr>
                <w:rFonts w:ascii="宋体" w:hAnsi="宋体" w:cs="宋体" w:eastAsia="宋体" w:hint="default"/>
                <w:sz w:val="18"/>
                <w:szCs w:val="18"/>
              </w:rPr>
            </w:pPr>
            <w:r>
              <w:rPr>
                <w:rFonts w:ascii="宋体" w:hAnsi="宋体" w:cs="宋体" w:eastAsia="宋体" w:hint="default"/>
                <w:spacing w:val="6"/>
                <w:sz w:val="18"/>
                <w:szCs w:val="18"/>
              </w:rPr>
              <w:t>中委农业投资（委内瑞拉）有限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 w:right="0"/>
              <w:jc w:val="left"/>
              <w:rPr>
                <w:rFonts w:ascii="宋体" w:hAnsi="宋体" w:cs="宋体" w:eastAsia="宋体" w:hint="default"/>
                <w:sz w:val="18"/>
                <w:szCs w:val="18"/>
              </w:rPr>
            </w:pPr>
            <w:r>
              <w:rPr>
                <w:rFonts w:ascii="宋体" w:hAnsi="宋体" w:cs="宋体" w:eastAsia="宋体" w:hint="default"/>
                <w:sz w:val="18"/>
                <w:szCs w:val="18"/>
              </w:rPr>
              <w:t>联营公司之全资子公司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 w:right="0"/>
              <w:jc w:val="left"/>
              <w:rPr>
                <w:rFonts w:ascii="宋体" w:hAnsi="宋体" w:cs="宋体" w:eastAsia="宋体" w:hint="default"/>
                <w:sz w:val="18"/>
                <w:szCs w:val="18"/>
              </w:rPr>
            </w:pPr>
            <w:r>
              <w:rPr>
                <w:rFonts w:ascii="宋体" w:hAnsi="宋体" w:cs="宋体" w:eastAsia="宋体" w:hint="default"/>
                <w:sz w:val="18"/>
                <w:szCs w:val="18"/>
              </w:rPr>
              <w:t>联营公司之全资子公司</w:t>
            </w:r>
          </w:p>
        </w:tc>
      </w:tr>
      <w:tr>
        <w:trPr>
          <w:trHeight w:val="410"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2" w:right="0"/>
              <w:jc w:val="left"/>
              <w:rPr>
                <w:rFonts w:ascii="宋体" w:hAnsi="宋体" w:cs="宋体" w:eastAsia="宋体" w:hint="default"/>
                <w:sz w:val="18"/>
                <w:szCs w:val="18"/>
              </w:rPr>
            </w:pPr>
            <w:r>
              <w:rPr>
                <w:rFonts w:ascii="宋体" w:hAnsi="宋体" w:cs="宋体" w:eastAsia="宋体" w:hint="default"/>
                <w:sz w:val="18"/>
                <w:szCs w:val="18"/>
              </w:rPr>
              <w:t>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w:t>
            </w:r>
          </w:p>
        </w:tc>
      </w:tr>
    </w:tbl>
    <w:p>
      <w:pPr>
        <w:spacing w:after="0" w:line="240" w:lineRule="auto"/>
        <w:jc w:val="left"/>
        <w:rPr>
          <w:rFonts w:ascii="宋体" w:hAnsi="宋体" w:cs="宋体" w:eastAsia="宋体" w:hint="default"/>
          <w:sz w:val="18"/>
          <w:szCs w:val="18"/>
        </w:rPr>
        <w:sectPr>
          <w:pgSz w:w="11910" w:h="16840"/>
          <w:pgMar w:header="0" w:footer="893" w:top="1140" w:bottom="1080" w:left="1480" w:right="1460"/>
        </w:sectPr>
      </w:pPr>
    </w:p>
    <w:p>
      <w:pPr>
        <w:spacing w:line="240" w:lineRule="auto" w:before="9"/>
        <w:rPr>
          <w:rFonts w:ascii="黑体" w:hAnsi="黑体" w:cs="黑体" w:eastAsia="黑体" w:hint="default"/>
          <w:sz w:val="28"/>
          <w:szCs w:val="28"/>
        </w:rPr>
      </w:pPr>
    </w:p>
    <w:p>
      <w:pPr>
        <w:pStyle w:val="BodyText"/>
        <w:spacing w:line="240" w:lineRule="auto" w:before="35"/>
        <w:ind w:left="761" w:right="0"/>
        <w:jc w:val="left"/>
        <w:rPr>
          <w:rFonts w:ascii="黑体" w:hAnsi="黑体" w:cs="黑体" w:eastAsia="黑体" w:hint="default"/>
        </w:rPr>
      </w:pPr>
      <w:r>
        <w:rPr>
          <w:rFonts w:ascii="Times New Roman" w:hAnsi="Times New Roman" w:cs="Times New Roman" w:eastAsia="Times New Roman" w:hint="default"/>
        </w:rPr>
        <w:t>6.</w:t>
      </w:r>
      <w:r>
        <w:rPr>
          <w:rFonts w:ascii="Times New Roman" w:hAnsi="Times New Roman" w:cs="Times New Roman" w:eastAsia="Times New Roman" w:hint="default"/>
          <w:spacing w:val="44"/>
        </w:rPr>
        <w:t> </w:t>
      </w:r>
      <w:r>
        <w:rPr>
          <w:rFonts w:ascii="黑体" w:hAnsi="黑体" w:cs="黑体" w:eastAsia="黑体" w:hint="default"/>
        </w:rPr>
        <w:t>关联交易情况</w:t>
      </w:r>
    </w:p>
    <w:p>
      <w:pPr>
        <w:spacing w:line="240" w:lineRule="auto" w:before="2"/>
        <w:rPr>
          <w:rFonts w:ascii="黑体" w:hAnsi="黑体" w:cs="黑体" w:eastAsia="黑体" w:hint="default"/>
          <w:sz w:val="21"/>
          <w:szCs w:val="21"/>
        </w:rPr>
      </w:pPr>
    </w:p>
    <w:p>
      <w:pPr>
        <w:pStyle w:val="BodyText"/>
        <w:spacing w:line="240" w:lineRule="auto"/>
        <w:ind w:left="641" w:right="0"/>
        <w:jc w:val="left"/>
      </w:pPr>
      <w:r>
        <w:rPr/>
        <w:t>（</w:t>
      </w:r>
      <w:r>
        <w:rPr>
          <w:rFonts w:ascii="Times New Roman" w:hAnsi="Times New Roman" w:cs="Times New Roman" w:eastAsia="Times New Roman" w:hint="default"/>
        </w:rPr>
        <w:t>1</w:t>
      </w:r>
      <w:r>
        <w:rPr/>
        <w:t>）代加工</w:t>
      </w:r>
    </w:p>
    <w:p>
      <w:pPr>
        <w:spacing w:line="240" w:lineRule="auto" w:before="5"/>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194"/>
        <w:gridCol w:w="2194"/>
        <w:gridCol w:w="2192"/>
        <w:gridCol w:w="2194"/>
      </w:tblGrid>
      <w:tr>
        <w:trPr>
          <w:trHeight w:val="470"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41"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定价政策</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7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7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70"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深圳达泰宁科技有限公司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1" w:right="0"/>
              <w:jc w:val="left"/>
              <w:rPr>
                <w:rFonts w:ascii="宋体" w:hAnsi="宋体" w:cs="宋体" w:eastAsia="宋体" w:hint="default"/>
                <w:sz w:val="18"/>
                <w:szCs w:val="18"/>
              </w:rPr>
            </w:pPr>
            <w:r>
              <w:rPr>
                <w:rFonts w:ascii="宋体" w:hAnsi="宋体" w:cs="宋体" w:eastAsia="宋体" w:hint="default"/>
                <w:sz w:val="18"/>
                <w:szCs w:val="18"/>
              </w:rPr>
              <w:t>参照市场协议作价</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69" w:right="0"/>
              <w:jc w:val="left"/>
              <w:rPr>
                <w:rFonts w:ascii="Times New Roman" w:hAnsi="Times New Roman" w:cs="Times New Roman" w:eastAsia="Times New Roman" w:hint="default"/>
                <w:sz w:val="18"/>
                <w:szCs w:val="18"/>
              </w:rPr>
            </w:pPr>
            <w:r>
              <w:rPr>
                <w:rFonts w:ascii="Times New Roman"/>
                <w:sz w:val="18"/>
              </w:rPr>
              <w:t>216,529.82</w:t>
            </w:r>
          </w:p>
        </w:tc>
      </w:tr>
    </w:tbl>
    <w:p>
      <w:pPr>
        <w:spacing w:line="240" w:lineRule="auto" w:before="12"/>
        <w:rPr>
          <w:rFonts w:ascii="宋体" w:hAnsi="宋体" w:cs="宋体" w:eastAsia="宋体" w:hint="default"/>
          <w:sz w:val="15"/>
          <w:szCs w:val="15"/>
        </w:rPr>
      </w:pPr>
    </w:p>
    <w:p>
      <w:pPr>
        <w:pStyle w:val="BodyText"/>
        <w:spacing w:line="240" w:lineRule="auto" w:before="35"/>
        <w:ind w:left="641" w:right="0"/>
        <w:jc w:val="left"/>
      </w:pPr>
      <w:r>
        <w:rPr/>
        <w:t>（</w:t>
      </w:r>
      <w:r>
        <w:rPr>
          <w:rFonts w:ascii="Times New Roman" w:hAnsi="Times New Roman" w:cs="Times New Roman" w:eastAsia="Times New Roman" w:hint="default"/>
        </w:rPr>
        <w:t>2</w:t>
      </w:r>
      <w:r>
        <w:rPr/>
        <w:t>）出售固定资产</w:t>
      </w:r>
    </w:p>
    <w:p>
      <w:pPr>
        <w:spacing w:line="240" w:lineRule="auto" w:before="5"/>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606"/>
        <w:gridCol w:w="2336"/>
        <w:gridCol w:w="1384"/>
        <w:gridCol w:w="1448"/>
      </w:tblGrid>
      <w:tr>
        <w:trPr>
          <w:trHeight w:val="421"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01"/>
              <w:jc w:val="right"/>
              <w:rPr>
                <w:rFonts w:ascii="宋体" w:hAnsi="宋体" w:cs="宋体" w:eastAsia="宋体" w:hint="default"/>
                <w:sz w:val="18"/>
                <w:szCs w:val="18"/>
              </w:rPr>
            </w:pPr>
            <w:r>
              <w:rPr>
                <w:rFonts w:ascii="宋体" w:hAnsi="宋体" w:cs="宋体" w:eastAsia="宋体" w:hint="default"/>
                <w:sz w:val="18"/>
                <w:szCs w:val="18"/>
              </w:rPr>
              <w:t>定价政策</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21"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781"/>
              <w:jc w:val="right"/>
              <w:rPr>
                <w:rFonts w:ascii="宋体" w:hAnsi="宋体" w:cs="宋体" w:eastAsia="宋体" w:hint="default"/>
                <w:sz w:val="18"/>
                <w:szCs w:val="18"/>
              </w:rPr>
            </w:pPr>
            <w:r>
              <w:rPr>
                <w:rFonts w:ascii="宋体" w:hAnsi="宋体" w:cs="宋体" w:eastAsia="宋体" w:hint="default"/>
                <w:sz w:val="18"/>
                <w:szCs w:val="18"/>
              </w:rPr>
              <w:t>参照市场协议作价</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262,670.44</w:t>
            </w:r>
          </w:p>
        </w:tc>
      </w:tr>
    </w:tbl>
    <w:p>
      <w:pPr>
        <w:spacing w:line="240" w:lineRule="auto" w:before="3"/>
        <w:rPr>
          <w:rFonts w:ascii="宋体" w:hAnsi="宋体" w:cs="宋体" w:eastAsia="宋体" w:hint="default"/>
          <w:sz w:val="12"/>
          <w:szCs w:val="12"/>
        </w:rPr>
      </w:pPr>
    </w:p>
    <w:p>
      <w:pPr>
        <w:pStyle w:val="BodyText"/>
        <w:spacing w:line="240" w:lineRule="auto" w:before="35"/>
        <w:ind w:left="761" w:right="0"/>
        <w:jc w:val="left"/>
        <w:rPr>
          <w:rFonts w:ascii="黑体" w:hAnsi="黑体" w:cs="黑体" w:eastAsia="黑体" w:hint="default"/>
        </w:rPr>
      </w:pPr>
      <w:r>
        <w:rPr>
          <w:rFonts w:ascii="Times New Roman" w:hAnsi="Times New Roman" w:cs="Times New Roman" w:eastAsia="Times New Roman" w:hint="default"/>
        </w:rPr>
        <w:t>7.</w:t>
      </w:r>
      <w:r>
        <w:rPr>
          <w:rFonts w:ascii="Times New Roman" w:hAnsi="Times New Roman" w:cs="Times New Roman" w:eastAsia="Times New Roman" w:hint="default"/>
          <w:spacing w:val="44"/>
        </w:rPr>
        <w:t> </w:t>
      </w:r>
      <w:r>
        <w:rPr>
          <w:rFonts w:ascii="黑体" w:hAnsi="黑体" w:cs="黑体" w:eastAsia="黑体" w:hint="default"/>
        </w:rPr>
        <w:t>关联方应收应付款项</w:t>
      </w:r>
    </w:p>
    <w:p>
      <w:pPr>
        <w:spacing w:line="240" w:lineRule="auto" w:before="2"/>
        <w:rPr>
          <w:rFonts w:ascii="黑体" w:hAnsi="黑体" w:cs="黑体" w:eastAsia="黑体" w:hint="default"/>
          <w:sz w:val="21"/>
          <w:szCs w:val="21"/>
        </w:rPr>
      </w:pPr>
    </w:p>
    <w:p>
      <w:pPr>
        <w:pStyle w:val="BodyText"/>
        <w:spacing w:line="240" w:lineRule="auto"/>
        <w:ind w:left="641" w:right="0"/>
        <w:jc w:val="left"/>
      </w:pPr>
      <w:r>
        <w:rPr/>
        <w:t>公司应收关联方款项</w:t>
      </w:r>
    </w:p>
    <w:p>
      <w:pPr>
        <w:spacing w:line="240" w:lineRule="auto" w:before="7"/>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027"/>
        <w:gridCol w:w="3185"/>
        <w:gridCol w:w="982"/>
        <w:gridCol w:w="980"/>
        <w:gridCol w:w="1260"/>
        <w:gridCol w:w="1260"/>
      </w:tblGrid>
      <w:tr>
        <w:trPr>
          <w:trHeight w:val="371" w:hRule="exact"/>
        </w:trPr>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70" w:hRule="exact"/>
        </w:trPr>
        <w:tc>
          <w:tcPr>
            <w:tcW w:w="1027"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深圳泰丰网络技术有限公司  </w:t>
            </w:r>
            <w:r>
              <w:rPr>
                <w:rFonts w:ascii="Times New Roman" w:hAnsi="Times New Roman" w:cs="Times New Roman" w:eastAsia="Times New Roman" w:hint="default"/>
                <w:sz w:val="18"/>
                <w:szCs w:val="18"/>
              </w:rPr>
              <w:t>*1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219,000.00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深圳市泰弘科技有限公司  </w:t>
            </w:r>
            <w:r>
              <w:rPr>
                <w:rFonts w:ascii="Times New Roman" w:hAnsi="Times New Roman" w:cs="Times New Roman" w:eastAsia="Times New Roman" w:hint="default"/>
                <w:sz w:val="18"/>
                <w:szCs w:val="18"/>
              </w:rPr>
              <w:t>*1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60,314,002.50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
              <w:jc w:val="right"/>
              <w:rPr>
                <w:rFonts w:ascii="Times New Roman" w:hAnsi="Times New Roman" w:cs="Times New Roman" w:eastAsia="Times New Roman" w:hint="default"/>
                <w:sz w:val="18"/>
                <w:szCs w:val="18"/>
              </w:rPr>
            </w:pPr>
            <w:r>
              <w:rPr>
                <w:rFonts w:ascii="Times New Roman"/>
                <w:spacing w:val="-1"/>
                <w:sz w:val="18"/>
              </w:rPr>
              <w:t>59,877,306.42</w:t>
            </w:r>
          </w:p>
        </w:tc>
      </w:tr>
      <w:tr>
        <w:trPr>
          <w:trHeight w:val="45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深圳泰丰电子有限公司  </w:t>
            </w:r>
            <w:r>
              <w:rPr>
                <w:rFonts w:ascii="Times New Roman" w:hAnsi="Times New Roman" w:cs="Times New Roman" w:eastAsia="Times New Roman" w:hint="default"/>
                <w:sz w:val="18"/>
                <w:szCs w:val="18"/>
              </w:rPr>
              <w:t>*1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125,113,889.90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125,113,889.90</w:t>
            </w:r>
          </w:p>
        </w:tc>
      </w:tr>
      <w:tr>
        <w:trPr>
          <w:trHeight w:val="37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1"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right"/>
              <w:rPr>
                <w:rFonts w:ascii="Times New Roman" w:hAnsi="Times New Roman" w:cs="Times New Roman" w:eastAsia="Times New Roman" w:hint="default"/>
                <w:sz w:val="18"/>
                <w:szCs w:val="18"/>
              </w:rPr>
            </w:pPr>
            <w:r>
              <w:rPr>
                <w:rFonts w:ascii="Times New Roman"/>
                <w:spacing w:val="-1"/>
                <w:sz w:val="18"/>
              </w:rPr>
              <w:t>1,841,912.35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right"/>
              <w:rPr>
                <w:rFonts w:ascii="Times New Roman" w:hAnsi="Times New Roman" w:cs="Times New Roman" w:eastAsia="Times New Roman" w:hint="default"/>
                <w:sz w:val="18"/>
                <w:szCs w:val="18"/>
              </w:rPr>
            </w:pPr>
            <w:r>
              <w:rPr>
                <w:rFonts w:ascii="Times New Roman"/>
                <w:spacing w:val="-1"/>
                <w:sz w:val="18"/>
              </w:rPr>
              <w:t>1,841,912.35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Times New Roman" w:hAnsi="Times New Roman" w:cs="Times New Roman" w:eastAsia="Times New Roman" w:hint="default"/>
                <w:sz w:val="18"/>
                <w:szCs w:val="18"/>
              </w:rPr>
            </w:pPr>
            <w:r>
              <w:rPr>
                <w:rFonts w:ascii="Times New Roman"/>
                <w:spacing w:val="-1"/>
                <w:sz w:val="18"/>
              </w:rPr>
              <w:t>1,841,912.35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Times New Roman" w:hAnsi="Times New Roman" w:cs="Times New Roman" w:eastAsia="Times New Roman" w:hint="default"/>
                <w:sz w:val="18"/>
                <w:szCs w:val="18"/>
              </w:rPr>
            </w:pPr>
            <w:r>
              <w:rPr>
                <w:rFonts w:ascii="Times New Roman"/>
                <w:spacing w:val="-1"/>
                <w:sz w:val="18"/>
              </w:rPr>
              <w:t>1,841,912.35</w:t>
            </w:r>
          </w:p>
        </w:tc>
      </w:tr>
      <w:tr>
        <w:trPr>
          <w:trHeight w:val="371"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3" w:right="0"/>
              <w:jc w:val="left"/>
              <w:rPr>
                <w:rFonts w:ascii="宋体" w:hAnsi="宋体" w:cs="宋体" w:eastAsia="宋体" w:hint="default"/>
                <w:sz w:val="18"/>
                <w:szCs w:val="18"/>
              </w:rPr>
            </w:pPr>
            <w:r>
              <w:rPr>
                <w:rFonts w:ascii="宋体" w:hAnsi="宋体" w:cs="宋体" w:eastAsia="宋体" w:hint="default"/>
                <w:sz w:val="18"/>
                <w:szCs w:val="18"/>
              </w:rPr>
              <w:t>中委农业投资（委内瑞拉）有限公司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right"/>
              <w:rPr>
                <w:rFonts w:ascii="Times New Roman" w:hAnsi="Times New Roman" w:cs="Times New Roman" w:eastAsia="Times New Roman" w:hint="default"/>
                <w:sz w:val="18"/>
                <w:szCs w:val="18"/>
              </w:rPr>
            </w:pPr>
            <w:r>
              <w:rPr>
                <w:rFonts w:ascii="Times New Roman"/>
                <w:sz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Times New Roman" w:hAnsi="Times New Roman" w:cs="Times New Roman" w:eastAsia="Times New Roman" w:hint="default"/>
                <w:sz w:val="18"/>
                <w:szCs w:val="18"/>
              </w:rPr>
            </w:pPr>
            <w:r>
              <w:rPr>
                <w:rFonts w:ascii="Times New Roman"/>
                <w:sz w:val="18"/>
              </w:rPr>
              <w:t>60,000.00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Times New Roman" w:hAnsi="Times New Roman" w:cs="Times New Roman" w:eastAsia="Times New Roman" w:hint="default"/>
                <w:sz w:val="18"/>
                <w:szCs w:val="18"/>
              </w:rPr>
            </w:pPr>
            <w:r>
              <w:rPr>
                <w:rFonts w:ascii="Times New Roman"/>
                <w:sz w:val="18"/>
              </w:rPr>
              <w:t>60,000.00</w:t>
            </w:r>
          </w:p>
        </w:tc>
      </w:tr>
      <w:tr>
        <w:trPr>
          <w:trHeight w:val="38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1" w:right="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right"/>
              <w:rPr>
                <w:rFonts w:ascii="Times New Roman" w:hAnsi="Times New Roman" w:cs="Times New Roman" w:eastAsia="Times New Roman" w:hint="default"/>
                <w:sz w:val="18"/>
                <w:szCs w:val="18"/>
              </w:rPr>
            </w:pPr>
            <w:r>
              <w:rPr>
                <w:rFonts w:ascii="Times New Roman"/>
                <w:sz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
              <w:jc w:val="right"/>
              <w:rPr>
                <w:rFonts w:ascii="Times New Roman" w:hAnsi="Times New Roman" w:cs="Times New Roman" w:eastAsia="Times New Roman" w:hint="default"/>
                <w:sz w:val="18"/>
                <w:szCs w:val="18"/>
              </w:rPr>
            </w:pPr>
            <w:r>
              <w:rPr>
                <w:rFonts w:ascii="Times New Roman"/>
                <w:sz w:val="18"/>
              </w:rPr>
              <w:t>26,092.25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
              <w:jc w:val="right"/>
              <w:rPr>
                <w:rFonts w:ascii="Times New Roman" w:hAnsi="Times New Roman" w:cs="Times New Roman" w:eastAsia="Times New Roman" w:hint="default"/>
                <w:sz w:val="18"/>
                <w:szCs w:val="18"/>
              </w:rPr>
            </w:pPr>
            <w:r>
              <w:rPr>
                <w:rFonts w:ascii="Times New Roman"/>
                <w:sz w:val="18"/>
              </w:rPr>
              <w:t>26,092.25</w:t>
            </w:r>
          </w:p>
        </w:tc>
      </w:tr>
    </w:tbl>
    <w:p>
      <w:pPr>
        <w:spacing w:line="240" w:lineRule="auto" w:before="12"/>
        <w:rPr>
          <w:rFonts w:ascii="宋体" w:hAnsi="宋体" w:cs="宋体" w:eastAsia="宋体" w:hint="default"/>
          <w:sz w:val="15"/>
          <w:szCs w:val="15"/>
        </w:rPr>
      </w:pPr>
    </w:p>
    <w:p>
      <w:pPr>
        <w:pStyle w:val="BodyText"/>
        <w:spacing w:line="240" w:lineRule="auto" w:before="35"/>
        <w:ind w:left="641" w:right="0"/>
        <w:jc w:val="left"/>
      </w:pPr>
      <w:r>
        <w:rPr/>
        <w:t>公司应付关联方款项</w:t>
      </w:r>
    </w:p>
    <w:p>
      <w:pPr>
        <w:spacing w:line="240" w:lineRule="auto" w:before="7"/>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153"/>
        <w:gridCol w:w="3551"/>
        <w:gridCol w:w="2056"/>
        <w:gridCol w:w="1927"/>
      </w:tblGrid>
      <w:tr>
        <w:trPr>
          <w:trHeight w:val="397" w:hRule="exact"/>
        </w:trPr>
        <w:tc>
          <w:tcPr>
            <w:tcW w:w="11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90" w:hRule="exact"/>
        </w:trPr>
        <w:tc>
          <w:tcPr>
            <w:tcW w:w="1153" w:type="dxa"/>
            <w:vMerge/>
            <w:tcBorders>
              <w:left w:val="single" w:sz="4" w:space="0" w:color="000000"/>
              <w:bottom w:val="single" w:sz="4" w:space="0" w:color="000000"/>
              <w:right w:val="single" w:sz="4" w:space="0" w:color="000000"/>
            </w:tcBorders>
          </w:tcPr>
          <w:p>
            <w:pPr/>
          </w:p>
        </w:tc>
        <w:tc>
          <w:tcPr>
            <w:tcW w:w="3551" w:type="dxa"/>
            <w:vMerge/>
            <w:tcBorders>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8" w:right="0"/>
              <w:jc w:val="left"/>
              <w:rPr>
                <w:rFonts w:ascii="宋体" w:hAnsi="宋体" w:cs="宋体" w:eastAsia="宋体" w:hint="default"/>
                <w:sz w:val="18"/>
                <w:szCs w:val="18"/>
              </w:rPr>
            </w:pPr>
            <w:r>
              <w:rPr>
                <w:rFonts w:ascii="宋体" w:hAnsi="宋体" w:cs="宋体" w:eastAsia="宋体" w:hint="default"/>
                <w:sz w:val="18"/>
                <w:szCs w:val="18"/>
              </w:rPr>
              <w:t>账面余额</w:t>
            </w:r>
          </w:p>
        </w:tc>
      </w:tr>
      <w:tr>
        <w:trPr>
          <w:trHeight w:val="461"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深圳达泰宁科技有限公司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785,299.43</w:t>
            </w:r>
          </w:p>
        </w:tc>
      </w:tr>
      <w:tr>
        <w:trPr>
          <w:trHeight w:val="460"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深圳泰丰网络技术有限公司  </w:t>
            </w:r>
            <w:r>
              <w:rPr>
                <w:rFonts w:ascii="Times New Roman" w:hAnsi="Times New Roman" w:cs="Times New Roman" w:eastAsia="Times New Roman" w:hint="default"/>
                <w:sz w:val="18"/>
                <w:szCs w:val="18"/>
              </w:rPr>
              <w:t>*1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2,344.30</w:t>
            </w:r>
          </w:p>
        </w:tc>
      </w:tr>
      <w:tr>
        <w:trPr>
          <w:trHeight w:val="460"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深圳泰丰网络技术有限公司  </w:t>
            </w:r>
            <w:r>
              <w:rPr>
                <w:rFonts w:ascii="Times New Roman" w:hAnsi="Times New Roman" w:cs="Times New Roman" w:eastAsia="Times New Roman" w:hint="default"/>
                <w:sz w:val="18"/>
                <w:szCs w:val="18"/>
              </w:rPr>
              <w:t>*1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118,482.80</w:t>
            </w:r>
          </w:p>
        </w:tc>
      </w:tr>
      <w:tr>
        <w:trPr>
          <w:trHeight w:val="461"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30,364,063.35</w:t>
            </w:r>
          </w:p>
        </w:tc>
      </w:tr>
      <w:tr>
        <w:trPr>
          <w:trHeight w:val="460"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深圳泰丰电子有限公司  </w:t>
            </w:r>
            <w:r>
              <w:rPr>
                <w:rFonts w:ascii="Times New Roman" w:hAnsi="Times New Roman" w:cs="Times New Roman" w:eastAsia="Times New Roman" w:hint="default"/>
                <w:sz w:val="18"/>
                <w:szCs w:val="18"/>
              </w:rPr>
              <w:t>*1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128,600.00</w:t>
            </w:r>
          </w:p>
        </w:tc>
      </w:tr>
    </w:tbl>
    <w:p>
      <w:pPr>
        <w:spacing w:line="240" w:lineRule="auto" w:before="12"/>
        <w:rPr>
          <w:rFonts w:ascii="宋体" w:hAnsi="宋体" w:cs="宋体" w:eastAsia="宋体" w:hint="default"/>
          <w:sz w:val="15"/>
          <w:szCs w:val="15"/>
        </w:rPr>
      </w:pPr>
    </w:p>
    <w:p>
      <w:pPr>
        <w:pStyle w:val="BodyText"/>
        <w:tabs>
          <w:tab w:pos="1062" w:val="left" w:leader="none"/>
        </w:tabs>
        <w:spacing w:line="379" w:lineRule="auto" w:before="35"/>
        <w:ind w:left="221" w:right="276" w:firstLine="420"/>
        <w:jc w:val="left"/>
      </w:pPr>
      <w:r>
        <w:rPr>
          <w:rFonts w:ascii="Times New Roman" w:hAnsi="Times New Roman" w:cs="Times New Roman" w:eastAsia="Times New Roman" w:hint="default"/>
        </w:rPr>
        <w:t>*1</w:t>
        <w:tab/>
      </w:r>
      <w:r>
        <w:rPr>
          <w:spacing w:val="-3"/>
        </w:rPr>
        <w:t>期末账面余额无金额，系因这三家公司与公司本年度不再是关联关系而不再列示账面</w:t>
      </w:r>
      <w:r>
        <w:rPr/>
        <w:t> 余额。</w:t>
      </w:r>
    </w:p>
    <w:p>
      <w:pPr>
        <w:spacing w:after="0" w:line="379" w:lineRule="auto"/>
        <w:jc w:val="left"/>
        <w:sectPr>
          <w:pgSz w:w="11910" w:h="16840"/>
          <w:pgMar w:header="0" w:footer="893" w:top="1140" w:bottom="1080" w:left="1480" w:right="1420"/>
        </w:sectPr>
      </w:pPr>
    </w:p>
    <w:p>
      <w:pPr>
        <w:spacing w:line="240" w:lineRule="auto" w:before="1"/>
        <w:rPr>
          <w:rFonts w:ascii="宋体" w:hAnsi="宋体" w:cs="宋体" w:eastAsia="宋体" w:hint="default"/>
          <w:sz w:val="27"/>
          <w:szCs w:val="27"/>
        </w:rPr>
      </w:pPr>
    </w:p>
    <w:p>
      <w:pPr>
        <w:pStyle w:val="BodyText"/>
        <w:spacing w:line="240" w:lineRule="auto" w:before="35"/>
        <w:ind w:left="641" w:right="0"/>
        <w:jc w:val="left"/>
        <w:rPr>
          <w:rFonts w:ascii="黑体" w:hAnsi="黑体" w:cs="黑体" w:eastAsia="黑体" w:hint="default"/>
        </w:rPr>
      </w:pPr>
      <w:r>
        <w:rPr>
          <w:rFonts w:ascii="黑体" w:hAnsi="黑体" w:cs="黑体" w:eastAsia="黑体" w:hint="default"/>
        </w:rPr>
        <w:t>附注七、或有事项</w:t>
      </w:r>
    </w:p>
    <w:p>
      <w:pPr>
        <w:spacing w:line="240" w:lineRule="auto" w:before="4"/>
        <w:rPr>
          <w:rFonts w:ascii="黑体" w:hAnsi="黑体" w:cs="黑体" w:eastAsia="黑体" w:hint="default"/>
          <w:sz w:val="23"/>
          <w:szCs w:val="23"/>
        </w:rPr>
      </w:pPr>
    </w:p>
    <w:p>
      <w:pPr>
        <w:pStyle w:val="BodyText"/>
        <w:spacing w:line="240" w:lineRule="auto"/>
        <w:ind w:left="761" w:right="0"/>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一</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rFonts w:ascii="黑体" w:hAnsi="黑体" w:cs="黑体" w:eastAsia="黑体" w:hint="default"/>
        </w:rPr>
        <w:t>诉讼仲裁形成的或有负债及其财务影响</w:t>
      </w:r>
    </w:p>
    <w:p>
      <w:pPr>
        <w:spacing w:line="240" w:lineRule="auto" w:before="1"/>
        <w:rPr>
          <w:rFonts w:ascii="黑体" w:hAnsi="黑体" w:cs="黑体" w:eastAsia="黑体" w:hint="default"/>
          <w:sz w:val="22"/>
          <w:szCs w:val="22"/>
        </w:rPr>
      </w:pPr>
    </w:p>
    <w:p>
      <w:pPr>
        <w:pStyle w:val="BodyText"/>
        <w:spacing w:line="240" w:lineRule="auto"/>
        <w:ind w:left="641" w:right="0"/>
        <w:jc w:val="left"/>
      </w:pPr>
      <w:r>
        <w:rPr/>
        <w:t>本公司于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7 </w:t>
      </w:r>
      <w:r>
        <w:rPr/>
        <w:t>月收</w:t>
      </w:r>
      <w:r>
        <w:rPr>
          <w:spacing w:val="-2"/>
        </w:rPr>
        <w:t>到</w:t>
      </w:r>
      <w:r>
        <w:rPr/>
        <w:t>深圳市中级人民法院作</w:t>
      </w:r>
      <w:r>
        <w:rPr>
          <w:spacing w:val="-53"/>
        </w:rPr>
        <w:t>出</w:t>
      </w:r>
      <w:r>
        <w:rPr>
          <w:spacing w:val="-105"/>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spacing w:val="-54"/>
        </w:rPr>
        <w:t>）</w:t>
      </w:r>
      <w:r>
        <w:rPr/>
        <w:t>深中法民五终字第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42</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
        </w:rPr>
        <w:t>号、</w:t>
      </w:r>
      <w:r>
        <w:rPr/>
      </w:r>
    </w:p>
    <w:p>
      <w:pPr>
        <w:pStyle w:val="BodyText"/>
        <w:spacing w:line="240" w:lineRule="auto" w:before="170"/>
        <w:ind w:left="221"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30 </w:t>
      </w:r>
      <w:r>
        <w:rPr>
          <w:spacing w:val="-2"/>
        </w:rPr>
        <w:t>号</w:t>
      </w:r>
      <w:r>
        <w:rPr>
          <w:spacing w:val="-116"/>
        </w:rPr>
        <w:t>”</w:t>
      </w:r>
      <w:r>
        <w:rPr/>
        <w:t>《</w:t>
      </w:r>
      <w:r>
        <w:rPr>
          <w:spacing w:val="-2"/>
        </w:rPr>
        <w:t>民</w:t>
      </w:r>
      <w:r>
        <w:rPr/>
        <w:t>事判决书</w:t>
      </w:r>
      <w:r>
        <w:rPr>
          <w:spacing w:val="-105"/>
        </w:rPr>
        <w:t>》</w:t>
      </w:r>
      <w:r>
        <w:rPr>
          <w:spacing w:val="-117"/>
        </w:rPr>
        <w:t>。</w:t>
      </w:r>
      <w:r>
        <w:rPr>
          <w:spacing w:val="-105"/>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spacing w:val="-11"/>
        </w:rPr>
        <w:t>）</w:t>
      </w:r>
      <w:r>
        <w:rPr>
          <w:spacing w:val="-2"/>
        </w:rPr>
        <w:t>深</w:t>
      </w:r>
      <w:r>
        <w:rPr/>
        <w:t>中法民五终字第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42</w:t>
      </w:r>
      <w:r>
        <w:rPr>
          <w:rFonts w:ascii="Times New Roman" w:hAnsi="Times New Roman" w:cs="Times New Roman" w:eastAsia="Times New Roman" w:hint="default"/>
        </w:rPr>
        <w:t>9 </w:t>
      </w:r>
      <w:r>
        <w:rPr>
          <w:spacing w:val="-2"/>
        </w:rPr>
        <w:t>号</w:t>
      </w:r>
      <w:r>
        <w:rPr>
          <w:spacing w:val="-116"/>
        </w:rPr>
        <w:t>”</w:t>
      </w:r>
      <w:r>
        <w:rPr/>
        <w:t>《民事判决书</w:t>
      </w:r>
      <w:r>
        <w:rPr>
          <w:spacing w:val="-11"/>
        </w:rPr>
        <w:t>》</w:t>
      </w:r>
      <w:r>
        <w:rPr/>
        <w:t>的主要内容</w:t>
      </w:r>
      <w:r>
        <w:rPr>
          <w:spacing w:val="1"/>
        </w:rPr>
        <w:t>是</w:t>
      </w:r>
      <w:r>
        <w:rPr/>
        <w:t>：</w:t>
      </w:r>
    </w:p>
    <w:p>
      <w:pPr>
        <w:pStyle w:val="BodyText"/>
        <w:spacing w:line="240" w:lineRule="auto" w:before="169"/>
        <w:ind w:left="221" w:right="0"/>
        <w:jc w:val="both"/>
      </w:pPr>
      <w:r>
        <w:rPr/>
        <w:t>西部房地产公司在判决生效之日起十日内归还深圳市规划和国土资源委员会本金</w:t>
      </w:r>
      <w:r>
        <w:rPr>
          <w:spacing w:val="-56"/>
        </w:rPr>
        <w:t> </w:t>
      </w:r>
      <w:r>
        <w:rPr>
          <w:rFonts w:ascii="Times New Roman" w:hAnsi="Times New Roman" w:cs="Times New Roman" w:eastAsia="Times New Roman" w:hint="default"/>
        </w:rPr>
        <w:t>4,116,893</w:t>
      </w:r>
      <w:r>
        <w:rPr>
          <w:rFonts w:ascii="Times New Roman" w:hAnsi="Times New Roman" w:cs="Times New Roman" w:eastAsia="Times New Roman" w:hint="default"/>
          <w:spacing w:val="-2"/>
        </w:rPr>
        <w:t> </w:t>
      </w:r>
      <w:r>
        <w:rPr/>
        <w:t>元</w:t>
      </w:r>
    </w:p>
    <w:p>
      <w:pPr>
        <w:pStyle w:val="BodyText"/>
        <w:spacing w:line="240" w:lineRule="auto" w:before="169"/>
        <w:ind w:left="221" w:right="0"/>
        <w:jc w:val="both"/>
      </w:pPr>
      <w:r>
        <w:rPr/>
        <w:t>及</w:t>
      </w:r>
      <w:r>
        <w:rPr>
          <w:spacing w:val="-54"/>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日起按中国人民银行同期同类贷款利率计算利息；加倍支付迟延期间利息；</w:t>
      </w:r>
    </w:p>
    <w:p>
      <w:pPr>
        <w:pStyle w:val="BodyText"/>
        <w:spacing w:line="391" w:lineRule="auto" w:before="170"/>
        <w:ind w:left="220" w:right="275"/>
        <w:jc w:val="both"/>
      </w:pPr>
      <w:r>
        <w:rPr>
          <w:spacing w:val="-3"/>
        </w:rPr>
        <w:t>承担一、二审受理费</w:t>
      </w:r>
      <w:r>
        <w:rPr>
          <w:spacing w:val="-44"/>
        </w:rPr>
        <w:t> </w:t>
      </w:r>
      <w:r>
        <w:rPr>
          <w:rFonts w:ascii="Times New Roman" w:hAnsi="Times New Roman" w:cs="Times New Roman" w:eastAsia="Times New Roman" w:hint="default"/>
          <w:spacing w:val="-2"/>
        </w:rPr>
        <w:t>115,621.90</w:t>
      </w:r>
      <w:r>
        <w:rPr>
          <w:rFonts w:ascii="Times New Roman" w:hAnsi="Times New Roman" w:cs="Times New Roman" w:eastAsia="Times New Roman" w:hint="default"/>
          <w:spacing w:val="10"/>
        </w:rPr>
        <w:t> </w:t>
      </w:r>
      <w:r>
        <w:rPr>
          <w:spacing w:val="-16"/>
        </w:rPr>
        <w:t>元。“（</w:t>
      </w:r>
      <w:r>
        <w:rPr>
          <w:rFonts w:ascii="Times New Roman" w:hAnsi="Times New Roman" w:cs="Times New Roman" w:eastAsia="Times New Roman" w:hint="default"/>
          <w:spacing w:val="-16"/>
        </w:rPr>
        <w:t>2009</w:t>
      </w:r>
      <w:r>
        <w:rPr>
          <w:spacing w:val="-16"/>
        </w:rPr>
        <w:t>）深中法民五终字第</w:t>
      </w:r>
      <w:r>
        <w:rPr>
          <w:spacing w:val="-44"/>
        </w:rPr>
        <w:t> </w:t>
      </w:r>
      <w:r>
        <w:rPr>
          <w:rFonts w:ascii="Times New Roman" w:hAnsi="Times New Roman" w:cs="Times New Roman" w:eastAsia="Times New Roman" w:hint="default"/>
          <w:spacing w:val="-1"/>
        </w:rPr>
        <w:t>1430</w:t>
      </w:r>
      <w:r>
        <w:rPr>
          <w:rFonts w:ascii="Times New Roman" w:hAnsi="Times New Roman" w:cs="Times New Roman" w:eastAsia="Times New Roman" w:hint="default"/>
          <w:spacing w:val="9"/>
        </w:rPr>
        <w:t> </w:t>
      </w:r>
      <w:r>
        <w:rPr>
          <w:spacing w:val="-14"/>
        </w:rPr>
        <w:t>号”《民事判决书》的主</w:t>
      </w:r>
      <w:r>
        <w:rPr>
          <w:spacing w:val="-101"/>
        </w:rPr>
        <w:t> </w:t>
      </w:r>
      <w:r>
        <w:rPr>
          <w:spacing w:val="-101"/>
        </w:rPr>
      </w:r>
      <w:r>
        <w:rPr>
          <w:spacing w:val="2"/>
        </w:rPr>
        <w:t>要内容是：西部房地产公司在判决生效之日起十日内归还深圳市规划和国土资源委员会本金</w:t>
      </w:r>
      <w:r>
        <w:rPr>
          <w:spacing w:val="-100"/>
        </w:rPr>
        <w:t> </w:t>
      </w:r>
      <w:r>
        <w:rPr>
          <w:spacing w:val="-100"/>
        </w:rPr>
      </w:r>
      <w:r>
        <w:rPr>
          <w:rFonts w:ascii="Times New Roman" w:hAnsi="Times New Roman" w:cs="Times New Roman" w:eastAsia="Times New Roman" w:hint="default"/>
          <w:spacing w:val="-1"/>
        </w:rPr>
        <w:t>462,609</w:t>
      </w:r>
      <w:r>
        <w:rPr>
          <w:rFonts w:ascii="Times New Roman" w:hAnsi="Times New Roman" w:cs="Times New Roman" w:eastAsia="Times New Roman" w:hint="default"/>
          <w:spacing w:val="2"/>
        </w:rPr>
        <w:t> </w:t>
      </w:r>
      <w:r>
        <w:rPr/>
        <w:t>元及</w:t>
      </w:r>
      <w:r>
        <w:rPr>
          <w:spacing w:val="-52"/>
        </w:rPr>
        <w:t> </w:t>
      </w:r>
      <w:r>
        <w:rPr>
          <w:rFonts w:ascii="Times New Roman" w:hAnsi="Times New Roman" w:cs="Times New Roman" w:eastAsia="Times New Roman" w:hint="default"/>
          <w:spacing w:val="-1"/>
        </w:rPr>
        <w:t>1998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4"/>
        </w:rPr>
        <w:t>日起按中国人民银行同期同类贷款利率计算利息；加倍支付迟延期</w:t>
      </w:r>
    </w:p>
    <w:p>
      <w:pPr>
        <w:pStyle w:val="BodyText"/>
        <w:spacing w:line="240" w:lineRule="auto" w:before="23"/>
        <w:ind w:left="220" w:right="0"/>
        <w:jc w:val="both"/>
      </w:pPr>
      <w:r>
        <w:rPr/>
        <w:t>间利息；承担一、二审受理费</w:t>
      </w:r>
      <w:r>
        <w:rPr>
          <w:spacing w:val="-56"/>
        </w:rPr>
        <w:t> </w:t>
      </w:r>
      <w:r>
        <w:rPr>
          <w:rFonts w:ascii="Times New Roman" w:hAnsi="Times New Roman" w:cs="Times New Roman" w:eastAsia="Times New Roman" w:hint="default"/>
        </w:rPr>
        <w:t>21,024.82</w:t>
      </w:r>
      <w:r>
        <w:rPr>
          <w:rFonts w:ascii="Times New Roman" w:hAnsi="Times New Roman" w:cs="Times New Roman" w:eastAsia="Times New Roman" w:hint="default"/>
          <w:spacing w:val="-3"/>
        </w:rPr>
        <w:t> </w:t>
      </w:r>
      <w:r>
        <w:rPr/>
        <w:t>元。</w:t>
      </w:r>
    </w:p>
    <w:p>
      <w:pPr>
        <w:spacing w:line="240" w:lineRule="auto" w:before="1"/>
        <w:rPr>
          <w:rFonts w:ascii="宋体" w:hAnsi="宋体" w:cs="宋体" w:eastAsia="宋体" w:hint="default"/>
          <w:sz w:val="22"/>
          <w:szCs w:val="22"/>
        </w:rPr>
      </w:pPr>
    </w:p>
    <w:p>
      <w:pPr>
        <w:pStyle w:val="BodyText"/>
        <w:spacing w:line="240" w:lineRule="auto"/>
        <w:ind w:left="640" w:right="0"/>
        <w:jc w:val="left"/>
      </w:pPr>
      <w:r>
        <w:rPr/>
        <w:t>因西部房地产公司于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日进入重整程序</w:t>
      </w:r>
      <w:r>
        <w:rPr>
          <w:spacing w:val="-105"/>
        </w:rPr>
        <w:t>，</w:t>
      </w:r>
      <w:r>
        <w:rPr/>
        <w:t>上述</w:t>
      </w:r>
      <w:r>
        <w:rPr>
          <w:spacing w:val="-2"/>
        </w:rPr>
        <w:t>债</w:t>
      </w:r>
      <w:r>
        <w:rPr/>
        <w:t>权已在西部房地产公司的重</w:t>
      </w:r>
    </w:p>
    <w:p>
      <w:pPr>
        <w:pStyle w:val="BodyText"/>
        <w:spacing w:line="240" w:lineRule="auto" w:before="169"/>
        <w:ind w:left="220" w:right="0"/>
        <w:jc w:val="both"/>
      </w:pPr>
      <w:r>
        <w:rPr/>
        <w:t>整计划中作为预计债权，按照每</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元受偿约</w:t>
      </w:r>
      <w:r>
        <w:rPr>
          <w:spacing w:val="-56"/>
        </w:rPr>
        <w:t> </w:t>
      </w:r>
      <w:r>
        <w:rPr>
          <w:rFonts w:ascii="Times New Roman" w:hAnsi="Times New Roman" w:cs="Times New Roman" w:eastAsia="Times New Roman" w:hint="default"/>
        </w:rPr>
        <w:t>2.095</w:t>
      </w:r>
      <w:r>
        <w:rPr>
          <w:rFonts w:ascii="Times New Roman" w:hAnsi="Times New Roman" w:cs="Times New Roman" w:eastAsia="Times New Roman" w:hint="default"/>
          <w:spacing w:val="-2"/>
        </w:rPr>
        <w:t> </w:t>
      </w:r>
      <w:r>
        <w:rPr/>
        <w:t>股股票的比例预留了相应股票。</w:t>
      </w:r>
    </w:p>
    <w:p>
      <w:pPr>
        <w:spacing w:line="240" w:lineRule="auto" w:before="2"/>
        <w:rPr>
          <w:rFonts w:ascii="宋体" w:hAnsi="宋体" w:cs="宋体" w:eastAsia="宋体" w:hint="default"/>
          <w:sz w:val="22"/>
          <w:szCs w:val="22"/>
        </w:rPr>
      </w:pPr>
    </w:p>
    <w:p>
      <w:pPr>
        <w:pStyle w:val="BodyText"/>
        <w:spacing w:line="240" w:lineRule="auto"/>
        <w:ind w:left="760" w:right="0"/>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二</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rFonts w:ascii="黑体" w:hAnsi="黑体" w:cs="黑体" w:eastAsia="黑体" w:hint="default"/>
        </w:rPr>
        <w:t>资产查封情况</w:t>
      </w:r>
    </w:p>
    <w:p>
      <w:pPr>
        <w:spacing w:line="240" w:lineRule="auto" w:before="6"/>
        <w:rPr>
          <w:rFonts w:ascii="黑体" w:hAnsi="黑体" w:cs="黑体" w:eastAsia="黑体" w:hint="default"/>
          <w:sz w:val="24"/>
          <w:szCs w:val="24"/>
        </w:rPr>
      </w:pPr>
    </w:p>
    <w:p>
      <w:pPr>
        <w:pStyle w:val="BodyText"/>
        <w:spacing w:line="240" w:lineRule="auto"/>
        <w:ind w:left="640" w:right="0"/>
        <w:jc w:val="left"/>
      </w:pPr>
      <w:r>
        <w:rPr/>
        <w:t>截止</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日，公司被查封资产情况如下</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72"/>
        <w:gridCol w:w="2020"/>
        <w:gridCol w:w="1351"/>
        <w:gridCol w:w="2236"/>
        <w:gridCol w:w="1696"/>
      </w:tblGrid>
      <w:tr>
        <w:trPr>
          <w:trHeight w:val="491"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0" w:right="0"/>
              <w:jc w:val="left"/>
              <w:rPr>
                <w:rFonts w:ascii="宋体" w:hAnsi="宋体" w:cs="宋体" w:eastAsia="宋体" w:hint="default"/>
                <w:sz w:val="18"/>
                <w:szCs w:val="18"/>
              </w:rPr>
            </w:pPr>
            <w:r>
              <w:rPr>
                <w:rFonts w:ascii="宋体" w:hAnsi="宋体" w:cs="宋体" w:eastAsia="宋体" w:hint="default"/>
                <w:sz w:val="18"/>
                <w:szCs w:val="18"/>
              </w:rPr>
              <w:t>资产所有方</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4" w:right="0"/>
              <w:jc w:val="left"/>
              <w:rPr>
                <w:rFonts w:ascii="宋体" w:hAnsi="宋体" w:cs="宋体" w:eastAsia="宋体" w:hint="default"/>
                <w:sz w:val="18"/>
                <w:szCs w:val="18"/>
              </w:rPr>
            </w:pPr>
            <w:r>
              <w:rPr>
                <w:rFonts w:ascii="宋体" w:hAnsi="宋体" w:cs="宋体" w:eastAsia="宋体" w:hint="default"/>
                <w:sz w:val="18"/>
                <w:szCs w:val="18"/>
              </w:rPr>
              <w:t>查封资产内容</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128" w:hanging="360"/>
              <w:jc w:val="left"/>
              <w:rPr>
                <w:rFonts w:ascii="宋体" w:hAnsi="宋体" w:cs="宋体" w:eastAsia="宋体" w:hint="default"/>
                <w:sz w:val="18"/>
                <w:szCs w:val="18"/>
              </w:rPr>
            </w:pPr>
            <w:r>
              <w:rPr>
                <w:rFonts w:ascii="宋体" w:hAnsi="宋体" w:cs="宋体" w:eastAsia="宋体" w:hint="default"/>
                <w:sz w:val="18"/>
                <w:szCs w:val="18"/>
              </w:rPr>
              <w:t>查封资产账面 成本</w:t>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涉及诉讼</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81" w:right="0"/>
              <w:jc w:val="left"/>
              <w:rPr>
                <w:rFonts w:ascii="宋体" w:hAnsi="宋体" w:cs="宋体" w:eastAsia="宋体" w:hint="default"/>
                <w:sz w:val="18"/>
                <w:szCs w:val="18"/>
              </w:rPr>
            </w:pPr>
            <w:r>
              <w:rPr>
                <w:rFonts w:ascii="宋体" w:hAnsi="宋体" w:cs="宋体" w:eastAsia="宋体" w:hint="default"/>
                <w:sz w:val="18"/>
                <w:szCs w:val="18"/>
              </w:rPr>
              <w:t>诉讼标的</w:t>
            </w:r>
          </w:p>
        </w:tc>
      </w:tr>
      <w:tr>
        <w:trPr>
          <w:trHeight w:val="492" w:hRule="exact"/>
        </w:trPr>
        <w:tc>
          <w:tcPr>
            <w:tcW w:w="147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pacing w:val="25"/>
                <w:sz w:val="18"/>
                <w:szCs w:val="18"/>
              </w:rPr>
              <w:t>深圳市深</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西</w:t>
            </w:r>
            <w:r>
              <w:rPr>
                <w:rFonts w:ascii="宋体" w:hAnsi="宋体" w:cs="宋体" w:eastAsia="宋体" w:hint="default"/>
                <w:sz w:val="18"/>
                <w:szCs w:val="18"/>
              </w:rPr>
              <w:t> </w:t>
            </w:r>
            <w:r>
              <w:rPr>
                <w:rFonts w:ascii="宋体" w:hAnsi="宋体" w:cs="宋体" w:eastAsia="宋体" w:hint="default"/>
                <w:spacing w:val="25"/>
                <w:sz w:val="18"/>
                <w:szCs w:val="18"/>
              </w:rPr>
              <w:t>部房地产</w:t>
            </w:r>
            <w:r>
              <w:rPr>
                <w:rFonts w:ascii="宋体" w:hAnsi="宋体" w:cs="宋体" w:eastAsia="宋体" w:hint="default"/>
                <w:spacing w:val="-54"/>
                <w:sz w:val="18"/>
                <w:szCs w:val="18"/>
              </w:rPr>
              <w:t> </w:t>
            </w:r>
            <w:r>
              <w:rPr>
                <w:rFonts w:ascii="宋体" w:hAnsi="宋体" w:cs="宋体" w:eastAsia="宋体" w:hint="default"/>
                <w:sz w:val="18"/>
                <w:szCs w:val="18"/>
              </w:rPr>
              <w:t>有</w:t>
            </w:r>
            <w:r>
              <w:rPr>
                <w:rFonts w:ascii="宋体" w:hAnsi="宋体" w:cs="宋体" w:eastAsia="宋体" w:hint="default"/>
                <w:spacing w:val="-54"/>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20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tabs>
                <w:tab w:pos="1726" w:val="left" w:leader="none"/>
              </w:tabs>
              <w:spacing w:line="252"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宝安区西乡的土地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块 </w:t>
            </w:r>
            <w:r>
              <w:rPr>
                <w:rFonts w:ascii="Times New Roman" w:hAnsi="Times New Roman" w:cs="Times New Roman" w:eastAsia="Times New Roman" w:hint="default"/>
                <w:spacing w:val="-1"/>
                <w:sz w:val="18"/>
                <w:szCs w:val="18"/>
              </w:rPr>
              <w:t>(A120-0098</w:t>
              <w:tab/>
            </w:r>
            <w:r>
              <w:rPr>
                <w:rFonts w:ascii="宋体" w:hAnsi="宋体" w:cs="宋体" w:eastAsia="宋体" w:hint="default"/>
                <w:sz w:val="18"/>
                <w:szCs w:val="18"/>
              </w:rPr>
              <w:t>、 </w:t>
            </w:r>
            <w:r>
              <w:rPr>
                <w:rFonts w:ascii="Times New Roman" w:hAnsi="Times New Roman" w:cs="Times New Roman" w:eastAsia="Times New Roman" w:hint="default"/>
                <w:sz w:val="18"/>
                <w:szCs w:val="18"/>
              </w:rPr>
              <w:t>A120-0017)</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exact"/>
              <w:ind w:left="103" w:right="102"/>
              <w:jc w:val="left"/>
              <w:rPr>
                <w:rFonts w:ascii="宋体" w:hAnsi="宋体" w:cs="宋体" w:eastAsia="宋体" w:hint="default"/>
                <w:sz w:val="18"/>
                <w:szCs w:val="18"/>
              </w:rPr>
            </w:pPr>
            <w:r>
              <w:rPr>
                <w:rFonts w:ascii="宋体" w:hAnsi="宋体" w:cs="宋体" w:eastAsia="宋体" w:hint="default"/>
                <w:spacing w:val="6"/>
                <w:sz w:val="18"/>
                <w:szCs w:val="18"/>
              </w:rPr>
              <w:t>存货—</w:t>
            </w:r>
            <w:r>
              <w:rPr>
                <w:rFonts w:ascii="Times New Roman" w:hAnsi="Times New Roman" w:cs="Times New Roman" w:eastAsia="Times New Roman" w:hint="default"/>
                <w:spacing w:val="6"/>
                <w:sz w:val="18"/>
                <w:szCs w:val="18"/>
              </w:rPr>
              <w:t>430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 元</w:t>
            </w:r>
          </w:p>
        </w:tc>
        <w:tc>
          <w:tcPr>
            <w:tcW w:w="2236" w:type="dxa"/>
            <w:tcBorders>
              <w:top w:val="single" w:sz="4" w:space="0" w:color="000000"/>
              <w:left w:val="single" w:sz="4" w:space="0" w:color="000000"/>
              <w:bottom w:val="nil" w:sz="6" w:space="0" w:color="auto"/>
              <w:right w:val="single" w:sz="4" w:space="0" w:color="000000"/>
            </w:tcBorders>
          </w:tcPr>
          <w:p>
            <w:pPr>
              <w:pStyle w:val="TableParagraph"/>
              <w:spacing w:line="230" w:lineRule="auto"/>
              <w:ind w:left="101" w:right="10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）深圳市宝安建鑫实业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有限公司诉赔偿利益损失</w:t>
            </w:r>
          </w:p>
        </w:tc>
        <w:tc>
          <w:tcPr>
            <w:tcW w:w="16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exact" w:before="13"/>
              <w:ind w:left="102" w:right="1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）本金 </w:t>
            </w:r>
            <w:r>
              <w:rPr>
                <w:rFonts w:ascii="Times New Roman" w:hAnsi="Times New Roman" w:cs="Times New Roman" w:eastAsia="Times New Roman" w:hint="default"/>
                <w:sz w:val="18"/>
                <w:szCs w:val="18"/>
              </w:rPr>
              <w:t>2885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元及利息</w:t>
            </w:r>
          </w:p>
        </w:tc>
      </w:tr>
      <w:tr>
        <w:trPr>
          <w:trHeight w:val="958" w:hRule="exact"/>
        </w:trPr>
        <w:tc>
          <w:tcPr>
            <w:tcW w:w="1472" w:type="dxa"/>
            <w:vMerge/>
            <w:tcBorders>
              <w:left w:val="single" w:sz="4" w:space="0" w:color="000000"/>
              <w:bottom w:val="single" w:sz="4" w:space="0" w:color="000000"/>
              <w:right w:val="single" w:sz="4" w:space="0" w:color="000000"/>
            </w:tcBorders>
          </w:tcPr>
          <w:p>
            <w:pPr/>
          </w:p>
        </w:tc>
        <w:tc>
          <w:tcPr>
            <w:tcW w:w="2020" w:type="dxa"/>
            <w:vMerge/>
            <w:tcBorders>
              <w:left w:val="single" w:sz="4" w:space="0" w:color="000000"/>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c>
          <w:tcPr>
            <w:tcW w:w="2236"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101" w:right="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）担保深圳市泰丰科技</w:t>
            </w:r>
          </w:p>
          <w:p>
            <w:pPr>
              <w:pStyle w:val="TableParagraph"/>
              <w:spacing w:line="244" w:lineRule="auto"/>
              <w:ind w:left="101" w:right="99"/>
              <w:jc w:val="both"/>
              <w:rPr>
                <w:rFonts w:ascii="宋体" w:hAnsi="宋体" w:cs="宋体" w:eastAsia="宋体" w:hint="default"/>
                <w:sz w:val="18"/>
                <w:szCs w:val="18"/>
              </w:rPr>
            </w:pPr>
            <w:r>
              <w:rPr>
                <w:rFonts w:ascii="宋体" w:hAnsi="宋体" w:cs="宋体" w:eastAsia="宋体" w:hint="default"/>
                <w:spacing w:val="3"/>
                <w:sz w:val="18"/>
                <w:szCs w:val="18"/>
              </w:rPr>
              <w:t>有限公司借款，深圳市腾 飞投资发展有限公司代偿 </w:t>
            </w:r>
            <w:r>
              <w:rPr>
                <w:rFonts w:ascii="宋体" w:hAnsi="宋体" w:cs="宋体" w:eastAsia="宋体" w:hint="default"/>
                <w:sz w:val="18"/>
                <w:szCs w:val="18"/>
              </w:rPr>
              <w:t>借款案</w:t>
            </w:r>
          </w:p>
        </w:tc>
        <w:tc>
          <w:tcPr>
            <w:tcW w:w="1696" w:type="dxa"/>
            <w:vMerge/>
            <w:tcBorders>
              <w:left w:val="single" w:sz="4" w:space="0" w:color="000000"/>
              <w:bottom w:val="single" w:sz="4" w:space="0" w:color="000000"/>
              <w:right w:val="single" w:sz="4" w:space="0" w:color="000000"/>
            </w:tcBorders>
          </w:tcPr>
          <w:p>
            <w:pPr/>
          </w:p>
        </w:tc>
      </w:tr>
      <w:tr>
        <w:trPr>
          <w:trHeight w:val="617" w:hRule="exact"/>
        </w:trPr>
        <w:tc>
          <w:tcPr>
            <w:tcW w:w="14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pacing w:val="25"/>
                <w:sz w:val="18"/>
                <w:szCs w:val="18"/>
              </w:rPr>
              <w:t>深圳市深</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西</w:t>
            </w:r>
            <w:r>
              <w:rPr>
                <w:rFonts w:ascii="宋体" w:hAnsi="宋体" w:cs="宋体" w:eastAsia="宋体" w:hint="default"/>
                <w:sz w:val="18"/>
                <w:szCs w:val="18"/>
              </w:rPr>
              <w:t> </w:t>
            </w:r>
            <w:r>
              <w:rPr>
                <w:rFonts w:ascii="宋体" w:hAnsi="宋体" w:cs="宋体" w:eastAsia="宋体" w:hint="default"/>
                <w:spacing w:val="25"/>
                <w:sz w:val="18"/>
                <w:szCs w:val="18"/>
              </w:rPr>
              <w:t>部房地产</w:t>
            </w:r>
            <w:r>
              <w:rPr>
                <w:rFonts w:ascii="宋体" w:hAnsi="宋体" w:cs="宋体" w:eastAsia="宋体" w:hint="default"/>
                <w:spacing w:val="-54"/>
                <w:sz w:val="18"/>
                <w:szCs w:val="18"/>
              </w:rPr>
              <w:t> </w:t>
            </w:r>
            <w:r>
              <w:rPr>
                <w:rFonts w:ascii="宋体" w:hAnsi="宋体" w:cs="宋体" w:eastAsia="宋体" w:hint="default"/>
                <w:sz w:val="18"/>
                <w:szCs w:val="18"/>
              </w:rPr>
              <w:t>有</w:t>
            </w:r>
            <w:r>
              <w:rPr>
                <w:rFonts w:ascii="宋体" w:hAnsi="宋体" w:cs="宋体" w:eastAsia="宋体" w:hint="default"/>
                <w:spacing w:val="-54"/>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20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4" w:lineRule="auto"/>
              <w:ind w:left="103" w:right="102"/>
              <w:jc w:val="left"/>
              <w:rPr>
                <w:rFonts w:ascii="宋体" w:hAnsi="宋体" w:cs="宋体" w:eastAsia="宋体" w:hint="default"/>
                <w:sz w:val="18"/>
                <w:szCs w:val="18"/>
              </w:rPr>
            </w:pPr>
            <w:r>
              <w:rPr>
                <w:rFonts w:ascii="宋体" w:hAnsi="宋体" w:cs="宋体" w:eastAsia="宋体" w:hint="default"/>
                <w:sz w:val="18"/>
                <w:szCs w:val="18"/>
              </w:rPr>
              <w:t>盈盈酒物业和二十二区 工人宿舍楼</w:t>
            </w:r>
          </w:p>
        </w:tc>
        <w:tc>
          <w:tcPr>
            <w:tcW w:w="13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pacing w:val="46"/>
                <w:sz w:val="18"/>
                <w:szCs w:val="18"/>
              </w:rPr>
              <w:t>固定资产—</w:t>
            </w:r>
            <w:r>
              <w:rPr>
                <w:rFonts w:ascii="宋体" w:hAnsi="宋体" w:cs="宋体" w:eastAsia="宋体" w:hint="default"/>
                <w:spacing w:val="-32"/>
                <w:sz w:val="18"/>
                <w:szCs w:val="18"/>
              </w:rPr>
              <w:t> </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36" w:type="dxa"/>
            <w:vMerge w:val="restart"/>
            <w:tcBorders>
              <w:top w:val="single" w:sz="4" w:space="0" w:color="000000"/>
              <w:left w:val="single" w:sz="4" w:space="0" w:color="000000"/>
              <w:right w:val="single" w:sz="4" w:space="0" w:color="000000"/>
            </w:tcBorders>
          </w:tcPr>
          <w:p>
            <w:pPr>
              <w:pStyle w:val="TableParagraph"/>
              <w:spacing w:line="230"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公司向深圳市农村商业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银行福永支行贷款</w:t>
            </w:r>
          </w:p>
          <w:p>
            <w:pPr>
              <w:pStyle w:val="TableParagraph"/>
              <w:spacing w:line="240" w:lineRule="exact" w:before="23"/>
              <w:ind w:left="101" w:right="10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）深圳市宝安建鑫实业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有限公司诉赔偿利益损失</w:t>
            </w:r>
          </w:p>
        </w:tc>
        <w:tc>
          <w:tcPr>
            <w:tcW w:w="1696" w:type="dxa"/>
            <w:vMerge w:val="restart"/>
            <w:tcBorders>
              <w:top w:val="single" w:sz="4" w:space="0" w:color="000000"/>
              <w:left w:val="single" w:sz="4" w:space="0" w:color="000000"/>
              <w:right w:val="single" w:sz="4" w:space="0" w:color="000000"/>
            </w:tcBorders>
          </w:tcPr>
          <w:p>
            <w:pPr>
              <w:pStyle w:val="TableParagraph"/>
              <w:spacing w:line="245" w:lineRule="exact" w:before="101"/>
              <w:ind w:left="102" w:right="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）本金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元及利</w:t>
            </w:r>
          </w:p>
          <w:p>
            <w:pPr>
              <w:pStyle w:val="TableParagraph"/>
              <w:spacing w:line="240" w:lineRule="exact"/>
              <w:ind w:left="102" w:right="0"/>
              <w:jc w:val="left"/>
              <w:rPr>
                <w:rFonts w:ascii="宋体" w:hAnsi="宋体" w:cs="宋体" w:eastAsia="宋体" w:hint="default"/>
                <w:sz w:val="18"/>
                <w:szCs w:val="18"/>
              </w:rPr>
            </w:pPr>
            <w:r>
              <w:rPr>
                <w:rFonts w:ascii="宋体" w:hAnsi="宋体" w:cs="宋体" w:eastAsia="宋体" w:hint="default"/>
                <w:sz w:val="18"/>
                <w:szCs w:val="18"/>
              </w:rPr>
              <w:t>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594" w:hRule="exact"/>
        </w:trPr>
        <w:tc>
          <w:tcPr>
            <w:tcW w:w="1472" w:type="dxa"/>
            <w:vMerge/>
            <w:tcBorders>
              <w:left w:val="single" w:sz="4" w:space="0" w:color="000000"/>
              <w:bottom w:val="single" w:sz="4" w:space="0" w:color="000000"/>
              <w:right w:val="single" w:sz="4" w:space="0" w:color="000000"/>
            </w:tcBorders>
          </w:tcPr>
          <w:p>
            <w:pPr/>
          </w:p>
        </w:tc>
        <w:tc>
          <w:tcPr>
            <w:tcW w:w="2020" w:type="dxa"/>
            <w:vMerge/>
            <w:tcBorders>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Style w:val="TableParagraph"/>
              <w:tabs>
                <w:tab w:pos="580" w:val="left" w:leader="none"/>
                <w:tab w:pos="1058" w:val="left" w:leader="none"/>
              </w:tabs>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tab/>
              <w:t>原</w:t>
              <w:tab/>
              <w:t>值</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1623.30</w:t>
            </w:r>
            <w:r>
              <w:rPr>
                <w:rFonts w:ascii="宋体" w:hAnsi="宋体" w:cs="宋体" w:eastAsia="宋体" w:hint="default"/>
                <w:sz w:val="18"/>
                <w:szCs w:val="18"/>
              </w:rPr>
              <w:t>）</w:t>
            </w:r>
          </w:p>
        </w:tc>
        <w:tc>
          <w:tcPr>
            <w:tcW w:w="2236" w:type="dxa"/>
            <w:vMerge/>
            <w:tcBorders>
              <w:left w:val="single" w:sz="4" w:space="0" w:color="000000"/>
              <w:bottom w:val="single" w:sz="4" w:space="0" w:color="000000"/>
              <w:right w:val="single" w:sz="4" w:space="0" w:color="000000"/>
            </w:tcBorders>
          </w:tcPr>
          <w:p>
            <w:pPr/>
          </w:p>
        </w:tc>
        <w:tc>
          <w:tcPr>
            <w:tcW w:w="1696"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5"/>
          <w:szCs w:val="15"/>
        </w:rPr>
      </w:pPr>
    </w:p>
    <w:p>
      <w:pPr>
        <w:pStyle w:val="BodyText"/>
        <w:spacing w:line="393" w:lineRule="auto" w:before="35"/>
        <w:ind w:left="221" w:right="276" w:firstLine="42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月底，深圳市中级人民法院已裁定深圳市深信西部房地产公司的重整案件执行 </w:t>
      </w:r>
      <w:r>
        <w:rPr>
          <w:spacing w:val="-3"/>
        </w:rPr>
        <w:t>完毕。西部房地产公司重整管理人也按规定的偿债率向上述查封资产的债权人支付了股票，西</w:t>
      </w:r>
      <w:r>
        <w:rPr>
          <w:spacing w:val="-88"/>
        </w:rPr>
        <w:t> </w:t>
      </w:r>
      <w:r>
        <w:rPr>
          <w:spacing w:val="-88"/>
        </w:rPr>
      </w:r>
      <w:r>
        <w:rPr>
          <w:spacing w:val="-3"/>
        </w:rPr>
        <w:t>部房地产公司与上述债权人的债务关系已经解除。但由于资产查封的解除工作尚需时日，因而</w:t>
      </w:r>
      <w:r>
        <w:rPr>
          <w:spacing w:val="-88"/>
        </w:rPr>
        <w:t> </w:t>
      </w:r>
      <w:r>
        <w:rPr>
          <w:spacing w:val="-88"/>
        </w:rPr>
      </w:r>
      <w:r>
        <w:rPr/>
        <w:t>上述资产仍处于查封状态。</w:t>
      </w:r>
    </w:p>
    <w:p>
      <w:pPr>
        <w:pStyle w:val="BodyText"/>
        <w:spacing w:line="240" w:lineRule="auto" w:before="170"/>
        <w:ind w:left="641" w:right="0"/>
        <w:jc w:val="left"/>
        <w:rPr>
          <w:rFonts w:ascii="黑体" w:hAnsi="黑体" w:cs="黑体" w:eastAsia="黑体" w:hint="default"/>
        </w:rPr>
      </w:pPr>
      <w:r>
        <w:rPr>
          <w:rFonts w:ascii="黑体" w:hAnsi="黑体" w:cs="黑体" w:eastAsia="黑体" w:hint="default"/>
        </w:rPr>
        <w:t>附注八、承诺事项</w:t>
      </w:r>
    </w:p>
    <w:p>
      <w:pPr>
        <w:spacing w:line="240" w:lineRule="auto" w:before="4"/>
        <w:rPr>
          <w:rFonts w:ascii="黑体" w:hAnsi="黑体" w:cs="黑体" w:eastAsia="黑体" w:hint="default"/>
          <w:sz w:val="23"/>
          <w:szCs w:val="23"/>
        </w:rPr>
      </w:pPr>
    </w:p>
    <w:p>
      <w:pPr>
        <w:pStyle w:val="BodyText"/>
        <w:spacing w:line="240" w:lineRule="auto"/>
        <w:ind w:left="641" w:right="0"/>
        <w:jc w:val="left"/>
      </w:pPr>
      <w:r>
        <w:rPr/>
        <w:t>无需要披露的重大承诺事项</w:t>
      </w:r>
    </w:p>
    <w:p>
      <w:pPr>
        <w:spacing w:after="0" w:line="240" w:lineRule="auto"/>
        <w:jc w:val="left"/>
        <w:sectPr>
          <w:pgSz w:w="11910" w:h="16840"/>
          <w:pgMar w:header="0" w:footer="893" w:top="1140" w:bottom="1080" w:left="1480" w:right="1420"/>
        </w:sectPr>
      </w:pPr>
    </w:p>
    <w:p>
      <w:pPr>
        <w:spacing w:line="240" w:lineRule="auto" w:before="1"/>
        <w:rPr>
          <w:rFonts w:ascii="宋体" w:hAnsi="宋体" w:cs="宋体" w:eastAsia="宋体" w:hint="default"/>
          <w:sz w:val="27"/>
          <w:szCs w:val="27"/>
        </w:rPr>
      </w:pPr>
    </w:p>
    <w:p>
      <w:pPr>
        <w:pStyle w:val="BodyText"/>
        <w:spacing w:line="506" w:lineRule="auto" w:before="35"/>
        <w:ind w:left="947" w:right="5487" w:hanging="226"/>
        <w:jc w:val="left"/>
        <w:rPr>
          <w:rFonts w:ascii="黑体" w:hAnsi="黑体" w:cs="黑体" w:eastAsia="黑体" w:hint="default"/>
        </w:rPr>
      </w:pPr>
      <w:r>
        <w:rPr>
          <w:rFonts w:ascii="黑体" w:hAnsi="黑体" w:cs="黑体" w:eastAsia="黑体" w:hint="default"/>
        </w:rPr>
        <w:t>附注九、资产负债表日后事项 资产负债表日后利润分配情况说明</w:t>
      </w:r>
    </w:p>
    <w:p>
      <w:pPr>
        <w:pStyle w:val="BodyText"/>
        <w:spacing w:line="240" w:lineRule="auto" w:before="71"/>
        <w:ind w:left="721" w:right="0"/>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24 </w:t>
      </w:r>
      <w:r>
        <w:rPr/>
        <w:t>日，经本公司董事会决议，由于本公司 </w:t>
      </w:r>
      <w:r>
        <w:rPr>
          <w:rFonts w:ascii="Times New Roman" w:hAnsi="Times New Roman" w:cs="Times New Roman" w:eastAsia="Times New Roman" w:hint="default"/>
        </w:rPr>
        <w:t>2010 </w:t>
      </w:r>
      <w:r>
        <w:rPr>
          <w:rFonts w:ascii="Times New Roman" w:hAnsi="Times New Roman" w:cs="Times New Roman" w:eastAsia="Times New Roman" w:hint="default"/>
          <w:spacing w:val="10"/>
        </w:rPr>
        <w:t> </w:t>
      </w:r>
      <w:r>
        <w:rPr/>
        <w:t>年年末可供分配利润为负</w:t>
      </w:r>
    </w:p>
    <w:p>
      <w:pPr>
        <w:pStyle w:val="BodyText"/>
        <w:spacing w:line="379" w:lineRule="auto" w:before="170"/>
        <w:ind w:left="301" w:right="0"/>
        <w:jc w:val="left"/>
      </w:pPr>
      <w:r>
        <w:rPr>
          <w:rFonts w:ascii="Times New Roman" w:hAnsi="Times New Roman" w:cs="Times New Roman" w:eastAsia="Times New Roman" w:hint="default"/>
        </w:rPr>
        <w:t>788,473,036.27</w:t>
      </w:r>
      <w:r>
        <w:rPr>
          <w:rFonts w:ascii="Times New Roman" w:hAnsi="Times New Roman" w:cs="Times New Roman" w:eastAsia="Times New Roman" w:hint="default"/>
          <w:spacing w:val="1"/>
        </w:rPr>
        <w:t> </w:t>
      </w:r>
      <w:r>
        <w:rPr>
          <w:spacing w:val="-3"/>
        </w:rPr>
        <w:t>元、合并报表未分配利润为负</w:t>
      </w:r>
      <w:r>
        <w:rPr>
          <w:spacing w:val="-53"/>
        </w:rPr>
        <w:t> </w:t>
      </w:r>
      <w:r>
        <w:rPr>
          <w:rFonts w:ascii="Times New Roman" w:hAnsi="Times New Roman" w:cs="Times New Roman" w:eastAsia="Times New Roman" w:hint="default"/>
        </w:rPr>
        <w:t>997,657,424.02 </w:t>
      </w:r>
      <w:r>
        <w:rPr>
          <w:spacing w:val="-5"/>
        </w:rPr>
        <w:t>元。董事会建议</w:t>
      </w:r>
      <w:r>
        <w:rPr>
          <w:spacing w:val="-53"/>
        </w:rPr>
        <w:t> </w:t>
      </w:r>
      <w:r>
        <w:rPr>
          <w:rFonts w:ascii="Times New Roman" w:hAnsi="Times New Roman" w:cs="Times New Roman" w:eastAsia="Times New Roman" w:hint="default"/>
        </w:rPr>
        <w:t>2010 </w:t>
      </w:r>
      <w:r>
        <w:rPr/>
        <w:t>年度利润分 配案为：不分配；也不进行公积金转增股本。上述分配预案尚须股东大会审议。</w:t>
      </w:r>
    </w:p>
    <w:p>
      <w:pPr>
        <w:spacing w:line="240" w:lineRule="auto" w:before="13"/>
        <w:rPr>
          <w:rFonts w:ascii="宋体" w:hAnsi="宋体" w:cs="宋体" w:eastAsia="宋体" w:hint="default"/>
          <w:sz w:val="13"/>
          <w:szCs w:val="13"/>
        </w:rPr>
      </w:pPr>
    </w:p>
    <w:p>
      <w:pPr>
        <w:pStyle w:val="BodyText"/>
        <w:spacing w:line="240" w:lineRule="auto"/>
        <w:ind w:left="721" w:right="5487"/>
        <w:jc w:val="left"/>
        <w:rPr>
          <w:rFonts w:ascii="黑体" w:hAnsi="黑体" w:cs="黑体" w:eastAsia="黑体" w:hint="default"/>
        </w:rPr>
      </w:pPr>
      <w:r>
        <w:rPr>
          <w:rFonts w:ascii="黑体" w:hAnsi="黑体" w:cs="黑体" w:eastAsia="黑体" w:hint="default"/>
        </w:rPr>
        <w:t>附注十、其它重要事项</w:t>
      </w:r>
    </w:p>
    <w:p>
      <w:pPr>
        <w:spacing w:line="240" w:lineRule="auto" w:before="5"/>
        <w:rPr>
          <w:rFonts w:ascii="黑体" w:hAnsi="黑体" w:cs="黑体" w:eastAsia="黑体" w:hint="default"/>
          <w:sz w:val="23"/>
          <w:szCs w:val="23"/>
        </w:rPr>
      </w:pPr>
    </w:p>
    <w:p>
      <w:pPr>
        <w:pStyle w:val="BodyText"/>
        <w:spacing w:line="240" w:lineRule="auto"/>
        <w:ind w:left="721" w:right="5487"/>
        <w:jc w:val="left"/>
      </w:pPr>
      <w:r>
        <w:rPr/>
        <w:t>（一）公司重整相关事宜</w:t>
      </w:r>
    </w:p>
    <w:p>
      <w:pPr>
        <w:spacing w:line="240" w:lineRule="auto" w:before="4"/>
        <w:rPr>
          <w:rFonts w:ascii="宋体" w:hAnsi="宋体" w:cs="宋体" w:eastAsia="宋体" w:hint="default"/>
          <w:sz w:val="23"/>
          <w:szCs w:val="23"/>
        </w:rPr>
      </w:pPr>
    </w:p>
    <w:p>
      <w:pPr>
        <w:pStyle w:val="BodyText"/>
        <w:spacing w:line="477" w:lineRule="auto"/>
        <w:ind w:left="721" w:right="790"/>
        <w:jc w:val="left"/>
      </w:pPr>
      <w:r>
        <w:rPr>
          <w:rFonts w:ascii="Times New Roman" w:hAnsi="Times New Roman" w:cs="Times New Roman" w:eastAsia="Times New Roman" w:hint="default"/>
        </w:rPr>
        <w:t>1</w:t>
      </w:r>
      <w:r>
        <w:rPr/>
        <w:t>、重整事项进程 </w:t>
      </w:r>
      <w:r>
        <w:rPr>
          <w:spacing w:val="-3"/>
        </w:rPr>
        <w:t>由于近年来本公司受沉重的历史债务影响，公司已资不抵债，不能清偿到期债务，濒临破</w:t>
      </w:r>
    </w:p>
    <w:p>
      <w:pPr>
        <w:pStyle w:val="BodyText"/>
        <w:spacing w:line="253" w:lineRule="exact"/>
        <w:ind w:left="301" w:right="0"/>
        <w:jc w:val="left"/>
      </w:pPr>
      <w:r>
        <w:rPr/>
        <w:t>产，深圳市华宝（集团）饲料有限公司（以下简称“饲料公司</w:t>
      </w:r>
      <w:r>
        <w:rPr>
          <w:spacing w:val="-105"/>
        </w:rPr>
        <w:t>”</w:t>
      </w:r>
      <w:r>
        <w:rPr/>
        <w:t>）向</w:t>
      </w:r>
      <w:r>
        <w:rPr>
          <w:spacing w:val="-2"/>
        </w:rPr>
        <w:t>深</w:t>
      </w:r>
      <w:r>
        <w:rPr/>
        <w:t>圳市中级人民法院申请</w:t>
      </w:r>
    </w:p>
    <w:p>
      <w:pPr>
        <w:spacing w:line="240" w:lineRule="auto" w:before="2"/>
        <w:rPr>
          <w:rFonts w:ascii="宋体" w:hAnsi="宋体" w:cs="宋体" w:eastAsia="宋体" w:hint="default"/>
          <w:sz w:val="14"/>
          <w:szCs w:val="14"/>
        </w:rPr>
      </w:pPr>
    </w:p>
    <w:p>
      <w:pPr>
        <w:pStyle w:val="BodyText"/>
        <w:spacing w:line="240" w:lineRule="auto"/>
        <w:ind w:left="301" w:right="0"/>
        <w:jc w:val="left"/>
        <w:rPr>
          <w:rFonts w:ascii="Times New Roman" w:hAnsi="Times New Roman" w:cs="Times New Roman" w:eastAsia="Times New Roman" w:hint="default"/>
        </w:rPr>
      </w:pPr>
      <w:r>
        <w:rPr/>
        <w:t>本公司重整。</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t>日，</w:t>
      </w:r>
      <w:r>
        <w:rPr>
          <w:spacing w:val="-2"/>
        </w:rPr>
        <w:t>深</w:t>
      </w:r>
      <w:r>
        <w:rPr/>
        <w:t>圳市中级人民法院以</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t>）深</w:t>
      </w:r>
      <w:r>
        <w:rPr>
          <w:spacing w:val="-2"/>
        </w:rPr>
        <w:t>中</w:t>
      </w:r>
      <w:r>
        <w:rPr/>
        <w:t>法民七重整字第</w:t>
      </w:r>
      <w:r>
        <w:rPr>
          <w:spacing w:val="-45"/>
        </w:rPr>
        <w:t> </w:t>
      </w:r>
      <w:r>
        <w:rPr>
          <w:rFonts w:ascii="Times New Roman" w:hAnsi="Times New Roman" w:cs="Times New Roman" w:eastAsia="Times New Roman" w:hint="default"/>
        </w:rPr>
        <w:t>1-1</w:t>
      </w:r>
    </w:p>
    <w:p>
      <w:pPr>
        <w:pStyle w:val="BodyText"/>
        <w:spacing w:line="240" w:lineRule="auto" w:before="169"/>
        <w:ind w:left="301" w:right="0"/>
        <w:jc w:val="left"/>
      </w:pPr>
      <w:r>
        <w:rPr/>
        <w:t>号</w:t>
      </w:r>
      <w:r>
        <w:rPr>
          <w:spacing w:val="-142"/>
        </w:rPr>
        <w:t>”</w:t>
      </w:r>
      <w:r>
        <w:rPr/>
        <w:t>《民事</w:t>
      </w:r>
      <w:r>
        <w:rPr>
          <w:spacing w:val="-2"/>
        </w:rPr>
        <w:t>裁</w:t>
      </w:r>
      <w:r>
        <w:rPr/>
        <w:t>定书</w:t>
      </w:r>
      <w:r>
        <w:rPr>
          <w:spacing w:val="-38"/>
        </w:rPr>
        <w:t>》</w:t>
      </w:r>
      <w:r>
        <w:rPr/>
        <w:t>裁定</w:t>
      </w:r>
      <w:r>
        <w:rPr>
          <w:spacing w:val="-38"/>
        </w:rPr>
        <w:t>：</w:t>
      </w:r>
      <w:r>
        <w:rPr/>
        <w:t>受理饲料公司提出的对本公司进行重整的申请</w:t>
      </w:r>
      <w:r>
        <w:rPr>
          <w:spacing w:val="-38"/>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t>日，</w:t>
      </w:r>
    </w:p>
    <w:p>
      <w:pPr>
        <w:pStyle w:val="BodyText"/>
        <w:spacing w:line="240" w:lineRule="auto" w:before="170"/>
        <w:ind w:left="301" w:right="0"/>
        <w:jc w:val="left"/>
      </w:pPr>
      <w:r>
        <w:rPr/>
        <w:t>深圳市中级人民法院</w:t>
      </w:r>
      <w:r>
        <w:rPr>
          <w:spacing w:val="-15"/>
        </w:rPr>
        <w:t>以</w:t>
      </w:r>
      <w:r>
        <w:rPr>
          <w:spacing w:val="-105"/>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spacing w:val="-15"/>
        </w:rPr>
        <w:t>）</w:t>
      </w:r>
      <w:r>
        <w:rPr>
          <w:spacing w:val="-2"/>
        </w:rPr>
        <w:t>深</w:t>
      </w:r>
      <w:r>
        <w:rPr/>
        <w:t>中法民七重整字第</w:t>
      </w:r>
      <w:r>
        <w:rPr>
          <w:spacing w:val="-52"/>
        </w:rPr>
        <w:t> </w:t>
      </w:r>
      <w:r>
        <w:rPr>
          <w:rFonts w:ascii="Times New Roman" w:hAnsi="Times New Roman" w:cs="Times New Roman" w:eastAsia="Times New Roman" w:hint="default"/>
        </w:rPr>
        <w:t>1-2 </w:t>
      </w:r>
      <w:r>
        <w:rPr>
          <w:spacing w:val="-2"/>
        </w:rPr>
        <w:t>号</w:t>
      </w:r>
      <w:r>
        <w:rPr>
          <w:spacing w:val="-119"/>
        </w:rPr>
        <w:t>”</w:t>
      </w:r>
      <w:r>
        <w:rPr/>
        <w:t>《民事裁定书</w:t>
      </w:r>
      <w:r>
        <w:rPr>
          <w:spacing w:val="-15"/>
        </w:rPr>
        <w:t>》</w:t>
      </w:r>
      <w:r>
        <w:rPr/>
        <w:t>裁定</w:t>
      </w:r>
      <w:r>
        <w:rPr>
          <w:spacing w:val="-14"/>
        </w:rPr>
        <w:t>：</w:t>
      </w:r>
      <w:r>
        <w:rPr/>
        <w:t>自即日起</w:t>
      </w:r>
    </w:p>
    <w:p>
      <w:pPr>
        <w:pStyle w:val="BodyText"/>
        <w:spacing w:line="240" w:lineRule="auto" w:before="169"/>
        <w:ind w:left="301" w:right="0"/>
        <w:jc w:val="left"/>
        <w:rPr>
          <w:rFonts w:ascii="Times New Roman" w:hAnsi="Times New Roman" w:cs="Times New Roman" w:eastAsia="Times New Roman" w:hint="default"/>
        </w:rPr>
      </w:pPr>
      <w:r>
        <w:rPr/>
        <w:t>对本公司进行重整并指定北京市金杜律师事务所深圳分所为重整管理人。本公司自</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w:t>
      </w:r>
      <w:r>
        <w:rPr>
          <w:spacing w:val="-70"/>
        </w:rPr>
        <w:t> </w:t>
      </w:r>
      <w:r>
        <w:rPr>
          <w:rFonts w:ascii="Times New Roman" w:hAnsi="Times New Roman" w:cs="Times New Roman" w:eastAsia="Times New Roman" w:hint="default"/>
          <w:spacing w:val="-7"/>
        </w:rPr>
        <w:t>11</w:t>
      </w:r>
      <w:r>
        <w:rPr>
          <w:rFonts w:ascii="Times New Roman" w:hAnsi="Times New Roman" w:cs="Times New Roman" w:eastAsia="Times New Roman" w:hint="default"/>
        </w:rPr>
      </w:r>
    </w:p>
    <w:p>
      <w:pPr>
        <w:pStyle w:val="BodyText"/>
        <w:spacing w:line="240" w:lineRule="auto" w:before="169"/>
        <w:ind w:left="301" w:right="0"/>
        <w:jc w:val="left"/>
      </w:pP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日正式进入重整程序，于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日结束重整程序，具体重整进程如下：</w:t>
      </w:r>
    </w:p>
    <w:p>
      <w:pPr>
        <w:spacing w:line="240" w:lineRule="auto" w:before="4"/>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900"/>
        <w:gridCol w:w="2160"/>
        <w:gridCol w:w="1980"/>
        <w:gridCol w:w="4320"/>
      </w:tblGrid>
      <w:tr>
        <w:trPr>
          <w:trHeight w:val="4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6"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98" w:right="0"/>
              <w:jc w:val="left"/>
              <w:rPr>
                <w:rFonts w:ascii="宋体" w:hAnsi="宋体" w:cs="宋体" w:eastAsia="宋体" w:hint="default"/>
                <w:sz w:val="18"/>
                <w:szCs w:val="18"/>
              </w:rPr>
            </w:pPr>
            <w:r>
              <w:rPr>
                <w:rFonts w:ascii="宋体" w:hAnsi="宋体" w:cs="宋体" w:eastAsia="宋体" w:hint="default"/>
                <w:sz w:val="18"/>
                <w:szCs w:val="18"/>
              </w:rPr>
              <w:t>上市公司裁定书号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88" w:right="0"/>
              <w:jc w:val="left"/>
              <w:rPr>
                <w:rFonts w:ascii="宋体" w:hAnsi="宋体" w:cs="宋体" w:eastAsia="宋体" w:hint="default"/>
                <w:sz w:val="18"/>
                <w:szCs w:val="18"/>
              </w:rPr>
            </w:pPr>
            <w:r>
              <w:rPr>
                <w:rFonts w:ascii="宋体" w:hAnsi="宋体" w:cs="宋体" w:eastAsia="宋体" w:hint="default"/>
                <w:sz w:val="18"/>
                <w:szCs w:val="18"/>
              </w:rPr>
              <w:t>裁定书裁定的主要内容</w:t>
            </w:r>
          </w:p>
        </w:tc>
      </w:tr>
      <w:tr>
        <w:trPr>
          <w:trHeight w:val="9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29"/>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1" w:right="102" w:firstLine="270"/>
              <w:jc w:val="both"/>
              <w:rPr>
                <w:rFonts w:ascii="宋体" w:hAnsi="宋体" w:cs="宋体" w:eastAsia="宋体" w:hint="default"/>
                <w:sz w:val="18"/>
                <w:szCs w:val="18"/>
              </w:rPr>
            </w:pPr>
            <w:r>
              <w:rPr>
                <w:rFonts w:ascii="宋体" w:hAnsi="宋体" w:cs="宋体" w:eastAsia="宋体" w:hint="default"/>
                <w:spacing w:val="2"/>
                <w:sz w:val="18"/>
                <w:szCs w:val="18"/>
              </w:rPr>
              <w:t>受理申请人深圳市华宝（集团）饲料有限公司提</w:t>
            </w:r>
            <w:r>
              <w:rPr>
                <w:rFonts w:ascii="宋体" w:hAnsi="宋体" w:cs="宋体" w:eastAsia="宋体" w:hint="default"/>
                <w:sz w:val="18"/>
                <w:szCs w:val="18"/>
              </w:rPr>
              <w:t> </w:t>
            </w:r>
            <w:r>
              <w:rPr>
                <w:rFonts w:ascii="宋体" w:hAnsi="宋体" w:cs="宋体" w:eastAsia="宋体" w:hint="default"/>
                <w:spacing w:val="-2"/>
                <w:sz w:val="18"/>
                <w:szCs w:val="18"/>
              </w:rPr>
              <w:t>出的对被申请人深圳市深信泰丰（集团）股份有限公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司进行重整的申请</w:t>
            </w:r>
          </w:p>
        </w:tc>
      </w:tr>
      <w:tr>
        <w:trPr>
          <w:trHeight w:val="630"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2</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88" w:lineRule="auto"/>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88" w:lineRule="auto" w:before="29"/>
              <w:ind w:left="102" w:right="103" w:firstLine="27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1</w:t>
            </w:r>
            <w:r>
              <w:rPr>
                <w:rFonts w:ascii="宋体" w:hAnsi="宋体" w:cs="宋体" w:eastAsia="宋体" w:hint="default"/>
                <w:spacing w:val="-20"/>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日起对深圳市深信泰丰（集</w:t>
            </w:r>
            <w:r>
              <w:rPr>
                <w:rFonts w:ascii="宋体" w:hAnsi="宋体" w:cs="宋体" w:eastAsia="宋体" w:hint="default"/>
                <w:sz w:val="18"/>
                <w:szCs w:val="18"/>
              </w:rPr>
              <w:t> 团）股份有限公司进行重整；</w:t>
            </w:r>
          </w:p>
        </w:tc>
      </w:tr>
      <w:tr>
        <w:trPr>
          <w:trHeight w:val="581" w:hRule="exact"/>
        </w:trPr>
        <w:tc>
          <w:tcPr>
            <w:tcW w:w="900"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88" w:lineRule="auto" w:before="4"/>
              <w:ind w:left="102" w:right="95" w:firstLine="27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、指定北京市金杜律师事务所深圳分所为管理 </w:t>
            </w:r>
            <w:r>
              <w:rPr>
                <w:rFonts w:ascii="宋体" w:hAnsi="宋体" w:cs="宋体" w:eastAsia="宋体" w:hint="default"/>
                <w:sz w:val="18"/>
                <w:szCs w:val="18"/>
              </w:rPr>
              <w:t>人。</w:t>
            </w:r>
          </w:p>
        </w:tc>
      </w:tr>
      <w:tr>
        <w:trPr>
          <w:trHeight w:val="6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1" w:right="95" w:firstLine="270"/>
              <w:jc w:val="left"/>
              <w:rPr>
                <w:rFonts w:ascii="宋体" w:hAnsi="宋体" w:cs="宋体" w:eastAsia="宋体" w:hint="default"/>
                <w:sz w:val="18"/>
                <w:szCs w:val="18"/>
              </w:rPr>
            </w:pPr>
            <w:r>
              <w:rPr>
                <w:rFonts w:ascii="宋体" w:hAnsi="宋体" w:cs="宋体" w:eastAsia="宋体" w:hint="default"/>
                <w:spacing w:val="7"/>
                <w:sz w:val="18"/>
                <w:szCs w:val="18"/>
              </w:rPr>
              <w:t>召开第一次债权人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核查管理人提交的债权表，均无异议。</w:t>
            </w:r>
          </w:p>
        </w:tc>
      </w:tr>
      <w:tr>
        <w:trPr>
          <w:trHeight w:val="12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88" w:lineRule="auto"/>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1" w:right="102" w:firstLine="270"/>
              <w:jc w:val="left"/>
              <w:rPr>
                <w:rFonts w:ascii="宋体" w:hAnsi="宋体" w:cs="宋体" w:eastAsia="宋体" w:hint="default"/>
                <w:sz w:val="18"/>
                <w:szCs w:val="18"/>
              </w:rPr>
            </w:pPr>
            <w:r>
              <w:rPr>
                <w:rFonts w:ascii="宋体" w:hAnsi="宋体" w:cs="宋体" w:eastAsia="宋体" w:hint="default"/>
                <w:spacing w:val="2"/>
                <w:sz w:val="18"/>
                <w:szCs w:val="18"/>
              </w:rPr>
              <w:t>确认深圳市深信泰丰（集团）股份有限公司管理</w:t>
            </w:r>
            <w:r>
              <w:rPr>
                <w:rFonts w:ascii="宋体" w:hAnsi="宋体" w:cs="宋体" w:eastAsia="宋体" w:hint="default"/>
                <w:sz w:val="18"/>
                <w:szCs w:val="18"/>
              </w:rPr>
              <w:t> 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3"/>
                <w:sz w:val="18"/>
                <w:szCs w:val="18"/>
              </w:rPr>
              <w:t>日提交的《深圳市深信泰丰（集</w:t>
            </w:r>
          </w:p>
          <w:p>
            <w:pPr>
              <w:pStyle w:val="TableParagraph"/>
              <w:spacing w:line="246" w:lineRule="exact"/>
              <w:ind w:left="102" w:right="0"/>
              <w:jc w:val="left"/>
              <w:rPr>
                <w:rFonts w:ascii="宋体" w:hAnsi="宋体" w:cs="宋体" w:eastAsia="宋体" w:hint="default"/>
                <w:sz w:val="18"/>
                <w:szCs w:val="18"/>
              </w:rPr>
            </w:pPr>
            <w:r>
              <w:rPr>
                <w:rFonts w:ascii="宋体" w:hAnsi="宋体" w:cs="宋体" w:eastAsia="宋体" w:hint="default"/>
                <w:sz w:val="18"/>
                <w:szCs w:val="18"/>
              </w:rPr>
              <w:t>团）股份有限公司债权表</w:t>
            </w:r>
            <w:r>
              <w:rPr>
                <w:rFonts w:ascii="宋体" w:hAnsi="宋体" w:cs="宋体" w:eastAsia="宋体" w:hint="default"/>
                <w:spacing w:val="-90"/>
                <w:sz w:val="18"/>
                <w:szCs w:val="18"/>
              </w:rPr>
              <w:t>》</w:t>
            </w:r>
            <w:r>
              <w:rPr>
                <w:rFonts w:ascii="宋体" w:hAnsi="宋体" w:cs="宋体" w:eastAsia="宋体" w:hint="default"/>
                <w:sz w:val="18"/>
                <w:szCs w:val="18"/>
              </w:rPr>
              <w:t>，共计</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户</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笔债权，</w:t>
            </w:r>
          </w:p>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金额共计为人民币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1,265,300,068.49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8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67" w:right="0"/>
              <w:jc w:val="center"/>
              <w:rPr>
                <w:rFonts w:ascii="Times New Roman" w:hAnsi="Times New Roman" w:cs="Times New Roman" w:eastAsia="Times New Roman" w:hint="default"/>
                <w:sz w:val="18"/>
                <w:szCs w:val="18"/>
              </w:rPr>
            </w:pPr>
            <w:r>
              <w:rPr>
                <w:rFonts w:ascii="Times New Roman"/>
                <w:sz w:val="18"/>
              </w:rPr>
              <w:t>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58"/>
              <w:ind w:left="101" w:right="95" w:firstLine="270"/>
              <w:jc w:val="left"/>
              <w:rPr>
                <w:rFonts w:ascii="宋体" w:hAnsi="宋体" w:cs="宋体" w:eastAsia="宋体" w:hint="default"/>
                <w:sz w:val="18"/>
                <w:szCs w:val="18"/>
              </w:rPr>
            </w:pPr>
            <w:r>
              <w:rPr>
                <w:rFonts w:ascii="宋体" w:hAnsi="宋体" w:cs="宋体" w:eastAsia="宋体" w:hint="default"/>
                <w:spacing w:val="7"/>
                <w:sz w:val="18"/>
                <w:szCs w:val="18"/>
              </w:rPr>
              <w:t>召开第二次债权人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1" w:right="95" w:firstLine="270"/>
              <w:jc w:val="left"/>
              <w:rPr>
                <w:rFonts w:ascii="宋体" w:hAnsi="宋体" w:cs="宋体" w:eastAsia="宋体" w:hint="default"/>
                <w:sz w:val="18"/>
                <w:szCs w:val="18"/>
              </w:rPr>
            </w:pPr>
            <w:r>
              <w:rPr>
                <w:rFonts w:ascii="宋体" w:hAnsi="宋体" w:cs="宋体" w:eastAsia="宋体" w:hint="default"/>
                <w:spacing w:val="2"/>
                <w:sz w:val="18"/>
                <w:szCs w:val="18"/>
              </w:rPr>
              <w:t>出席深泰集团第二次债权人会议的有表决权的普</w:t>
            </w:r>
            <w:r>
              <w:rPr>
                <w:rFonts w:ascii="宋体" w:hAnsi="宋体" w:cs="宋体" w:eastAsia="宋体" w:hint="default"/>
                <w:sz w:val="18"/>
                <w:szCs w:val="18"/>
              </w:rPr>
              <w:t> </w:t>
            </w:r>
            <w:r>
              <w:rPr>
                <w:rFonts w:ascii="宋体" w:hAnsi="宋体" w:cs="宋体" w:eastAsia="宋体" w:hint="default"/>
                <w:spacing w:val="5"/>
                <w:sz w:val="18"/>
                <w:szCs w:val="18"/>
              </w:rPr>
              <w:t>通债权人共计 </w:t>
            </w:r>
            <w:r>
              <w:rPr>
                <w:rFonts w:ascii="Times New Roman" w:hAnsi="Times New Roman" w:cs="Times New Roman" w:eastAsia="Times New Roman" w:hint="default"/>
                <w:sz w:val="18"/>
                <w:szCs w:val="18"/>
              </w:rPr>
              <w:t>26 </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家，所代表的债权总额为人民币</w:t>
            </w:r>
            <w:r>
              <w:rPr>
                <w:rFonts w:ascii="宋体" w:hAnsi="宋体" w:cs="宋体" w:eastAsia="宋体" w:hint="default"/>
                <w:sz w:val="18"/>
                <w:szCs w:val="18"/>
              </w:rPr>
            </w:r>
          </w:p>
          <w:p>
            <w:pPr>
              <w:pStyle w:val="TableParagraph"/>
              <w:spacing w:line="246" w:lineRule="exact"/>
              <w:ind w:left="10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1,246,609,169.13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元。其中，不同意的债权人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家，代</w:t>
            </w:r>
          </w:p>
          <w:p>
            <w:pPr>
              <w:pStyle w:val="TableParagraph"/>
              <w:spacing w:line="297" w:lineRule="auto" w:before="51"/>
              <w:ind w:left="102" w:right="102" w:hanging="1"/>
              <w:jc w:val="both"/>
              <w:rPr>
                <w:rFonts w:ascii="宋体" w:hAnsi="宋体" w:cs="宋体" w:eastAsia="宋体" w:hint="default"/>
                <w:sz w:val="18"/>
                <w:szCs w:val="18"/>
              </w:rPr>
            </w:pPr>
            <w:r>
              <w:rPr>
                <w:rFonts w:ascii="宋体" w:hAnsi="宋体" w:cs="宋体" w:eastAsia="宋体" w:hint="default"/>
                <w:sz w:val="18"/>
                <w:szCs w:val="18"/>
              </w:rPr>
              <w:t>表债权额人民币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287,245,906.19 </w:t>
            </w:r>
            <w:r>
              <w:rPr>
                <w:rFonts w:ascii="宋体" w:hAnsi="宋体" w:cs="宋体" w:eastAsia="宋体" w:hint="default"/>
                <w:spacing w:val="-5"/>
                <w:sz w:val="18"/>
                <w:szCs w:val="18"/>
              </w:rPr>
              <w:t>元；同意的债权人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2"/>
                <w:sz w:val="18"/>
                <w:szCs w:val="18"/>
              </w:rPr>
              <w:t>家，已超过出席会议债权人总人数的二分之一，所代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表的债权额为人民币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959,363,262.94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元，占普通债权</w:t>
            </w:r>
          </w:p>
        </w:tc>
      </w:tr>
    </w:tbl>
    <w:p>
      <w:pPr>
        <w:spacing w:after="0" w:line="297" w:lineRule="auto"/>
        <w:jc w:val="both"/>
        <w:rPr>
          <w:rFonts w:ascii="宋体" w:hAnsi="宋体" w:cs="宋体" w:eastAsia="宋体" w:hint="default"/>
          <w:sz w:val="18"/>
          <w:szCs w:val="18"/>
        </w:rPr>
        <w:sectPr>
          <w:pgSz w:w="11910" w:h="16840"/>
          <w:pgMar w:header="0" w:footer="893" w:top="1140" w:bottom="1080" w:left="1400" w:right="900"/>
        </w:sectPr>
      </w:pPr>
    </w:p>
    <w:p>
      <w:pPr>
        <w:spacing w:line="240" w:lineRule="auto" w:before="4"/>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900"/>
        <w:gridCol w:w="2160"/>
        <w:gridCol w:w="1980"/>
        <w:gridCol w:w="4320"/>
      </w:tblGrid>
      <w:tr>
        <w:trPr>
          <w:trHeight w:val="40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6"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98" w:right="0"/>
              <w:jc w:val="left"/>
              <w:rPr>
                <w:rFonts w:ascii="宋体" w:hAnsi="宋体" w:cs="宋体" w:eastAsia="宋体" w:hint="default"/>
                <w:sz w:val="18"/>
                <w:szCs w:val="18"/>
              </w:rPr>
            </w:pPr>
            <w:r>
              <w:rPr>
                <w:rFonts w:ascii="宋体" w:hAnsi="宋体" w:cs="宋体" w:eastAsia="宋体" w:hint="default"/>
                <w:sz w:val="18"/>
                <w:szCs w:val="18"/>
              </w:rPr>
              <w:t>上市公司裁定书号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88" w:right="0"/>
              <w:jc w:val="left"/>
              <w:rPr>
                <w:rFonts w:ascii="宋体" w:hAnsi="宋体" w:cs="宋体" w:eastAsia="宋体" w:hint="default"/>
                <w:sz w:val="18"/>
                <w:szCs w:val="18"/>
              </w:rPr>
            </w:pPr>
            <w:r>
              <w:rPr>
                <w:rFonts w:ascii="宋体" w:hAnsi="宋体" w:cs="宋体" w:eastAsia="宋体" w:hint="default"/>
                <w:sz w:val="18"/>
                <w:szCs w:val="18"/>
              </w:rPr>
              <w:t>裁定书裁定的主要内容</w:t>
            </w:r>
          </w:p>
        </w:tc>
      </w:tr>
      <w:tr>
        <w:trPr>
          <w:trHeight w:val="911"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9"/>
              <w:ind w:left="102" w:right="66"/>
              <w:jc w:val="both"/>
              <w:rPr>
                <w:rFonts w:ascii="宋体" w:hAnsi="宋体" w:cs="宋体" w:eastAsia="宋体" w:hint="default"/>
                <w:sz w:val="18"/>
                <w:szCs w:val="18"/>
              </w:rPr>
            </w:pPr>
            <w:r>
              <w:rPr>
                <w:rFonts w:ascii="宋体" w:hAnsi="宋体" w:cs="宋体" w:eastAsia="宋体" w:hint="default"/>
                <w:sz w:val="18"/>
                <w:szCs w:val="18"/>
              </w:rPr>
              <w:t>总额的 </w:t>
            </w:r>
            <w:r>
              <w:rPr>
                <w:rFonts w:ascii="Times New Roman" w:hAnsi="Times New Roman" w:cs="Times New Roman" w:eastAsia="Times New Roman" w:hint="default"/>
                <w:sz w:val="18"/>
                <w:szCs w:val="18"/>
              </w:rPr>
              <w:t>75.65%</w:t>
            </w:r>
            <w:r>
              <w:rPr>
                <w:rFonts w:ascii="宋体" w:hAnsi="宋体" w:cs="宋体" w:eastAsia="宋体" w:hint="default"/>
                <w:sz w:val="18"/>
                <w:szCs w:val="18"/>
              </w:rPr>
              <w:t>，已超过本组债权总额的三分之二，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深泰集团债权人会议普通债权组通过重整计划草案。</w:t>
            </w:r>
            <w:r>
              <w:rPr>
                <w:rFonts w:ascii="宋体" w:hAnsi="宋体" w:cs="宋体" w:eastAsia="宋体" w:hint="default"/>
                <w:sz w:val="18"/>
                <w:szCs w:val="18"/>
              </w:rPr>
              <w:t> 另股东组通过了重整计划草案中股东权益调整方案。</w:t>
            </w:r>
          </w:p>
        </w:tc>
      </w:tr>
      <w:tr>
        <w:trPr>
          <w:trHeight w:val="630"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6</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88" w:lineRule="auto"/>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88" w:lineRule="auto" w:before="29"/>
              <w:ind w:left="101" w:right="102" w:firstLine="27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、批准深圳市深信泰丰（集团）股份有限公司重</w:t>
            </w:r>
            <w:r>
              <w:rPr>
                <w:rFonts w:ascii="宋体" w:hAnsi="宋体" w:cs="宋体" w:eastAsia="宋体" w:hint="default"/>
                <w:sz w:val="18"/>
                <w:szCs w:val="18"/>
              </w:rPr>
              <w:t> 整计划；</w:t>
            </w:r>
          </w:p>
        </w:tc>
      </w:tr>
      <w:tr>
        <w:trPr>
          <w:trHeight w:val="579" w:hRule="exact"/>
        </w:trPr>
        <w:tc>
          <w:tcPr>
            <w:tcW w:w="900"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88" w:lineRule="auto" w:before="4"/>
              <w:ind w:left="101" w:right="102" w:firstLine="27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、终止深圳市深信泰丰（集团）股份有限公司重</w:t>
            </w:r>
            <w:r>
              <w:rPr>
                <w:rFonts w:ascii="宋体" w:hAnsi="宋体" w:cs="宋体" w:eastAsia="宋体" w:hint="default"/>
                <w:sz w:val="18"/>
                <w:szCs w:val="18"/>
              </w:rPr>
              <w:t> 整程序。</w:t>
            </w:r>
          </w:p>
        </w:tc>
      </w:tr>
      <w:tr>
        <w:trPr>
          <w:trHeight w:val="12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88" w:lineRule="auto"/>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1" w:right="102" w:firstLine="270"/>
              <w:jc w:val="left"/>
              <w:rPr>
                <w:rFonts w:ascii="宋体" w:hAnsi="宋体" w:cs="宋体" w:eastAsia="宋体" w:hint="default"/>
                <w:sz w:val="18"/>
                <w:szCs w:val="18"/>
              </w:rPr>
            </w:pPr>
            <w:r>
              <w:rPr>
                <w:rFonts w:ascii="宋体" w:hAnsi="宋体" w:cs="宋体" w:eastAsia="宋体" w:hint="default"/>
                <w:spacing w:val="2"/>
                <w:sz w:val="18"/>
                <w:szCs w:val="18"/>
              </w:rPr>
              <w:t>确认深圳市深信泰丰（集团）股份有限公司管理</w:t>
            </w:r>
            <w:r>
              <w:rPr>
                <w:rFonts w:ascii="宋体" w:hAnsi="宋体" w:cs="宋体" w:eastAsia="宋体" w:hint="default"/>
                <w:sz w:val="18"/>
                <w:szCs w:val="18"/>
              </w:rPr>
              <w:t> 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日提交的《深圳市深信泰丰（集</w:t>
            </w:r>
          </w:p>
          <w:p>
            <w:pPr>
              <w:pStyle w:val="TableParagraph"/>
              <w:spacing w:line="246" w:lineRule="exact"/>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团）股份有限公司重整案补充债权表</w:t>
            </w:r>
            <w:r>
              <w:rPr>
                <w:rFonts w:ascii="宋体" w:hAnsi="宋体" w:cs="宋体" w:eastAsia="宋体" w:hint="default"/>
                <w:spacing w:val="-90"/>
                <w:sz w:val="18"/>
                <w:szCs w:val="18"/>
              </w:rPr>
              <w:t>》</w:t>
            </w:r>
            <w:r>
              <w:rPr>
                <w:rFonts w:ascii="宋体" w:hAnsi="宋体" w:cs="宋体" w:eastAsia="宋体" w:hint="default"/>
                <w:sz w:val="18"/>
                <w:szCs w:val="18"/>
              </w:rPr>
              <w:t>，共计</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户</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4</w:t>
            </w:r>
          </w:p>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笔债权，金额共计为人民币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2,823,943.00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9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29"/>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1" w:right="103" w:firstLine="270"/>
              <w:jc w:val="left"/>
              <w:rPr>
                <w:rFonts w:ascii="宋体" w:hAnsi="宋体" w:cs="宋体" w:eastAsia="宋体" w:hint="default"/>
                <w:sz w:val="18"/>
                <w:szCs w:val="18"/>
              </w:rPr>
            </w:pPr>
            <w:r>
              <w:rPr>
                <w:rFonts w:ascii="宋体" w:hAnsi="宋体" w:cs="宋体" w:eastAsia="宋体" w:hint="default"/>
                <w:spacing w:val="2"/>
                <w:sz w:val="18"/>
                <w:szCs w:val="18"/>
              </w:rPr>
              <w:t>确认深圳市深信泰丰（集团）股份有限公司重整</w:t>
            </w:r>
            <w:r>
              <w:rPr>
                <w:rFonts w:ascii="宋体" w:hAnsi="宋体" w:cs="宋体" w:eastAsia="宋体" w:hint="default"/>
                <w:sz w:val="18"/>
                <w:szCs w:val="18"/>
              </w:rPr>
              <w:t> 计划执行完毕。</w:t>
            </w:r>
          </w:p>
        </w:tc>
      </w:tr>
    </w:tbl>
    <w:p>
      <w:pPr>
        <w:spacing w:line="240" w:lineRule="auto" w:before="12"/>
        <w:rPr>
          <w:rFonts w:ascii="宋体" w:hAnsi="宋体" w:cs="宋体" w:eastAsia="宋体" w:hint="default"/>
          <w:sz w:val="15"/>
          <w:szCs w:val="15"/>
        </w:rPr>
      </w:pPr>
    </w:p>
    <w:p>
      <w:pPr>
        <w:pStyle w:val="BodyText"/>
        <w:spacing w:line="379" w:lineRule="auto" w:before="35"/>
        <w:ind w:left="301" w:right="687" w:firstLine="420"/>
        <w:jc w:val="left"/>
      </w:pPr>
      <w:r>
        <w:rPr/>
        <w:t>因本公司重整模式采用“</w:t>
      </w:r>
      <w:r>
        <w:rPr>
          <w:rFonts w:ascii="Times New Roman" w:hAnsi="Times New Roman" w:cs="Times New Roman" w:eastAsia="Times New Roman" w:hint="default"/>
        </w:rPr>
        <w:t>1+4</w:t>
      </w:r>
      <w:r>
        <w:rPr/>
        <w:t>”模式，即除本公司外，另将本公司债务沉重的四个子公司 </w:t>
      </w:r>
      <w:r>
        <w:rPr>
          <w:spacing w:val="-1"/>
        </w:rPr>
        <w:t>纳入本公司重整方案进行整体重整。</w:t>
      </w: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spacing w:val="-7"/>
        </w:rPr>
        <w:t>日，深圳市中级人民法院分别以“（</w:t>
      </w:r>
      <w:r>
        <w:rPr>
          <w:rFonts w:ascii="Times New Roman" w:hAnsi="Times New Roman" w:cs="Times New Roman" w:eastAsia="Times New Roman" w:hint="default"/>
          <w:spacing w:val="-7"/>
        </w:rPr>
        <w:t>2010</w:t>
      </w:r>
      <w:r>
        <w:rPr>
          <w:spacing w:val="-7"/>
        </w:rPr>
        <w:t>）</w:t>
      </w:r>
    </w:p>
    <w:p>
      <w:pPr>
        <w:pStyle w:val="BodyText"/>
        <w:spacing w:line="393" w:lineRule="auto" w:before="35"/>
        <w:ind w:left="301" w:right="795"/>
        <w:jc w:val="both"/>
      </w:pPr>
      <w:r>
        <w:rPr/>
        <w:t>深中法民七重整字第</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号</w:t>
      </w:r>
      <w:r>
        <w:rPr>
          <w:spacing w:val="-23"/>
        </w:rPr>
        <w:t>、</w:t>
      </w:r>
      <w:r>
        <w:rPr/>
        <w:t>第</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w:t>
      </w:r>
      <w:r>
        <w:rPr>
          <w:rFonts w:ascii="Times New Roman" w:hAnsi="Times New Roman" w:cs="Times New Roman" w:eastAsia="Times New Roman" w:hint="default"/>
        </w:rPr>
        <w:t>1 </w:t>
      </w:r>
      <w:r>
        <w:rPr>
          <w:spacing w:val="-2"/>
        </w:rPr>
        <w:t>号</w:t>
      </w:r>
      <w:r>
        <w:rPr>
          <w:spacing w:val="-23"/>
        </w:rPr>
        <w:t>、</w:t>
      </w:r>
      <w:r>
        <w:rPr/>
        <w:t>第</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w:t>
      </w:r>
      <w:r>
        <w:rPr>
          <w:rFonts w:ascii="Times New Roman" w:hAnsi="Times New Roman" w:cs="Times New Roman" w:eastAsia="Times New Roman" w:hint="default"/>
        </w:rPr>
        <w:t>1 </w:t>
      </w:r>
      <w:r>
        <w:rPr/>
        <w:t>号</w:t>
      </w:r>
      <w:r>
        <w:rPr>
          <w:spacing w:val="-24"/>
        </w:rPr>
        <w:t>、</w:t>
      </w:r>
      <w:r>
        <w:rPr/>
        <w:t>第</w:t>
      </w:r>
      <w:r>
        <w:rPr>
          <w:spacing w:val="-53"/>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和</w:t>
      </w:r>
      <w:r>
        <w:rPr>
          <w:spacing w:val="-53"/>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w:t>
      </w:r>
      <w:r>
        <w:rPr>
          <w:spacing w:val="-128"/>
        </w:rPr>
        <w:t>”</w:t>
      </w:r>
      <w:r>
        <w:rPr/>
        <w:t>《民事</w:t>
      </w:r>
      <w:r>
        <w:rPr>
          <w:spacing w:val="-2"/>
        </w:rPr>
        <w:t>裁</w:t>
      </w:r>
      <w:r>
        <w:rPr/>
        <w:t>定书</w:t>
      </w:r>
      <w:r>
        <w:rPr>
          <w:spacing w:val="-23"/>
        </w:rPr>
        <w:t>》</w:t>
      </w:r>
      <w:r>
        <w:rPr/>
        <w:t>裁定</w:t>
      </w:r>
      <w:r>
        <w:rPr>
          <w:spacing w:val="-129"/>
        </w:rPr>
        <w:t>：</w:t>
      </w:r>
      <w:r>
        <w:rPr/>
        <w:t>“受</w:t>
      </w:r>
      <w:r>
        <w:rPr/>
        <w:t> 理申请人提出的对饲料公司</w:t>
      </w:r>
      <w:r>
        <w:rPr>
          <w:spacing w:val="-27"/>
        </w:rPr>
        <w:t>、</w:t>
      </w:r>
      <w:r>
        <w:rPr/>
        <w:t>深圳市宝安华宝实业有限公</w:t>
      </w:r>
      <w:r>
        <w:rPr>
          <w:spacing w:val="-27"/>
        </w:rPr>
        <w:t>司</w:t>
      </w:r>
      <w:r>
        <w:rPr/>
        <w:t>（以下简</w:t>
      </w:r>
      <w:r>
        <w:rPr>
          <w:spacing w:val="-27"/>
        </w:rPr>
        <w:t>称</w:t>
      </w:r>
      <w:r>
        <w:rPr/>
        <w:t>“实业公司</w:t>
      </w:r>
      <w:r>
        <w:rPr>
          <w:spacing w:val="-105"/>
        </w:rPr>
        <w:t>”）</w:t>
      </w:r>
      <w:r>
        <w:rPr>
          <w:spacing w:val="-27"/>
        </w:rPr>
        <w:t>、</w:t>
      </w:r>
      <w:r>
        <w:rPr/>
        <w:t>深</w:t>
      </w:r>
      <w:r>
        <w:rPr>
          <w:spacing w:val="-2"/>
        </w:rPr>
        <w:t>圳</w:t>
      </w:r>
      <w:r>
        <w:rPr/>
        <w:t>市</w:t>
      </w:r>
      <w:r>
        <w:rPr/>
        <w:t> 泰丰科技有限公</w:t>
      </w:r>
      <w:r>
        <w:rPr>
          <w:spacing w:val="-27"/>
        </w:rPr>
        <w:t>司</w:t>
      </w:r>
      <w:r>
        <w:rPr/>
        <w:t>（以下简</w:t>
      </w:r>
      <w:r>
        <w:rPr>
          <w:spacing w:val="-27"/>
        </w:rPr>
        <w:t>称</w:t>
      </w:r>
      <w:r>
        <w:rPr/>
        <w:t>“科技公司</w:t>
      </w:r>
      <w:r>
        <w:rPr>
          <w:spacing w:val="-105"/>
        </w:rPr>
        <w:t>”）</w:t>
      </w:r>
      <w:r>
        <w:rPr>
          <w:spacing w:val="-28"/>
        </w:rPr>
        <w:t>、</w:t>
      </w:r>
      <w:r>
        <w:rPr/>
        <w:t>西部房地产公司进行重整的申请</w:t>
      </w:r>
      <w:r>
        <w:rPr>
          <w:spacing w:val="-27"/>
        </w:rPr>
        <w:t>；</w:t>
      </w:r>
      <w:r>
        <w:rPr/>
        <w:t>并自即日起对</w:t>
      </w:r>
      <w:r>
        <w:rPr/>
        <w:t> 四家公司进行重整</w:t>
      </w:r>
      <w:r>
        <w:rPr>
          <w:spacing w:val="-105"/>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日，四子公司结束重整程序。四子公司重整进程如下：</w:t>
      </w:r>
    </w:p>
    <w:p>
      <w:pPr>
        <w:pStyle w:val="Heading3"/>
        <w:spacing w:line="240" w:lineRule="auto" w:before="140"/>
        <w:ind w:left="723" w:right="5487"/>
        <w:jc w:val="left"/>
        <w:rPr>
          <w:b w:val="0"/>
          <w:bCs w:val="0"/>
        </w:rPr>
      </w:pPr>
      <w:r>
        <w:rPr/>
        <w:t>【饲料公司】</w:t>
      </w:r>
      <w:r>
        <w:rPr>
          <w:b w:val="0"/>
          <w:bCs w:val="0"/>
        </w:rPr>
      </w:r>
    </w:p>
    <w:p>
      <w:pPr>
        <w:spacing w:line="240" w:lineRule="auto" w:before="7"/>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900"/>
        <w:gridCol w:w="2160"/>
        <w:gridCol w:w="1980"/>
        <w:gridCol w:w="4320"/>
      </w:tblGrid>
      <w:tr>
        <w:trPr>
          <w:trHeight w:val="4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6"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98" w:right="0"/>
              <w:jc w:val="left"/>
              <w:rPr>
                <w:rFonts w:ascii="宋体" w:hAnsi="宋体" w:cs="宋体" w:eastAsia="宋体" w:hint="default"/>
                <w:sz w:val="18"/>
                <w:szCs w:val="18"/>
              </w:rPr>
            </w:pPr>
            <w:r>
              <w:rPr>
                <w:rFonts w:ascii="宋体" w:hAnsi="宋体" w:cs="宋体" w:eastAsia="宋体" w:hint="default"/>
                <w:sz w:val="18"/>
                <w:szCs w:val="18"/>
              </w:rPr>
              <w:t>饲料公司裁定书号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88" w:right="0"/>
              <w:jc w:val="left"/>
              <w:rPr>
                <w:rFonts w:ascii="宋体" w:hAnsi="宋体" w:cs="宋体" w:eastAsia="宋体" w:hint="default"/>
                <w:sz w:val="18"/>
                <w:szCs w:val="18"/>
              </w:rPr>
            </w:pPr>
            <w:r>
              <w:rPr>
                <w:rFonts w:ascii="宋体" w:hAnsi="宋体" w:cs="宋体" w:eastAsia="宋体" w:hint="default"/>
                <w:sz w:val="18"/>
                <w:szCs w:val="18"/>
              </w:rPr>
              <w:t>裁定书裁定的主要内容</w:t>
            </w:r>
          </w:p>
        </w:tc>
      </w:tr>
      <w:tr>
        <w:trPr>
          <w:trHeight w:val="930"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88" w:lineRule="auto"/>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97" w:lineRule="auto" w:before="29"/>
              <w:ind w:left="101" w:right="102" w:firstLine="27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、受理申请人深圳市恒安投资有限公司提出的对</w:t>
            </w:r>
            <w:r>
              <w:rPr>
                <w:rFonts w:ascii="宋体" w:hAnsi="宋体" w:cs="宋体" w:eastAsia="宋体" w:hint="default"/>
                <w:sz w:val="18"/>
                <w:szCs w:val="18"/>
              </w:rPr>
              <w:t> </w:t>
            </w:r>
            <w:r>
              <w:rPr>
                <w:rFonts w:ascii="宋体" w:hAnsi="宋体" w:cs="宋体" w:eastAsia="宋体" w:hint="default"/>
                <w:spacing w:val="-2"/>
                <w:sz w:val="18"/>
                <w:szCs w:val="18"/>
              </w:rPr>
              <w:t>被申请人深圳市华宝（集团）饲料有限公司进行重整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的申请；</w:t>
            </w:r>
          </w:p>
        </w:tc>
      </w:tr>
      <w:tr>
        <w:trPr>
          <w:trHeight w:val="579" w:hRule="exact"/>
        </w:trPr>
        <w:tc>
          <w:tcPr>
            <w:tcW w:w="900"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88" w:lineRule="auto" w:before="4"/>
              <w:ind w:left="102" w:right="67" w:firstLine="2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日起对深圳市华宝（集团） 饲料有限公司进行重整。</w:t>
            </w:r>
          </w:p>
        </w:tc>
      </w:tr>
      <w:tr>
        <w:trPr>
          <w:trHeight w:val="6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2" w:right="94" w:firstLine="270"/>
              <w:jc w:val="left"/>
              <w:rPr>
                <w:rFonts w:ascii="宋体" w:hAnsi="宋体" w:cs="宋体" w:eastAsia="宋体" w:hint="default"/>
                <w:sz w:val="18"/>
                <w:szCs w:val="18"/>
              </w:rPr>
            </w:pPr>
            <w:r>
              <w:rPr>
                <w:rFonts w:ascii="宋体" w:hAnsi="宋体" w:cs="宋体" w:eastAsia="宋体" w:hint="default"/>
                <w:spacing w:val="7"/>
                <w:sz w:val="18"/>
                <w:szCs w:val="18"/>
              </w:rPr>
              <w:t>召开第一次债权人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核查管理人提交的债权表，均无异议。</w:t>
            </w:r>
          </w:p>
        </w:tc>
      </w:tr>
      <w:tr>
        <w:trPr>
          <w:trHeight w:val="15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88" w:lineRule="auto"/>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71" w:right="0"/>
              <w:jc w:val="left"/>
              <w:rPr>
                <w:rFonts w:ascii="宋体" w:hAnsi="宋体" w:cs="宋体" w:eastAsia="宋体" w:hint="default"/>
                <w:sz w:val="18"/>
                <w:szCs w:val="18"/>
              </w:rPr>
            </w:pPr>
            <w:r>
              <w:rPr>
                <w:rFonts w:ascii="宋体" w:hAnsi="宋体" w:cs="宋体" w:eastAsia="宋体" w:hint="default"/>
                <w:spacing w:val="2"/>
                <w:sz w:val="18"/>
                <w:szCs w:val="18"/>
              </w:rPr>
              <w:t>确认深圳市华宝（集团）饲料有限公司管理人于</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日提交的《深圳市华宝（集团）饲料</w:t>
            </w:r>
          </w:p>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有限公司债权表</w:t>
            </w:r>
            <w:r>
              <w:rPr>
                <w:rFonts w:ascii="宋体" w:hAnsi="宋体" w:cs="宋体" w:eastAsia="宋体" w:hint="default"/>
                <w:spacing w:val="-90"/>
                <w:sz w:val="18"/>
                <w:szCs w:val="18"/>
              </w:rPr>
              <w:t>》</w:t>
            </w:r>
            <w:r>
              <w:rPr>
                <w:rFonts w:ascii="宋体" w:hAnsi="宋体" w:cs="宋体" w:eastAsia="宋体" w:hint="default"/>
                <w:sz w:val="18"/>
                <w:szCs w:val="18"/>
              </w:rPr>
              <w:t>，其中：税款债权</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家</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笔，初步</w:t>
            </w:r>
          </w:p>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确认金额为人民币 </w:t>
            </w:r>
            <w:r>
              <w:rPr>
                <w:rFonts w:ascii="Times New Roman" w:hAnsi="Times New Roman" w:cs="Times New Roman" w:eastAsia="Times New Roman" w:hint="default"/>
                <w:sz w:val="18"/>
                <w:szCs w:val="18"/>
              </w:rPr>
              <w:t>2,076,566.65  </w:t>
            </w:r>
            <w:r>
              <w:rPr>
                <w:rFonts w:ascii="宋体" w:hAnsi="宋体" w:cs="宋体" w:eastAsia="宋体" w:hint="default"/>
                <w:sz w:val="18"/>
                <w:szCs w:val="18"/>
              </w:rPr>
              <w:t>元；普通债权有</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笔，确认金额为人民币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286,273,905.85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5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304" w:lineRule="auto"/>
              <w:ind w:left="101" w:right="95" w:firstLine="270"/>
              <w:jc w:val="left"/>
              <w:rPr>
                <w:rFonts w:ascii="宋体" w:hAnsi="宋体" w:cs="宋体" w:eastAsia="宋体" w:hint="default"/>
                <w:sz w:val="18"/>
                <w:szCs w:val="18"/>
              </w:rPr>
            </w:pPr>
            <w:r>
              <w:rPr>
                <w:rFonts w:ascii="宋体" w:hAnsi="宋体" w:cs="宋体" w:eastAsia="宋体" w:hint="default"/>
                <w:spacing w:val="7"/>
                <w:sz w:val="18"/>
                <w:szCs w:val="18"/>
              </w:rPr>
              <w:t>召开第二次债权人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1" w:right="102" w:firstLine="270"/>
              <w:jc w:val="both"/>
              <w:rPr>
                <w:rFonts w:ascii="宋体" w:hAnsi="宋体" w:cs="宋体" w:eastAsia="宋体" w:hint="default"/>
                <w:sz w:val="18"/>
                <w:szCs w:val="18"/>
              </w:rPr>
            </w:pPr>
            <w:r>
              <w:rPr>
                <w:rFonts w:ascii="宋体" w:hAnsi="宋体" w:cs="宋体" w:eastAsia="宋体" w:hint="default"/>
                <w:spacing w:val="2"/>
                <w:sz w:val="18"/>
                <w:szCs w:val="18"/>
              </w:rPr>
              <w:t>债权人会议按债权分类分设税款债权组和普通债</w:t>
            </w:r>
            <w:r>
              <w:rPr>
                <w:rFonts w:ascii="宋体" w:hAnsi="宋体" w:cs="宋体" w:eastAsia="宋体" w:hint="default"/>
                <w:sz w:val="18"/>
                <w:szCs w:val="18"/>
              </w:rPr>
              <w:t> </w:t>
            </w:r>
            <w:r>
              <w:rPr>
                <w:rFonts w:ascii="宋体" w:hAnsi="宋体" w:cs="宋体" w:eastAsia="宋体" w:hint="default"/>
                <w:spacing w:val="-2"/>
                <w:sz w:val="18"/>
                <w:szCs w:val="18"/>
              </w:rPr>
              <w:t>权组两个表决组对重整计划草案进行表决。税款债权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组中出席会议的债权人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家，同意的债权人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6"/>
                <w:sz w:val="18"/>
                <w:szCs w:val="18"/>
              </w:rPr>
              <w:t>家，所</w:t>
            </w:r>
          </w:p>
          <w:p>
            <w:pPr>
              <w:pStyle w:val="TableParagraph"/>
              <w:spacing w:line="288" w:lineRule="auto"/>
              <w:ind w:left="102" w:right="13"/>
              <w:jc w:val="left"/>
              <w:rPr>
                <w:rFonts w:ascii="宋体" w:hAnsi="宋体" w:cs="宋体" w:eastAsia="宋体" w:hint="default"/>
                <w:sz w:val="18"/>
                <w:szCs w:val="18"/>
              </w:rPr>
            </w:pPr>
            <w:r>
              <w:rPr>
                <w:rFonts w:ascii="宋体" w:hAnsi="宋体" w:cs="宋体" w:eastAsia="宋体" w:hint="default"/>
                <w:sz w:val="18"/>
                <w:szCs w:val="18"/>
              </w:rPr>
              <w:t>代表的税款债权总额为人民币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2,076,566.65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元，占该 组债权总额的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，税款债权组通过重整计划草案。</w:t>
            </w:r>
          </w:p>
        </w:tc>
      </w:tr>
    </w:tbl>
    <w:p>
      <w:pPr>
        <w:spacing w:after="0" w:line="288" w:lineRule="auto"/>
        <w:jc w:val="left"/>
        <w:rPr>
          <w:rFonts w:ascii="宋体" w:hAnsi="宋体" w:cs="宋体" w:eastAsia="宋体" w:hint="default"/>
          <w:sz w:val="18"/>
          <w:szCs w:val="18"/>
        </w:rPr>
        <w:sectPr>
          <w:pgSz w:w="11910" w:h="16840"/>
          <w:pgMar w:header="0" w:footer="893" w:top="1140" w:bottom="1080" w:left="1400" w:right="900"/>
        </w:sectPr>
      </w:pPr>
    </w:p>
    <w:p>
      <w:pPr>
        <w:spacing w:line="240" w:lineRule="auto" w:before="4"/>
        <w:rPr>
          <w:rFonts w:ascii="宋体" w:hAnsi="宋体" w:cs="宋体" w:eastAsia="宋体" w:hint="default"/>
          <w:b/>
          <w:bCs/>
          <w:sz w:val="20"/>
          <w:szCs w:val="20"/>
        </w:rPr>
      </w:pPr>
    </w:p>
    <w:tbl>
      <w:tblPr>
        <w:tblW w:w="0" w:type="auto"/>
        <w:jc w:val="left"/>
        <w:tblInd w:w="116" w:type="dxa"/>
        <w:tblLayout w:type="fixed"/>
        <w:tblCellMar>
          <w:top w:w="0" w:type="dxa"/>
          <w:left w:w="0" w:type="dxa"/>
          <w:bottom w:w="0" w:type="dxa"/>
          <w:right w:w="0" w:type="dxa"/>
        </w:tblCellMar>
        <w:tblLook w:val="01E0"/>
      </w:tblPr>
      <w:tblGrid>
        <w:gridCol w:w="900"/>
        <w:gridCol w:w="2160"/>
        <w:gridCol w:w="1980"/>
        <w:gridCol w:w="4320"/>
      </w:tblGrid>
      <w:tr>
        <w:trPr>
          <w:trHeight w:val="40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6"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98" w:right="0"/>
              <w:jc w:val="left"/>
              <w:rPr>
                <w:rFonts w:ascii="宋体" w:hAnsi="宋体" w:cs="宋体" w:eastAsia="宋体" w:hint="default"/>
                <w:sz w:val="18"/>
                <w:szCs w:val="18"/>
              </w:rPr>
            </w:pPr>
            <w:r>
              <w:rPr>
                <w:rFonts w:ascii="宋体" w:hAnsi="宋体" w:cs="宋体" w:eastAsia="宋体" w:hint="default"/>
                <w:sz w:val="18"/>
                <w:szCs w:val="18"/>
              </w:rPr>
              <w:t>饲料公司裁定书号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88" w:right="0"/>
              <w:jc w:val="left"/>
              <w:rPr>
                <w:rFonts w:ascii="宋体" w:hAnsi="宋体" w:cs="宋体" w:eastAsia="宋体" w:hint="default"/>
                <w:sz w:val="18"/>
                <w:szCs w:val="18"/>
              </w:rPr>
            </w:pPr>
            <w:r>
              <w:rPr>
                <w:rFonts w:ascii="宋体" w:hAnsi="宋体" w:cs="宋体" w:eastAsia="宋体" w:hint="default"/>
                <w:sz w:val="18"/>
                <w:szCs w:val="18"/>
              </w:rPr>
              <w:t>裁定书裁定的主要内容</w:t>
            </w:r>
          </w:p>
        </w:tc>
      </w:tr>
      <w:tr>
        <w:trPr>
          <w:trHeight w:val="2711"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2" w:right="95" w:firstLine="270"/>
              <w:jc w:val="left"/>
              <w:rPr>
                <w:rFonts w:ascii="宋体" w:hAnsi="宋体" w:cs="宋体" w:eastAsia="宋体" w:hint="default"/>
                <w:sz w:val="18"/>
                <w:szCs w:val="18"/>
              </w:rPr>
            </w:pPr>
            <w:r>
              <w:rPr>
                <w:rFonts w:ascii="宋体" w:hAnsi="宋体" w:cs="宋体" w:eastAsia="宋体" w:hint="default"/>
                <w:spacing w:val="2"/>
                <w:sz w:val="18"/>
                <w:szCs w:val="18"/>
              </w:rPr>
              <w:t>出席华宝饲料第二次债权人会议的有表决权的普</w:t>
            </w:r>
            <w:r>
              <w:rPr>
                <w:rFonts w:ascii="宋体" w:hAnsi="宋体" w:cs="宋体" w:eastAsia="宋体" w:hint="default"/>
                <w:sz w:val="18"/>
                <w:szCs w:val="18"/>
              </w:rPr>
              <w:t> </w:t>
            </w:r>
            <w:r>
              <w:rPr>
                <w:rFonts w:ascii="宋体" w:hAnsi="宋体" w:cs="宋体" w:eastAsia="宋体" w:hint="default"/>
                <w:spacing w:val="5"/>
                <w:sz w:val="18"/>
                <w:szCs w:val="18"/>
              </w:rPr>
              <w:t>通债权人共计 </w:t>
            </w: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家，所代表的债权总额为人民币</w:t>
            </w:r>
            <w:r>
              <w:rPr>
                <w:rFonts w:ascii="宋体" w:hAnsi="宋体" w:cs="宋体" w:eastAsia="宋体" w:hint="default"/>
                <w:sz w:val="18"/>
                <w:szCs w:val="18"/>
              </w:rPr>
            </w:r>
          </w:p>
          <w:p>
            <w:pPr>
              <w:pStyle w:val="TableParagraph"/>
              <w:spacing w:line="246" w:lineRule="exact"/>
              <w:ind w:left="10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286,273,905.84 </w:t>
            </w:r>
            <w:r>
              <w:rPr>
                <w:rFonts w:ascii="宋体" w:hAnsi="宋体" w:cs="宋体" w:eastAsia="宋体" w:hint="default"/>
                <w:sz w:val="18"/>
                <w:szCs w:val="18"/>
              </w:rPr>
              <w:t>元。其中，不同意的债权人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家，代</w:t>
            </w:r>
          </w:p>
          <w:p>
            <w:pPr>
              <w:pStyle w:val="TableParagraph"/>
              <w:spacing w:line="295" w:lineRule="auto" w:before="51"/>
              <w:ind w:left="101" w:right="100"/>
              <w:jc w:val="both"/>
              <w:rPr>
                <w:rFonts w:ascii="宋体" w:hAnsi="宋体" w:cs="宋体" w:eastAsia="宋体" w:hint="default"/>
                <w:sz w:val="18"/>
                <w:szCs w:val="18"/>
              </w:rPr>
            </w:pPr>
            <w:r>
              <w:rPr>
                <w:rFonts w:ascii="宋体" w:hAnsi="宋体" w:cs="宋体" w:eastAsia="宋体" w:hint="default"/>
                <w:sz w:val="18"/>
                <w:szCs w:val="18"/>
              </w:rPr>
              <w:t>表债权额人民币 </w:t>
            </w:r>
            <w:r>
              <w:rPr>
                <w:rFonts w:ascii="Times New Roman" w:hAnsi="Times New Roman" w:cs="Times New Roman" w:eastAsia="Times New Roman" w:hint="default"/>
                <w:sz w:val="18"/>
                <w:szCs w:val="18"/>
              </w:rPr>
              <w:t>9,343,720.23 </w:t>
            </w:r>
            <w:r>
              <w:rPr>
                <w:rFonts w:ascii="宋体" w:hAnsi="宋体" w:cs="宋体" w:eastAsia="宋体" w:hint="default"/>
                <w:sz w:val="18"/>
                <w:szCs w:val="18"/>
              </w:rPr>
              <w:t>元；同意的债权人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2"/>
                <w:sz w:val="18"/>
                <w:szCs w:val="18"/>
              </w:rPr>
              <w:t>家，已超过出席会议债权人总人数的二分之一，所代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表的债权额为人民币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276,930,185.61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元，占普通债权 总额的</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96.74%</w:t>
            </w:r>
            <w:r>
              <w:rPr>
                <w:rFonts w:ascii="宋体" w:hAnsi="宋体" w:cs="宋体" w:eastAsia="宋体" w:hint="default"/>
                <w:sz w:val="18"/>
                <w:szCs w:val="18"/>
              </w:rPr>
              <w:t>，已超过本组债权总额的三分之二，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华宝饲料普通债权组通过重整计划草案。另股东组通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过了重整计划草案中股东权益调整方案。</w:t>
            </w:r>
          </w:p>
        </w:tc>
      </w:tr>
      <w:tr>
        <w:trPr>
          <w:trHeight w:val="630"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5</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88" w:lineRule="auto"/>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88" w:lineRule="auto" w:before="29"/>
              <w:ind w:left="101" w:right="102" w:firstLine="27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、批准深圳市华宝（集团）饲料有限公司重整计</w:t>
            </w:r>
            <w:r>
              <w:rPr>
                <w:rFonts w:ascii="宋体" w:hAnsi="宋体" w:cs="宋体" w:eastAsia="宋体" w:hint="default"/>
                <w:sz w:val="18"/>
                <w:szCs w:val="18"/>
              </w:rPr>
              <w:t> 划；</w:t>
            </w:r>
          </w:p>
        </w:tc>
      </w:tr>
      <w:tr>
        <w:trPr>
          <w:trHeight w:val="579" w:hRule="exact"/>
        </w:trPr>
        <w:tc>
          <w:tcPr>
            <w:tcW w:w="900"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88" w:lineRule="auto" w:before="4"/>
              <w:ind w:left="101" w:right="102" w:firstLine="27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、终止深圳市华宝（集团）饲料有限公司重整程</w:t>
            </w:r>
            <w:r>
              <w:rPr>
                <w:rFonts w:ascii="宋体" w:hAnsi="宋体" w:cs="宋体" w:eastAsia="宋体" w:hint="default"/>
                <w:sz w:val="18"/>
                <w:szCs w:val="18"/>
              </w:rPr>
              <w:t> 序。</w:t>
            </w:r>
          </w:p>
        </w:tc>
      </w:tr>
      <w:tr>
        <w:trPr>
          <w:trHeight w:val="9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29"/>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10"/>
              <w:ind w:left="101" w:right="103" w:firstLine="270"/>
              <w:jc w:val="left"/>
              <w:rPr>
                <w:rFonts w:ascii="宋体" w:hAnsi="宋体" w:cs="宋体" w:eastAsia="宋体" w:hint="default"/>
                <w:sz w:val="18"/>
                <w:szCs w:val="18"/>
              </w:rPr>
            </w:pPr>
            <w:r>
              <w:rPr>
                <w:rFonts w:ascii="宋体" w:hAnsi="宋体" w:cs="宋体" w:eastAsia="宋体" w:hint="default"/>
                <w:spacing w:val="2"/>
                <w:sz w:val="18"/>
                <w:szCs w:val="18"/>
              </w:rPr>
              <w:t>确认深圳市华宝（集团）饲料有限公司重整计划</w:t>
            </w:r>
            <w:r>
              <w:rPr>
                <w:rFonts w:ascii="宋体" w:hAnsi="宋体" w:cs="宋体" w:eastAsia="宋体" w:hint="default"/>
                <w:sz w:val="18"/>
                <w:szCs w:val="18"/>
              </w:rPr>
              <w:t> 执行完毕。</w:t>
            </w:r>
          </w:p>
        </w:tc>
      </w:tr>
    </w:tbl>
    <w:p>
      <w:pPr>
        <w:spacing w:line="240" w:lineRule="auto" w:before="12"/>
        <w:rPr>
          <w:rFonts w:ascii="宋体" w:hAnsi="宋体" w:cs="宋体" w:eastAsia="宋体" w:hint="default"/>
          <w:b/>
          <w:bCs/>
          <w:sz w:val="15"/>
          <w:szCs w:val="15"/>
        </w:rPr>
      </w:pPr>
    </w:p>
    <w:p>
      <w:pPr>
        <w:pStyle w:val="Heading3"/>
        <w:spacing w:line="240" w:lineRule="auto" w:before="35"/>
        <w:ind w:left="724" w:right="5487"/>
        <w:jc w:val="left"/>
        <w:rPr>
          <w:b w:val="0"/>
          <w:bCs w:val="0"/>
        </w:rPr>
      </w:pPr>
      <w:r>
        <w:rPr/>
        <w:t>【实业公司】</w:t>
      </w:r>
      <w:r>
        <w:rPr>
          <w:b w:val="0"/>
          <w:bCs w:val="0"/>
        </w:rPr>
      </w:r>
    </w:p>
    <w:p>
      <w:pPr>
        <w:spacing w:line="240" w:lineRule="auto" w:before="7"/>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900"/>
        <w:gridCol w:w="2160"/>
        <w:gridCol w:w="1980"/>
        <w:gridCol w:w="4320"/>
      </w:tblGrid>
      <w:tr>
        <w:trPr>
          <w:trHeight w:val="40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6"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实业公司裁定书号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88" w:right="0"/>
              <w:jc w:val="left"/>
              <w:rPr>
                <w:rFonts w:ascii="宋体" w:hAnsi="宋体" w:cs="宋体" w:eastAsia="宋体" w:hint="default"/>
                <w:sz w:val="18"/>
                <w:szCs w:val="18"/>
              </w:rPr>
            </w:pPr>
            <w:r>
              <w:rPr>
                <w:rFonts w:ascii="宋体" w:hAnsi="宋体" w:cs="宋体" w:eastAsia="宋体" w:hint="default"/>
                <w:sz w:val="18"/>
                <w:szCs w:val="18"/>
              </w:rPr>
              <w:t>裁定书裁定的主要内容</w:t>
            </w:r>
          </w:p>
        </w:tc>
      </w:tr>
      <w:tr>
        <w:trPr>
          <w:trHeight w:val="732"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exact"/>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1" w:right="95" w:firstLine="27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、受理申请人深圳市龙岗区华宝经济发展有限公</w:t>
            </w:r>
            <w:r>
              <w:rPr>
                <w:rFonts w:ascii="宋体" w:hAnsi="宋体" w:cs="宋体" w:eastAsia="宋体" w:hint="default"/>
                <w:sz w:val="18"/>
                <w:szCs w:val="18"/>
              </w:rPr>
              <w:t> </w:t>
            </w:r>
            <w:r>
              <w:rPr>
                <w:rFonts w:ascii="宋体" w:hAnsi="宋体" w:cs="宋体" w:eastAsia="宋体" w:hint="default"/>
                <w:spacing w:val="6"/>
                <w:sz w:val="18"/>
                <w:szCs w:val="18"/>
              </w:rPr>
              <w:t>司提出的对被申请人深圳市宝安华宝实业有限公司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进行重整的申请；</w:t>
            </w:r>
          </w:p>
        </w:tc>
      </w:tr>
      <w:tr>
        <w:trPr>
          <w:trHeight w:val="478" w:hRule="exact"/>
        </w:trPr>
        <w:tc>
          <w:tcPr>
            <w:tcW w:w="900"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日对深圳市宝安华宝实业有</w:t>
            </w:r>
          </w:p>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限公司进行重整。</w:t>
            </w:r>
          </w:p>
        </w:tc>
      </w:tr>
      <w:tr>
        <w:trPr>
          <w:trHeight w:val="49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7" w:right="0"/>
              <w:jc w:val="center"/>
              <w:rPr>
                <w:rFonts w:ascii="Times New Roman" w:hAnsi="Times New Roman" w:cs="Times New Roman" w:eastAsia="Times New Roman" w:hint="default"/>
                <w:sz w:val="18"/>
                <w:szCs w:val="18"/>
              </w:rPr>
            </w:pPr>
            <w:r>
              <w:rPr>
                <w:rFonts w:ascii="Times New Roman"/>
                <w:sz w:val="18"/>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95" w:firstLine="270"/>
              <w:jc w:val="left"/>
              <w:rPr>
                <w:rFonts w:ascii="宋体" w:hAnsi="宋体" w:cs="宋体" w:eastAsia="宋体" w:hint="default"/>
                <w:sz w:val="18"/>
                <w:szCs w:val="18"/>
              </w:rPr>
            </w:pPr>
            <w:r>
              <w:rPr>
                <w:rFonts w:ascii="宋体" w:hAnsi="宋体" w:cs="宋体" w:eastAsia="宋体" w:hint="default"/>
                <w:spacing w:val="7"/>
                <w:sz w:val="18"/>
                <w:szCs w:val="18"/>
              </w:rPr>
              <w:t>召开第一次债权人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1" w:right="0"/>
              <w:jc w:val="left"/>
              <w:rPr>
                <w:rFonts w:ascii="宋体" w:hAnsi="宋体" w:cs="宋体" w:eastAsia="宋体" w:hint="default"/>
                <w:sz w:val="18"/>
                <w:szCs w:val="18"/>
              </w:rPr>
            </w:pPr>
            <w:r>
              <w:rPr>
                <w:rFonts w:ascii="宋体" w:hAnsi="宋体" w:cs="宋体" w:eastAsia="宋体" w:hint="default"/>
                <w:sz w:val="18"/>
                <w:szCs w:val="18"/>
              </w:rPr>
              <w:t>核查管理人提交的债权表，均无异议。</w:t>
            </w: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67" w:right="0"/>
              <w:jc w:val="center"/>
              <w:rPr>
                <w:rFonts w:ascii="Times New Roman" w:hAnsi="Times New Roman" w:cs="Times New Roman" w:eastAsia="Times New Roman" w:hint="default"/>
                <w:sz w:val="18"/>
                <w:szCs w:val="18"/>
              </w:rPr>
            </w:pPr>
            <w:r>
              <w:rPr>
                <w:rFonts w:ascii="Times New Roman"/>
                <w:sz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9"/>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确认深圳市宝安华宝实业有限公司管理人于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2010</w:t>
            </w:r>
          </w:p>
          <w:p>
            <w:pPr>
              <w:pStyle w:val="TableParagraph"/>
              <w:spacing w:line="240" w:lineRule="exact"/>
              <w:ind w:left="10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日提交的《深圳市宝安华宝实业有限公司</w:t>
            </w:r>
          </w:p>
          <w:p>
            <w:pPr>
              <w:pStyle w:val="TableParagraph"/>
              <w:spacing w:line="240" w:lineRule="exact"/>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债权表</w:t>
            </w:r>
            <w:r>
              <w:rPr>
                <w:rFonts w:ascii="宋体" w:hAnsi="宋体" w:cs="宋体" w:eastAsia="宋体" w:hint="default"/>
                <w:spacing w:val="-90"/>
                <w:sz w:val="18"/>
                <w:szCs w:val="18"/>
              </w:rPr>
              <w:t>》</w:t>
            </w:r>
            <w:r>
              <w:rPr>
                <w:rFonts w:ascii="宋体" w:hAnsi="宋体" w:cs="宋体" w:eastAsia="宋体" w:hint="default"/>
                <w:spacing w:val="-64"/>
                <w:sz w:val="18"/>
                <w:szCs w:val="18"/>
              </w:rPr>
              <w:t>，</w:t>
            </w:r>
            <w:r>
              <w:rPr>
                <w:rFonts w:ascii="宋体" w:hAnsi="宋体" w:cs="宋体" w:eastAsia="宋体" w:hint="default"/>
                <w:sz w:val="18"/>
                <w:szCs w:val="18"/>
              </w:rPr>
              <w:t>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笔</w:t>
            </w:r>
            <w:r>
              <w:rPr>
                <w:rFonts w:ascii="宋体" w:hAnsi="宋体" w:cs="宋体" w:eastAsia="宋体" w:hint="default"/>
                <w:spacing w:val="-63"/>
                <w:sz w:val="18"/>
                <w:szCs w:val="18"/>
              </w:rPr>
              <w:t>，</w:t>
            </w:r>
            <w:r>
              <w:rPr>
                <w:rFonts w:ascii="宋体" w:hAnsi="宋体" w:cs="宋体" w:eastAsia="宋体" w:hint="default"/>
                <w:sz w:val="18"/>
                <w:szCs w:val="18"/>
              </w:rPr>
              <w:t>金</w:t>
            </w:r>
            <w:r>
              <w:rPr>
                <w:rFonts w:ascii="宋体" w:hAnsi="宋体" w:cs="宋体" w:eastAsia="宋体" w:hint="default"/>
                <w:spacing w:val="1"/>
                <w:sz w:val="18"/>
                <w:szCs w:val="18"/>
              </w:rPr>
              <w:t>额</w:t>
            </w:r>
            <w:r>
              <w:rPr>
                <w:rFonts w:ascii="宋体" w:hAnsi="宋体" w:cs="宋体" w:eastAsia="宋体" w:hint="default"/>
                <w:sz w:val="18"/>
                <w:szCs w:val="18"/>
              </w:rPr>
              <w:t>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33,722,914.52</w:t>
            </w:r>
          </w:p>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9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267" w:right="0"/>
              <w:jc w:val="center"/>
              <w:rPr>
                <w:rFonts w:ascii="Times New Roman" w:hAnsi="Times New Roman" w:cs="Times New Roman" w:eastAsia="Times New Roman" w:hint="default"/>
                <w:sz w:val="18"/>
                <w:szCs w:val="18"/>
              </w:rPr>
            </w:pPr>
            <w:r>
              <w:rPr>
                <w:rFonts w:ascii="Times New Roman"/>
                <w:sz w:val="18"/>
              </w:rPr>
              <w:t>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4" w:lineRule="auto"/>
              <w:ind w:left="101" w:right="95" w:firstLine="270"/>
              <w:jc w:val="left"/>
              <w:rPr>
                <w:rFonts w:ascii="宋体" w:hAnsi="宋体" w:cs="宋体" w:eastAsia="宋体" w:hint="default"/>
                <w:sz w:val="18"/>
                <w:szCs w:val="18"/>
              </w:rPr>
            </w:pPr>
            <w:r>
              <w:rPr>
                <w:rFonts w:ascii="宋体" w:hAnsi="宋体" w:cs="宋体" w:eastAsia="宋体" w:hint="default"/>
                <w:spacing w:val="7"/>
                <w:sz w:val="18"/>
                <w:szCs w:val="18"/>
              </w:rPr>
              <w:t>召开第二次债权人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89" w:firstLine="270"/>
              <w:jc w:val="both"/>
              <w:rPr>
                <w:rFonts w:ascii="宋体" w:hAnsi="宋体" w:cs="宋体" w:eastAsia="宋体" w:hint="default"/>
                <w:sz w:val="18"/>
                <w:szCs w:val="18"/>
              </w:rPr>
            </w:pPr>
            <w:r>
              <w:rPr>
                <w:rFonts w:ascii="宋体" w:hAnsi="宋体" w:cs="宋体" w:eastAsia="宋体" w:hint="default"/>
                <w:spacing w:val="2"/>
                <w:sz w:val="18"/>
                <w:szCs w:val="18"/>
              </w:rPr>
              <w:t>出席华宝实业第二次债权人会议的有表决权的普</w:t>
            </w:r>
            <w:r>
              <w:rPr>
                <w:rFonts w:ascii="宋体" w:hAnsi="宋体" w:cs="宋体" w:eastAsia="宋体" w:hint="default"/>
                <w:sz w:val="18"/>
                <w:szCs w:val="18"/>
              </w:rPr>
              <w:t> </w:t>
            </w:r>
            <w:r>
              <w:rPr>
                <w:rFonts w:ascii="宋体" w:hAnsi="宋体" w:cs="宋体" w:eastAsia="宋体" w:hint="default"/>
                <w:spacing w:val="9"/>
                <w:sz w:val="18"/>
                <w:szCs w:val="18"/>
              </w:rPr>
              <w:t>通债权人共计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4"/>
                <w:sz w:val="18"/>
                <w:szCs w:val="18"/>
              </w:rPr>
              <w:t> </w:t>
            </w:r>
            <w:r>
              <w:rPr>
                <w:rFonts w:ascii="宋体" w:hAnsi="宋体" w:cs="宋体" w:eastAsia="宋体" w:hint="default"/>
                <w:spacing w:val="11"/>
                <w:sz w:val="18"/>
                <w:szCs w:val="18"/>
              </w:rPr>
              <w:t>家，所代表的债权总额为人民币</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33,722,914.52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元，同意的债权人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家，已超过出席会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议债权人总人数的二分之一，所代表的债权额为人民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33,722,914.52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元，占普通债权总额的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，已超 </w:t>
            </w:r>
            <w:r>
              <w:rPr>
                <w:rFonts w:ascii="宋体" w:hAnsi="宋体" w:cs="宋体" w:eastAsia="宋体" w:hint="default"/>
                <w:spacing w:val="-2"/>
                <w:sz w:val="18"/>
                <w:szCs w:val="18"/>
              </w:rPr>
              <w:t>过本组债权总额的三分之二，华宝实业普通债权组通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过重整计划草案。另股东组通过了重整计划草案中股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东权益调整方案。</w:t>
            </w:r>
          </w:p>
        </w:tc>
      </w:tr>
      <w:tr>
        <w:trPr>
          <w:trHeight w:val="257"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5</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exact"/>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、批准深圳市宝安华宝实业有限公司重整计划；</w:t>
            </w:r>
          </w:p>
        </w:tc>
      </w:tr>
      <w:tr>
        <w:trPr>
          <w:trHeight w:val="474" w:hRule="exact"/>
        </w:trPr>
        <w:tc>
          <w:tcPr>
            <w:tcW w:w="900"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、终止深圳市宝安华宝实业有限公司重整程序。</w:t>
            </w: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1" w:right="0" w:firstLine="27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z w:val="18"/>
                <w:szCs w:val="18"/>
              </w:rPr>
            </w:r>
          </w:p>
          <w:p>
            <w:pPr>
              <w:pStyle w:val="TableParagraph"/>
              <w:spacing w:line="240" w:lineRule="exact" w:before="13"/>
              <w:ind w:left="101" w:right="103"/>
              <w:jc w:val="left"/>
              <w:rPr>
                <w:rFonts w:ascii="宋体" w:hAnsi="宋体" w:cs="宋体" w:eastAsia="宋体" w:hint="default"/>
                <w:sz w:val="18"/>
                <w:szCs w:val="18"/>
              </w:rPr>
            </w:pP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pacing w:val="2"/>
                <w:sz w:val="18"/>
                <w:szCs w:val="18"/>
              </w:rPr>
              <w:t>确认深圳市宝安华宝实业有限公司重整计划执行</w:t>
            </w:r>
          </w:p>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完毕。</w:t>
            </w:r>
          </w:p>
        </w:tc>
      </w:tr>
    </w:tbl>
    <w:p>
      <w:pPr>
        <w:spacing w:line="240" w:lineRule="auto" w:before="12"/>
        <w:rPr>
          <w:rFonts w:ascii="宋体" w:hAnsi="宋体" w:cs="宋体" w:eastAsia="宋体" w:hint="default"/>
          <w:b/>
          <w:bCs/>
          <w:sz w:val="15"/>
          <w:szCs w:val="15"/>
        </w:rPr>
      </w:pPr>
    </w:p>
    <w:p>
      <w:pPr>
        <w:pStyle w:val="Heading3"/>
        <w:spacing w:line="240" w:lineRule="auto" w:before="35"/>
        <w:ind w:left="724" w:right="5487"/>
        <w:jc w:val="left"/>
        <w:rPr>
          <w:b w:val="0"/>
          <w:bCs w:val="0"/>
        </w:rPr>
      </w:pPr>
      <w:r>
        <w:rPr/>
        <w:t>【科技公司】</w:t>
      </w:r>
      <w:r>
        <w:rPr>
          <w:b w:val="0"/>
          <w:bCs w:val="0"/>
        </w:rPr>
      </w:r>
    </w:p>
    <w:p>
      <w:pPr>
        <w:spacing w:line="240" w:lineRule="auto" w:before="7"/>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900"/>
        <w:gridCol w:w="2160"/>
        <w:gridCol w:w="1980"/>
        <w:gridCol w:w="4320"/>
      </w:tblGrid>
      <w:tr>
        <w:trPr>
          <w:trHeight w:val="40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6"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科技公司裁定书号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88" w:right="0"/>
              <w:jc w:val="left"/>
              <w:rPr>
                <w:rFonts w:ascii="宋体" w:hAnsi="宋体" w:cs="宋体" w:eastAsia="宋体" w:hint="default"/>
                <w:sz w:val="18"/>
                <w:szCs w:val="18"/>
              </w:rPr>
            </w:pPr>
            <w:r>
              <w:rPr>
                <w:rFonts w:ascii="宋体" w:hAnsi="宋体" w:cs="宋体" w:eastAsia="宋体" w:hint="default"/>
                <w:sz w:val="18"/>
                <w:szCs w:val="18"/>
              </w:rPr>
              <w:t>裁定书裁定的主要内容</w:t>
            </w:r>
          </w:p>
        </w:tc>
      </w:tr>
      <w:tr>
        <w:trPr>
          <w:trHeight w:val="49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7" w:right="0"/>
              <w:jc w:val="center"/>
              <w:rPr>
                <w:rFonts w:ascii="Times New Roman" w:hAnsi="Times New Roman" w:cs="Times New Roman" w:eastAsia="Times New Roman" w:hint="default"/>
                <w:sz w:val="18"/>
                <w:szCs w:val="18"/>
              </w:rPr>
            </w:pPr>
            <w:r>
              <w:rPr>
                <w:rFonts w:ascii="Times New Roman"/>
                <w:sz w:val="18"/>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95" w:firstLine="27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号《民</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66" w:firstLine="27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、受理申请人深圳达泰宁科技有限公司提出的对</w:t>
            </w:r>
            <w:r>
              <w:rPr>
                <w:rFonts w:ascii="宋体" w:hAnsi="宋体" w:cs="宋体" w:eastAsia="宋体" w:hint="default"/>
                <w:sz w:val="18"/>
                <w:szCs w:val="18"/>
              </w:rPr>
              <w:t> 被申请人深圳市泰丰科技有限公司进行重整的申请；</w:t>
            </w:r>
          </w:p>
        </w:tc>
      </w:tr>
    </w:tbl>
    <w:p>
      <w:pPr>
        <w:spacing w:after="0" w:line="240" w:lineRule="exact"/>
        <w:jc w:val="left"/>
        <w:rPr>
          <w:rFonts w:ascii="宋体" w:hAnsi="宋体" w:cs="宋体" w:eastAsia="宋体" w:hint="default"/>
          <w:sz w:val="18"/>
          <w:szCs w:val="18"/>
        </w:rPr>
        <w:sectPr>
          <w:pgSz w:w="11910" w:h="16840"/>
          <w:pgMar w:header="0" w:footer="893" w:top="1140" w:bottom="1080" w:left="1400" w:right="900"/>
        </w:sectPr>
      </w:pPr>
    </w:p>
    <w:p>
      <w:pPr>
        <w:spacing w:line="240" w:lineRule="auto" w:before="4"/>
        <w:rPr>
          <w:rFonts w:ascii="宋体" w:hAnsi="宋体" w:cs="宋体" w:eastAsia="宋体" w:hint="default"/>
          <w:b/>
          <w:bCs/>
          <w:sz w:val="20"/>
          <w:szCs w:val="20"/>
        </w:rPr>
      </w:pPr>
    </w:p>
    <w:tbl>
      <w:tblPr>
        <w:tblW w:w="0" w:type="auto"/>
        <w:jc w:val="left"/>
        <w:tblInd w:w="116" w:type="dxa"/>
        <w:tblLayout w:type="fixed"/>
        <w:tblCellMar>
          <w:top w:w="0" w:type="dxa"/>
          <w:left w:w="0" w:type="dxa"/>
          <w:bottom w:w="0" w:type="dxa"/>
          <w:right w:w="0" w:type="dxa"/>
        </w:tblCellMar>
        <w:tblLook w:val="01E0"/>
      </w:tblPr>
      <w:tblGrid>
        <w:gridCol w:w="900"/>
        <w:gridCol w:w="2160"/>
        <w:gridCol w:w="1980"/>
        <w:gridCol w:w="4320"/>
      </w:tblGrid>
      <w:tr>
        <w:trPr>
          <w:trHeight w:val="40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6"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科技公司裁定书号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88" w:right="0"/>
              <w:jc w:val="left"/>
              <w:rPr>
                <w:rFonts w:ascii="宋体" w:hAnsi="宋体" w:cs="宋体" w:eastAsia="宋体" w:hint="default"/>
                <w:sz w:val="18"/>
                <w:szCs w:val="18"/>
              </w:rPr>
            </w:pPr>
            <w:r>
              <w:rPr>
                <w:rFonts w:ascii="宋体" w:hAnsi="宋体" w:cs="宋体" w:eastAsia="宋体" w:hint="default"/>
                <w:sz w:val="18"/>
                <w:szCs w:val="18"/>
              </w:rPr>
              <w:t>裁定书裁定的主要内容</w:t>
            </w:r>
          </w:p>
        </w:tc>
      </w:tr>
      <w:tr>
        <w:trPr>
          <w:trHeight w:val="490"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102" w:firstLine="269"/>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日起对深圳市泰丰科技有限 公司进行重整。</w:t>
            </w:r>
          </w:p>
        </w:tc>
      </w:tr>
      <w:tr>
        <w:trPr>
          <w:trHeight w:val="49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7" w:right="0"/>
              <w:jc w:val="center"/>
              <w:rPr>
                <w:rFonts w:ascii="Times New Roman" w:hAnsi="Times New Roman" w:cs="Times New Roman" w:eastAsia="Times New Roman" w:hint="default"/>
                <w:sz w:val="18"/>
                <w:szCs w:val="18"/>
              </w:rPr>
            </w:pPr>
            <w:r>
              <w:rPr>
                <w:rFonts w:ascii="Times New Roman"/>
                <w:sz w:val="18"/>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95" w:firstLine="270"/>
              <w:jc w:val="left"/>
              <w:rPr>
                <w:rFonts w:ascii="宋体" w:hAnsi="宋体" w:cs="宋体" w:eastAsia="宋体" w:hint="default"/>
                <w:sz w:val="18"/>
                <w:szCs w:val="18"/>
              </w:rPr>
            </w:pPr>
            <w:r>
              <w:rPr>
                <w:rFonts w:ascii="宋体" w:hAnsi="宋体" w:cs="宋体" w:eastAsia="宋体" w:hint="default"/>
                <w:spacing w:val="7"/>
                <w:sz w:val="18"/>
                <w:szCs w:val="18"/>
              </w:rPr>
              <w:t>召开第一次债权人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1" w:right="0"/>
              <w:jc w:val="left"/>
              <w:rPr>
                <w:rFonts w:ascii="宋体" w:hAnsi="宋体" w:cs="宋体" w:eastAsia="宋体" w:hint="default"/>
                <w:sz w:val="18"/>
                <w:szCs w:val="18"/>
              </w:rPr>
            </w:pPr>
            <w:r>
              <w:rPr>
                <w:rFonts w:ascii="宋体" w:hAnsi="宋体" w:cs="宋体" w:eastAsia="宋体" w:hint="default"/>
                <w:sz w:val="18"/>
                <w:szCs w:val="18"/>
              </w:rPr>
              <w:t>核查管理人提交的债权表，均无异议。</w:t>
            </w: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1" w:right="0" w:firstLine="27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z w:val="18"/>
                <w:szCs w:val="18"/>
              </w:rPr>
            </w:r>
          </w:p>
          <w:p>
            <w:pPr>
              <w:pStyle w:val="TableParagraph"/>
              <w:spacing w:line="240" w:lineRule="exact" w:before="13"/>
              <w:ind w:left="101" w:right="103"/>
              <w:jc w:val="left"/>
              <w:rPr>
                <w:rFonts w:ascii="宋体" w:hAnsi="宋体" w:cs="宋体" w:eastAsia="宋体" w:hint="default"/>
                <w:sz w:val="18"/>
                <w:szCs w:val="18"/>
              </w:rPr>
            </w:pP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确认深圳市泰丰科技有限公司管理人于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p>
            <w:pPr>
              <w:pStyle w:val="TableParagraph"/>
              <w:spacing w:line="240"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日提交</w:t>
            </w:r>
            <w:r>
              <w:rPr>
                <w:rFonts w:ascii="宋体" w:hAnsi="宋体" w:cs="宋体" w:eastAsia="宋体" w:hint="default"/>
                <w:spacing w:val="1"/>
                <w:sz w:val="18"/>
                <w:szCs w:val="18"/>
              </w:rPr>
              <w:t>的</w:t>
            </w:r>
            <w:r>
              <w:rPr>
                <w:rFonts w:ascii="宋体" w:hAnsi="宋体" w:cs="宋体" w:eastAsia="宋体" w:hint="default"/>
                <w:sz w:val="18"/>
                <w:szCs w:val="18"/>
              </w:rPr>
              <w:t>《深圳市泰丰科技有限公司债权表</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5" w:lineRule="exact"/>
              <w:ind w:left="102" w:right="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笔，金额为人民币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145,763,411.27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21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4" w:lineRule="auto"/>
              <w:ind w:left="101" w:right="95" w:firstLine="270"/>
              <w:jc w:val="left"/>
              <w:rPr>
                <w:rFonts w:ascii="宋体" w:hAnsi="宋体" w:cs="宋体" w:eastAsia="宋体" w:hint="default"/>
                <w:sz w:val="18"/>
                <w:szCs w:val="18"/>
              </w:rPr>
            </w:pPr>
            <w:r>
              <w:rPr>
                <w:rFonts w:ascii="宋体" w:hAnsi="宋体" w:cs="宋体" w:eastAsia="宋体" w:hint="default"/>
                <w:spacing w:val="7"/>
                <w:sz w:val="18"/>
                <w:szCs w:val="18"/>
              </w:rPr>
              <w:t>召开第二次债权人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95" w:firstLine="270"/>
              <w:jc w:val="left"/>
              <w:rPr>
                <w:rFonts w:ascii="宋体" w:hAnsi="宋体" w:cs="宋体" w:eastAsia="宋体" w:hint="default"/>
                <w:sz w:val="18"/>
                <w:szCs w:val="18"/>
              </w:rPr>
            </w:pPr>
            <w:r>
              <w:rPr>
                <w:rFonts w:ascii="宋体" w:hAnsi="宋体" w:cs="宋体" w:eastAsia="宋体" w:hint="default"/>
                <w:spacing w:val="2"/>
                <w:sz w:val="18"/>
                <w:szCs w:val="18"/>
              </w:rPr>
              <w:t>出席泰丰科技第二次债权人会议的有表决权的普</w:t>
            </w:r>
            <w:r>
              <w:rPr>
                <w:rFonts w:ascii="宋体" w:hAnsi="宋体" w:cs="宋体" w:eastAsia="宋体" w:hint="default"/>
                <w:sz w:val="18"/>
                <w:szCs w:val="18"/>
              </w:rPr>
              <w:t> </w:t>
            </w:r>
            <w:r>
              <w:rPr>
                <w:rFonts w:ascii="宋体" w:hAnsi="宋体" w:cs="宋体" w:eastAsia="宋体" w:hint="default"/>
                <w:spacing w:val="5"/>
                <w:sz w:val="18"/>
                <w:szCs w:val="18"/>
              </w:rPr>
              <w:t>通债权人共计 </w:t>
            </w:r>
            <w:r>
              <w:rPr>
                <w:rFonts w:ascii="Times New Roman" w:hAnsi="Times New Roman" w:cs="Times New Roman" w:eastAsia="Times New Roman" w:hint="default"/>
                <w:sz w:val="18"/>
                <w:szCs w:val="18"/>
              </w:rPr>
              <w:t>57 </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家，所代表的债权总额为人民币</w:t>
            </w:r>
            <w:r>
              <w:rPr>
                <w:rFonts w:ascii="宋体" w:hAnsi="宋体" w:cs="宋体" w:eastAsia="宋体" w:hint="default"/>
                <w:sz w:val="18"/>
                <w:szCs w:val="18"/>
              </w:rPr>
            </w:r>
          </w:p>
          <w:p>
            <w:pPr>
              <w:pStyle w:val="TableParagraph"/>
              <w:spacing w:line="226" w:lineRule="exact"/>
              <w:ind w:left="10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129,412,054.71 </w:t>
            </w:r>
            <w:r>
              <w:rPr>
                <w:rFonts w:ascii="宋体" w:hAnsi="宋体" w:cs="宋体" w:eastAsia="宋体" w:hint="default"/>
                <w:sz w:val="18"/>
                <w:szCs w:val="18"/>
              </w:rPr>
              <w:t>元。其中，不同意的债权人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家，代</w:t>
            </w:r>
          </w:p>
          <w:p>
            <w:pPr>
              <w:pStyle w:val="TableParagraph"/>
              <w:spacing w:line="240" w:lineRule="exact" w:before="13"/>
              <w:ind w:left="101" w:right="66"/>
              <w:jc w:val="both"/>
              <w:rPr>
                <w:rFonts w:ascii="宋体" w:hAnsi="宋体" w:cs="宋体" w:eastAsia="宋体" w:hint="default"/>
                <w:sz w:val="18"/>
                <w:szCs w:val="18"/>
              </w:rPr>
            </w:pPr>
            <w:r>
              <w:rPr>
                <w:rFonts w:ascii="宋体" w:hAnsi="宋体" w:cs="宋体" w:eastAsia="宋体" w:hint="default"/>
                <w:sz w:val="18"/>
                <w:szCs w:val="18"/>
              </w:rPr>
              <w:t>表债权额人民币 </w:t>
            </w:r>
            <w:r>
              <w:rPr>
                <w:rFonts w:ascii="Times New Roman" w:hAnsi="Times New Roman" w:cs="Times New Roman" w:eastAsia="Times New Roman" w:hint="default"/>
                <w:sz w:val="18"/>
                <w:szCs w:val="18"/>
              </w:rPr>
              <w:t>3,409,411.62 </w:t>
            </w:r>
            <w:r>
              <w:rPr>
                <w:rFonts w:ascii="宋体" w:hAnsi="宋体" w:cs="宋体" w:eastAsia="宋体" w:hint="default"/>
                <w:sz w:val="18"/>
                <w:szCs w:val="18"/>
              </w:rPr>
              <w:t>元；同意的债权人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54 </w:t>
            </w:r>
            <w:r>
              <w:rPr>
                <w:rFonts w:ascii="宋体" w:hAnsi="宋体" w:cs="宋体" w:eastAsia="宋体" w:hint="default"/>
                <w:spacing w:val="-2"/>
                <w:sz w:val="18"/>
                <w:szCs w:val="18"/>
              </w:rPr>
              <w:t>家，已超过出席会议债权人总人数的二分之一，所代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表的债权额为人民币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126,002,643.09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元，占普通债权 总额的 </w:t>
            </w:r>
            <w:r>
              <w:rPr>
                <w:rFonts w:ascii="Times New Roman" w:hAnsi="Times New Roman" w:cs="Times New Roman" w:eastAsia="Times New Roman" w:hint="default"/>
                <w:sz w:val="18"/>
                <w:szCs w:val="18"/>
              </w:rPr>
              <w:t>86.41%</w:t>
            </w:r>
            <w:r>
              <w:rPr>
                <w:rFonts w:ascii="宋体" w:hAnsi="宋体" w:cs="宋体" w:eastAsia="宋体" w:hint="default"/>
                <w:sz w:val="18"/>
                <w:szCs w:val="18"/>
              </w:rPr>
              <w:t>，已超过本组债权总额的三分之二，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泰丰科技债权人会议普通债权组通过重整计划草案。</w:t>
            </w:r>
            <w:r>
              <w:rPr>
                <w:rFonts w:ascii="宋体" w:hAnsi="宋体" w:cs="宋体" w:eastAsia="宋体" w:hint="default"/>
                <w:sz w:val="18"/>
                <w:szCs w:val="18"/>
              </w:rPr>
              <w:t> 另股东组通过了重整计划草案中股东权益调整方案。</w:t>
            </w:r>
          </w:p>
        </w:tc>
      </w:tr>
      <w:tr>
        <w:trPr>
          <w:trHeight w:val="257"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5</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exact"/>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、批准深圳市泰丰科技有限公司重整计划；</w:t>
            </w:r>
          </w:p>
        </w:tc>
      </w:tr>
      <w:tr>
        <w:trPr>
          <w:trHeight w:val="474" w:hRule="exact"/>
        </w:trPr>
        <w:tc>
          <w:tcPr>
            <w:tcW w:w="900"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、终止深圳市泰丰科技有限公司重整程序。</w:t>
            </w: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67" w:right="0"/>
              <w:jc w:val="center"/>
              <w:rPr>
                <w:rFonts w:ascii="Times New Roman" w:hAnsi="Times New Roman" w:cs="Times New Roman" w:eastAsia="Times New Roman" w:hint="default"/>
                <w:sz w:val="18"/>
                <w:szCs w:val="18"/>
              </w:rPr>
            </w:pPr>
            <w:r>
              <w:rPr>
                <w:rFonts w:ascii="Times New Roman"/>
                <w:sz w:val="18"/>
              </w:rPr>
              <w:t>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9"/>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确认深圳市泰丰科技有限公司管理人于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p>
            <w:pPr>
              <w:pStyle w:val="TableParagraph"/>
              <w:spacing w:line="240" w:lineRule="exact"/>
              <w:ind w:left="102"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日提交的《深圳市泰丰科技有限公司重整案补</w:t>
            </w:r>
          </w:p>
          <w:p>
            <w:pPr>
              <w:pStyle w:val="TableParagraph"/>
              <w:spacing w:line="240" w:lineRule="exact"/>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充债权表</w:t>
            </w:r>
            <w:r>
              <w:rPr>
                <w:rFonts w:ascii="宋体" w:hAnsi="宋体" w:cs="宋体" w:eastAsia="宋体" w:hint="default"/>
                <w:spacing w:val="-90"/>
                <w:sz w:val="18"/>
                <w:szCs w:val="18"/>
              </w:rPr>
              <w:t>》</w:t>
            </w:r>
            <w:r>
              <w:rPr>
                <w:rFonts w:ascii="宋体" w:hAnsi="宋体" w:cs="宋体" w:eastAsia="宋体" w:hint="default"/>
                <w:sz w:val="18"/>
                <w:szCs w:val="18"/>
              </w:rPr>
              <w:t>，共计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笔，金额为人民币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58,927.04</w:t>
            </w:r>
          </w:p>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73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88" w:firstLine="270"/>
              <w:jc w:val="left"/>
              <w:rPr>
                <w:rFonts w:ascii="宋体" w:hAnsi="宋体" w:cs="宋体" w:eastAsia="宋体" w:hint="default"/>
                <w:sz w:val="18"/>
                <w:szCs w:val="18"/>
              </w:rPr>
            </w:pPr>
            <w:r>
              <w:rPr>
                <w:rFonts w:ascii="宋体" w:hAnsi="宋体" w:cs="宋体" w:eastAsia="宋体" w:hint="default"/>
                <w:spacing w:val="12"/>
                <w:sz w:val="18"/>
                <w:szCs w:val="18"/>
              </w:rPr>
              <w:t>确认深圳市泰丰科技有限公司重整计划执行完 </w:t>
            </w:r>
            <w:r>
              <w:rPr>
                <w:rFonts w:ascii="宋体" w:hAnsi="宋体" w:cs="宋体" w:eastAsia="宋体" w:hint="default"/>
                <w:sz w:val="18"/>
                <w:szCs w:val="18"/>
              </w:rPr>
              <w:t>毕。</w:t>
            </w:r>
          </w:p>
        </w:tc>
      </w:tr>
    </w:tbl>
    <w:p>
      <w:pPr>
        <w:spacing w:line="240" w:lineRule="auto" w:before="12"/>
        <w:rPr>
          <w:rFonts w:ascii="宋体" w:hAnsi="宋体" w:cs="宋体" w:eastAsia="宋体" w:hint="default"/>
          <w:b/>
          <w:bCs/>
          <w:sz w:val="15"/>
          <w:szCs w:val="15"/>
        </w:rPr>
      </w:pPr>
    </w:p>
    <w:p>
      <w:pPr>
        <w:pStyle w:val="Heading3"/>
        <w:spacing w:line="240" w:lineRule="auto" w:before="35"/>
        <w:ind w:left="724" w:right="5487"/>
        <w:jc w:val="left"/>
        <w:rPr>
          <w:b w:val="0"/>
          <w:bCs w:val="0"/>
        </w:rPr>
      </w:pPr>
      <w:r>
        <w:rPr/>
        <w:t>【西部房地产公司】</w:t>
      </w:r>
      <w:r>
        <w:rPr>
          <w:b w:val="0"/>
          <w:bCs w:val="0"/>
        </w:rPr>
      </w:r>
    </w:p>
    <w:p>
      <w:pPr>
        <w:spacing w:line="240" w:lineRule="auto" w:before="7"/>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900"/>
        <w:gridCol w:w="2160"/>
        <w:gridCol w:w="1980"/>
        <w:gridCol w:w="4320"/>
      </w:tblGrid>
      <w:tr>
        <w:trPr>
          <w:trHeight w:val="40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6"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西部公司裁定书号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88" w:right="0"/>
              <w:jc w:val="left"/>
              <w:rPr>
                <w:rFonts w:ascii="宋体" w:hAnsi="宋体" w:cs="宋体" w:eastAsia="宋体" w:hint="default"/>
                <w:sz w:val="18"/>
                <w:szCs w:val="18"/>
              </w:rPr>
            </w:pPr>
            <w:r>
              <w:rPr>
                <w:rFonts w:ascii="宋体" w:hAnsi="宋体" w:cs="宋体" w:eastAsia="宋体" w:hint="default"/>
                <w:sz w:val="18"/>
                <w:szCs w:val="18"/>
              </w:rPr>
              <w:t>裁定书裁定的主要内容</w:t>
            </w: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95" w:firstLine="270"/>
              <w:jc w:val="both"/>
              <w:rPr>
                <w:rFonts w:ascii="宋体" w:hAnsi="宋体" w:cs="宋体" w:eastAsia="宋体" w:hint="default"/>
                <w:sz w:val="18"/>
                <w:szCs w:val="18"/>
              </w:rPr>
            </w:pPr>
            <w:r>
              <w:rPr>
                <w:rFonts w:ascii="宋体" w:hAnsi="宋体" w:cs="宋体" w:eastAsia="宋体" w:hint="default"/>
                <w:spacing w:val="2"/>
                <w:sz w:val="18"/>
                <w:szCs w:val="18"/>
              </w:rPr>
              <w:t>不予受理申请人深圳市宝安建鑫实业有限公司提</w:t>
            </w:r>
            <w:r>
              <w:rPr>
                <w:rFonts w:ascii="宋体" w:hAnsi="宋体" w:cs="宋体" w:eastAsia="宋体" w:hint="default"/>
                <w:sz w:val="18"/>
                <w:szCs w:val="18"/>
              </w:rPr>
              <w:t> </w:t>
            </w:r>
            <w:r>
              <w:rPr>
                <w:rFonts w:ascii="宋体" w:hAnsi="宋体" w:cs="宋体" w:eastAsia="宋体" w:hint="default"/>
                <w:spacing w:val="6"/>
                <w:sz w:val="18"/>
                <w:szCs w:val="18"/>
              </w:rPr>
              <w:t>出的对被申请人深圳市深信西部房地产有限公司进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行破产清算的申请。</w:t>
            </w:r>
          </w:p>
        </w:tc>
      </w:tr>
      <w:tr>
        <w:trPr>
          <w:trHeight w:val="492"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533" w:right="0"/>
              <w:jc w:val="left"/>
              <w:rPr>
                <w:rFonts w:ascii="Times New Roman" w:hAnsi="Times New Roman" w:cs="Times New Roman" w:eastAsia="Times New Roman" w:hint="default"/>
                <w:sz w:val="18"/>
                <w:szCs w:val="18"/>
              </w:rPr>
            </w:pPr>
            <w:r>
              <w:rPr>
                <w:rFonts w:ascii="Times New Roman"/>
                <w:sz w:val="18"/>
              </w:rPr>
              <w:t>2</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exact" w:before="120"/>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1" w:right="102" w:firstLine="27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、受理申请人深圳市深信西部房地产有限公司提</w:t>
            </w:r>
            <w:r>
              <w:rPr>
                <w:rFonts w:ascii="宋体" w:hAnsi="宋体" w:cs="宋体" w:eastAsia="宋体" w:hint="default"/>
                <w:sz w:val="18"/>
                <w:szCs w:val="18"/>
              </w:rPr>
              <w:t> 出的重整申请；</w:t>
            </w:r>
          </w:p>
        </w:tc>
      </w:tr>
      <w:tr>
        <w:trPr>
          <w:trHeight w:val="478" w:hRule="exact"/>
        </w:trPr>
        <w:tc>
          <w:tcPr>
            <w:tcW w:w="900"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日起对深圳市深信西部房地</w:t>
            </w:r>
          </w:p>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产有限公司进行重整。</w:t>
            </w:r>
          </w:p>
        </w:tc>
      </w:tr>
      <w:tr>
        <w:trPr>
          <w:trHeight w:val="49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7" w:right="0"/>
              <w:jc w:val="center"/>
              <w:rPr>
                <w:rFonts w:ascii="Times New Roman" w:hAnsi="Times New Roman" w:cs="Times New Roman" w:eastAsia="Times New Roman" w:hint="default"/>
                <w:sz w:val="18"/>
                <w:szCs w:val="18"/>
              </w:rPr>
            </w:pPr>
            <w:r>
              <w:rPr>
                <w:rFonts w:ascii="Times New Roman"/>
                <w:sz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94" w:firstLine="270"/>
              <w:jc w:val="left"/>
              <w:rPr>
                <w:rFonts w:ascii="宋体" w:hAnsi="宋体" w:cs="宋体" w:eastAsia="宋体" w:hint="default"/>
                <w:sz w:val="18"/>
                <w:szCs w:val="18"/>
              </w:rPr>
            </w:pPr>
            <w:r>
              <w:rPr>
                <w:rFonts w:ascii="宋体" w:hAnsi="宋体" w:cs="宋体" w:eastAsia="宋体" w:hint="default"/>
                <w:spacing w:val="7"/>
                <w:sz w:val="18"/>
                <w:szCs w:val="18"/>
              </w:rPr>
              <w:t>召开第一次债权人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核查管理人提交的债权表，均无异议。</w:t>
            </w: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67" w:right="0"/>
              <w:jc w:val="center"/>
              <w:rPr>
                <w:rFonts w:ascii="Times New Roman" w:hAnsi="Times New Roman" w:cs="Times New Roman" w:eastAsia="Times New Roman" w:hint="default"/>
                <w:sz w:val="18"/>
                <w:szCs w:val="18"/>
              </w:rPr>
            </w:pPr>
            <w:r>
              <w:rPr>
                <w:rFonts w:ascii="Times New Roman"/>
                <w:sz w:val="18"/>
              </w:rPr>
              <w:t>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pacing w:val="12"/>
                <w:sz w:val="18"/>
                <w:szCs w:val="18"/>
              </w:rPr>
              <w:t>确认深圳市深信西部房地产有限公司管理人于</w:t>
            </w:r>
            <w:r>
              <w:rPr>
                <w:rFonts w:ascii="宋体" w:hAnsi="宋体" w:cs="宋体" w:eastAsia="宋体" w:hint="default"/>
                <w:sz w:val="18"/>
                <w:szCs w:val="18"/>
              </w:rPr>
            </w:r>
          </w:p>
          <w:p>
            <w:pPr>
              <w:pStyle w:val="TableParagraph"/>
              <w:spacing w:line="245" w:lineRule="exact" w:before="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日提交的《深圳市深信西部房地产有</w:t>
            </w:r>
          </w:p>
          <w:p>
            <w:pPr>
              <w:pStyle w:val="TableParagraph"/>
              <w:spacing w:line="240" w:lineRule="exact"/>
              <w:ind w:left="101" w:right="0"/>
              <w:jc w:val="left"/>
              <w:rPr>
                <w:rFonts w:ascii="宋体" w:hAnsi="宋体" w:cs="宋体" w:eastAsia="宋体" w:hint="default"/>
                <w:sz w:val="18"/>
                <w:szCs w:val="18"/>
              </w:rPr>
            </w:pPr>
            <w:r>
              <w:rPr>
                <w:rFonts w:ascii="宋体" w:hAnsi="宋体" w:cs="宋体" w:eastAsia="宋体" w:hint="default"/>
                <w:spacing w:val="2"/>
                <w:sz w:val="18"/>
                <w:szCs w:val="18"/>
              </w:rPr>
              <w:t>限公司债权</w:t>
            </w:r>
            <w:r>
              <w:rPr>
                <w:rFonts w:ascii="宋体" w:hAnsi="宋体" w:cs="宋体" w:eastAsia="宋体" w:hint="default"/>
                <w:spacing w:val="3"/>
                <w:sz w:val="18"/>
                <w:szCs w:val="18"/>
              </w:rPr>
              <w:t>表</w:t>
            </w:r>
            <w:r>
              <w:rPr>
                <w:rFonts w:ascii="宋体" w:hAnsi="宋体" w:cs="宋体" w:eastAsia="宋体" w:hint="default"/>
                <w:spacing w:val="-87"/>
                <w:sz w:val="18"/>
                <w:szCs w:val="18"/>
              </w:rPr>
              <w:t>》</w:t>
            </w:r>
            <w:r>
              <w:rPr>
                <w:rFonts w:ascii="宋体" w:hAnsi="宋体" w:cs="宋体" w:eastAsia="宋体" w:hint="default"/>
                <w:spacing w:val="2"/>
                <w:sz w:val="18"/>
                <w:szCs w:val="18"/>
              </w:rPr>
              <w:t>，共</w:t>
            </w:r>
            <w:r>
              <w:rPr>
                <w:rFonts w:ascii="宋体" w:hAnsi="宋体" w:cs="宋体" w:eastAsia="宋体" w:hint="default"/>
                <w:sz w:val="18"/>
                <w:szCs w:val="18"/>
              </w:rPr>
              <w:t>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21 </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笔，金额</w:t>
            </w:r>
            <w:r>
              <w:rPr>
                <w:rFonts w:ascii="宋体" w:hAnsi="宋体" w:cs="宋体" w:eastAsia="宋体" w:hint="default"/>
                <w:spacing w:val="3"/>
                <w:sz w:val="18"/>
                <w:szCs w:val="18"/>
              </w:rPr>
              <w:t>为</w:t>
            </w:r>
            <w:r>
              <w:rPr>
                <w:rFonts w:ascii="宋体" w:hAnsi="宋体" w:cs="宋体" w:eastAsia="宋体" w:hint="default"/>
                <w:spacing w:val="2"/>
                <w:sz w:val="18"/>
                <w:szCs w:val="18"/>
              </w:rPr>
              <w:t>人民币</w:t>
            </w:r>
            <w:r>
              <w:rPr>
                <w:rFonts w:ascii="宋体" w:hAnsi="宋体" w:cs="宋体" w:eastAsia="宋体" w:hint="default"/>
                <w:sz w:val="18"/>
                <w:szCs w:val="18"/>
              </w:rPr>
            </w:r>
          </w:p>
          <w:p>
            <w:pPr>
              <w:pStyle w:val="TableParagraph"/>
              <w:spacing w:line="245"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205,403,063.01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21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4" w:lineRule="auto"/>
              <w:ind w:left="101" w:right="95" w:firstLine="270"/>
              <w:jc w:val="left"/>
              <w:rPr>
                <w:rFonts w:ascii="宋体" w:hAnsi="宋体" w:cs="宋体" w:eastAsia="宋体" w:hint="default"/>
                <w:sz w:val="18"/>
                <w:szCs w:val="18"/>
              </w:rPr>
            </w:pPr>
            <w:r>
              <w:rPr>
                <w:rFonts w:ascii="宋体" w:hAnsi="宋体" w:cs="宋体" w:eastAsia="宋体" w:hint="default"/>
                <w:spacing w:val="7"/>
                <w:sz w:val="18"/>
                <w:szCs w:val="18"/>
              </w:rPr>
              <w:t>召开第二次债权人 </w:t>
            </w:r>
            <w:r>
              <w:rPr>
                <w:rFonts w:ascii="宋体" w:hAnsi="宋体" w:cs="宋体" w:eastAsia="宋体" w:hint="default"/>
                <w:sz w:val="18"/>
                <w:szCs w:val="18"/>
              </w:rPr>
              <w:t>会议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95" w:firstLine="270"/>
              <w:jc w:val="left"/>
              <w:rPr>
                <w:rFonts w:ascii="宋体" w:hAnsi="宋体" w:cs="宋体" w:eastAsia="宋体" w:hint="default"/>
                <w:sz w:val="18"/>
                <w:szCs w:val="18"/>
              </w:rPr>
            </w:pPr>
            <w:r>
              <w:rPr>
                <w:rFonts w:ascii="宋体" w:hAnsi="宋体" w:cs="宋体" w:eastAsia="宋体" w:hint="default"/>
                <w:spacing w:val="2"/>
                <w:sz w:val="18"/>
                <w:szCs w:val="18"/>
              </w:rPr>
              <w:t>出席西部公司第二次债权人会议的有表决权的普</w:t>
            </w:r>
            <w:r>
              <w:rPr>
                <w:rFonts w:ascii="宋体" w:hAnsi="宋体" w:cs="宋体" w:eastAsia="宋体" w:hint="default"/>
                <w:sz w:val="18"/>
                <w:szCs w:val="18"/>
              </w:rPr>
              <w:t> </w:t>
            </w:r>
            <w:r>
              <w:rPr>
                <w:rFonts w:ascii="宋体" w:hAnsi="宋体" w:cs="宋体" w:eastAsia="宋体" w:hint="default"/>
                <w:spacing w:val="5"/>
                <w:sz w:val="18"/>
                <w:szCs w:val="18"/>
              </w:rPr>
              <w:t>通债权人共计 </w:t>
            </w: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家，所代表的债权总额为人民币</w:t>
            </w:r>
            <w:r>
              <w:rPr>
                <w:rFonts w:ascii="宋体" w:hAnsi="宋体" w:cs="宋体" w:eastAsia="宋体" w:hint="default"/>
                <w:sz w:val="18"/>
                <w:szCs w:val="18"/>
              </w:rPr>
            </w:r>
          </w:p>
          <w:p>
            <w:pPr>
              <w:pStyle w:val="TableParagraph"/>
              <w:spacing w:line="226" w:lineRule="exact"/>
              <w:ind w:left="10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207,296,288.59 </w:t>
            </w:r>
            <w:r>
              <w:rPr>
                <w:rFonts w:ascii="宋体" w:hAnsi="宋体" w:cs="宋体" w:eastAsia="宋体" w:hint="default"/>
                <w:sz w:val="18"/>
                <w:szCs w:val="18"/>
              </w:rPr>
              <w:t>元。其中，不同意的债权人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家，代</w:t>
            </w:r>
          </w:p>
          <w:p>
            <w:pPr>
              <w:pStyle w:val="TableParagraph"/>
              <w:spacing w:line="240" w:lineRule="exact" w:before="13"/>
              <w:ind w:left="101" w:right="66"/>
              <w:jc w:val="both"/>
              <w:rPr>
                <w:rFonts w:ascii="宋体" w:hAnsi="宋体" w:cs="宋体" w:eastAsia="宋体" w:hint="default"/>
                <w:sz w:val="18"/>
                <w:szCs w:val="18"/>
              </w:rPr>
            </w:pPr>
            <w:r>
              <w:rPr>
                <w:rFonts w:ascii="宋体" w:hAnsi="宋体" w:cs="宋体" w:eastAsia="宋体" w:hint="default"/>
                <w:sz w:val="18"/>
                <w:szCs w:val="18"/>
              </w:rPr>
              <w:t>表债权额人民币 </w:t>
            </w:r>
            <w:r>
              <w:rPr>
                <w:rFonts w:ascii="Times New Roman" w:hAnsi="Times New Roman" w:cs="Times New Roman" w:eastAsia="Times New Roman" w:hint="default"/>
                <w:sz w:val="18"/>
                <w:szCs w:val="18"/>
              </w:rPr>
              <w:t>28,583,881.54 </w:t>
            </w:r>
            <w:r>
              <w:rPr>
                <w:rFonts w:ascii="宋体" w:hAnsi="宋体" w:cs="宋体" w:eastAsia="宋体" w:hint="default"/>
                <w:sz w:val="18"/>
                <w:szCs w:val="18"/>
              </w:rPr>
              <w:t>元；同意的债权人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2"/>
                <w:sz w:val="18"/>
                <w:szCs w:val="18"/>
              </w:rPr>
              <w:t>家，已超过出席会议债权人总人数的二分之一，所代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表的债权额为人民币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178,712,407.05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元，占普通债权 总额的 </w:t>
            </w:r>
            <w:r>
              <w:rPr>
                <w:rFonts w:ascii="Times New Roman" w:hAnsi="Times New Roman" w:cs="Times New Roman" w:eastAsia="Times New Roman" w:hint="default"/>
                <w:sz w:val="18"/>
                <w:szCs w:val="18"/>
              </w:rPr>
              <w:t>86.21%</w:t>
            </w:r>
            <w:r>
              <w:rPr>
                <w:rFonts w:ascii="宋体" w:hAnsi="宋体" w:cs="宋体" w:eastAsia="宋体" w:hint="default"/>
                <w:sz w:val="18"/>
                <w:szCs w:val="18"/>
              </w:rPr>
              <w:t>，已超过本组债权总额的三分之二，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西部公司债权人会议普通债权组通过重整计划草案。</w:t>
            </w:r>
            <w:r>
              <w:rPr>
                <w:rFonts w:ascii="宋体" w:hAnsi="宋体" w:cs="宋体" w:eastAsia="宋体" w:hint="default"/>
                <w:sz w:val="18"/>
                <w:szCs w:val="18"/>
              </w:rPr>
              <w:t> 另股东组通过了重整计划草案中股东权益调整方案。</w:t>
            </w:r>
          </w:p>
        </w:tc>
      </w:tr>
      <w:tr>
        <w:trPr>
          <w:trHeight w:val="492"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6</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exact"/>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1" w:right="95" w:firstLine="27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、批准深圳市深信西部房地产有限公司重整计 </w:t>
            </w:r>
            <w:r>
              <w:rPr>
                <w:rFonts w:ascii="宋体" w:hAnsi="宋体" w:cs="宋体" w:eastAsia="宋体" w:hint="default"/>
                <w:sz w:val="18"/>
                <w:szCs w:val="18"/>
              </w:rPr>
              <w:t>划；</w:t>
            </w:r>
          </w:p>
        </w:tc>
      </w:tr>
      <w:tr>
        <w:trPr>
          <w:trHeight w:val="239" w:hRule="exact"/>
        </w:trPr>
        <w:tc>
          <w:tcPr>
            <w:tcW w:w="900"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、终止深圳市深信西部房地产有限公司重整程</w:t>
            </w:r>
            <w:r>
              <w:rPr>
                <w:rFonts w:ascii="宋体" w:hAnsi="宋体" w:cs="宋体" w:eastAsia="宋体" w:hint="default"/>
                <w:sz w:val="18"/>
                <w:szCs w:val="18"/>
              </w:rPr>
            </w:r>
          </w:p>
        </w:tc>
      </w:tr>
    </w:tbl>
    <w:p>
      <w:pPr>
        <w:spacing w:after="0" w:line="224" w:lineRule="exact"/>
        <w:jc w:val="left"/>
        <w:rPr>
          <w:rFonts w:ascii="宋体" w:hAnsi="宋体" w:cs="宋体" w:eastAsia="宋体" w:hint="default"/>
          <w:sz w:val="18"/>
          <w:szCs w:val="18"/>
        </w:rPr>
        <w:sectPr>
          <w:pgSz w:w="11910" w:h="16840"/>
          <w:pgMar w:header="0" w:footer="893" w:top="1140" w:bottom="1080" w:left="1400" w:right="900"/>
        </w:sectPr>
      </w:pPr>
    </w:p>
    <w:p>
      <w:pPr>
        <w:spacing w:line="240" w:lineRule="auto" w:before="4"/>
        <w:rPr>
          <w:rFonts w:ascii="宋体" w:hAnsi="宋体" w:cs="宋体" w:eastAsia="宋体" w:hint="default"/>
          <w:b/>
          <w:bCs/>
          <w:sz w:val="20"/>
          <w:szCs w:val="20"/>
        </w:rPr>
      </w:pPr>
    </w:p>
    <w:tbl>
      <w:tblPr>
        <w:tblW w:w="0" w:type="auto"/>
        <w:jc w:val="left"/>
        <w:tblInd w:w="116" w:type="dxa"/>
        <w:tblLayout w:type="fixed"/>
        <w:tblCellMar>
          <w:top w:w="0" w:type="dxa"/>
          <w:left w:w="0" w:type="dxa"/>
          <w:bottom w:w="0" w:type="dxa"/>
          <w:right w:w="0" w:type="dxa"/>
        </w:tblCellMar>
        <w:tblLook w:val="01E0"/>
      </w:tblPr>
      <w:tblGrid>
        <w:gridCol w:w="900"/>
        <w:gridCol w:w="2160"/>
        <w:gridCol w:w="1980"/>
        <w:gridCol w:w="4320"/>
      </w:tblGrid>
      <w:tr>
        <w:trPr>
          <w:trHeight w:val="40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6"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西部公司裁定书号</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88" w:right="0"/>
              <w:jc w:val="left"/>
              <w:rPr>
                <w:rFonts w:ascii="宋体" w:hAnsi="宋体" w:cs="宋体" w:eastAsia="宋体" w:hint="default"/>
                <w:sz w:val="18"/>
                <w:szCs w:val="18"/>
              </w:rPr>
            </w:pPr>
            <w:r>
              <w:rPr>
                <w:rFonts w:ascii="宋体" w:hAnsi="宋体" w:cs="宋体" w:eastAsia="宋体" w:hint="default"/>
                <w:sz w:val="18"/>
                <w:szCs w:val="18"/>
              </w:rPr>
              <w:t>裁定书裁定的主要内容</w:t>
            </w:r>
          </w:p>
        </w:tc>
      </w:tr>
      <w:tr>
        <w:trPr>
          <w:trHeight w:val="407"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2" w:right="0"/>
              <w:jc w:val="left"/>
              <w:rPr>
                <w:rFonts w:ascii="宋体" w:hAnsi="宋体" w:cs="宋体" w:eastAsia="宋体" w:hint="default"/>
                <w:sz w:val="18"/>
                <w:szCs w:val="18"/>
              </w:rPr>
            </w:pPr>
            <w:r>
              <w:rPr>
                <w:rFonts w:ascii="宋体" w:hAnsi="宋体" w:cs="宋体" w:eastAsia="宋体" w:hint="default"/>
                <w:sz w:val="18"/>
                <w:szCs w:val="18"/>
              </w:rPr>
              <w:t>序。</w:t>
            </w: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67" w:right="0"/>
              <w:jc w:val="center"/>
              <w:rPr>
                <w:rFonts w:ascii="Times New Roman" w:hAnsi="Times New Roman" w:cs="Times New Roman" w:eastAsia="Times New Roman" w:hint="default"/>
                <w:sz w:val="18"/>
                <w:szCs w:val="18"/>
              </w:rPr>
            </w:pPr>
            <w:r>
              <w:rPr>
                <w:rFonts w:ascii="Times New Roman"/>
                <w:sz w:val="18"/>
              </w:rPr>
              <w:t>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pacing w:val="12"/>
                <w:sz w:val="18"/>
                <w:szCs w:val="18"/>
              </w:rPr>
              <w:t>确认深圳市深信西部房地产有限公司管理人于</w:t>
            </w:r>
            <w:r>
              <w:rPr>
                <w:rFonts w:ascii="宋体" w:hAnsi="宋体" w:cs="宋体" w:eastAsia="宋体" w:hint="default"/>
                <w:sz w:val="18"/>
                <w:szCs w:val="18"/>
              </w:rPr>
            </w:r>
          </w:p>
          <w:p>
            <w:pPr>
              <w:pStyle w:val="TableParagraph"/>
              <w:spacing w:line="245" w:lineRule="exact" w:before="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日提交的《深圳市深信西部房地产有</w:t>
            </w:r>
          </w:p>
          <w:p>
            <w:pPr>
              <w:pStyle w:val="TableParagraph"/>
              <w:spacing w:line="240" w:lineRule="exact"/>
              <w:ind w:left="102" w:right="0"/>
              <w:jc w:val="left"/>
              <w:rPr>
                <w:rFonts w:ascii="宋体" w:hAnsi="宋体" w:cs="宋体" w:eastAsia="宋体" w:hint="default"/>
                <w:sz w:val="18"/>
                <w:szCs w:val="18"/>
              </w:rPr>
            </w:pPr>
            <w:r>
              <w:rPr>
                <w:rFonts w:ascii="宋体" w:hAnsi="宋体" w:cs="宋体" w:eastAsia="宋体" w:hint="default"/>
                <w:sz w:val="18"/>
                <w:szCs w:val="18"/>
              </w:rPr>
              <w:t>限公司重整案补充债权表</w:t>
            </w:r>
            <w:r>
              <w:rPr>
                <w:rFonts w:ascii="宋体" w:hAnsi="宋体" w:cs="宋体" w:eastAsia="宋体" w:hint="default"/>
                <w:spacing w:val="-90"/>
                <w:sz w:val="18"/>
                <w:szCs w:val="18"/>
              </w:rPr>
              <w:t>》</w:t>
            </w:r>
            <w:r>
              <w:rPr>
                <w:rFonts w:ascii="宋体" w:hAnsi="宋体" w:cs="宋体" w:eastAsia="宋体" w:hint="default"/>
                <w:sz w:val="18"/>
                <w:szCs w:val="18"/>
              </w:rPr>
              <w:t>，共计</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家</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笔</w:t>
            </w:r>
            <w:r>
              <w:rPr>
                <w:rFonts w:ascii="宋体" w:hAnsi="宋体" w:cs="宋体" w:eastAsia="宋体" w:hint="default"/>
                <w:sz w:val="18"/>
                <w:szCs w:val="18"/>
              </w:rPr>
              <w:t>，金额为</w:t>
            </w:r>
          </w:p>
          <w:p>
            <w:pPr>
              <w:pStyle w:val="TableParagraph"/>
              <w:spacing w:line="245" w:lineRule="exact"/>
              <w:ind w:left="10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1,893,225.58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3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67" w:right="0"/>
              <w:jc w:val="center"/>
              <w:rPr>
                <w:rFonts w:ascii="Times New Roman" w:hAnsi="Times New Roman" w:cs="Times New Roman" w:eastAsia="Times New Roman" w:hint="default"/>
                <w:sz w:val="18"/>
                <w:szCs w:val="18"/>
              </w:rPr>
            </w:pPr>
            <w:r>
              <w:rPr>
                <w:rFonts w:ascii="Times New Roman"/>
                <w:sz w:val="18"/>
              </w:rPr>
              <w:t>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95" w:firstLine="27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）深中法民</w:t>
            </w:r>
            <w:r>
              <w:rPr>
                <w:rFonts w:ascii="宋体" w:hAnsi="宋体" w:cs="宋体" w:eastAsia="宋体" w:hint="default"/>
                <w:spacing w:val="8"/>
                <w:sz w:val="18"/>
                <w:szCs w:val="18"/>
              </w:rPr>
              <w:t> </w:t>
            </w:r>
            <w:r>
              <w:rPr>
                <w:rFonts w:ascii="宋体" w:hAnsi="宋体" w:cs="宋体" w:eastAsia="宋体" w:hint="default"/>
                <w:sz w:val="18"/>
                <w:szCs w:val="18"/>
              </w:rPr>
              <w:t>七重整字第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号《民</w:t>
            </w:r>
            <w:r>
              <w:rPr>
                <w:rFonts w:ascii="宋体" w:hAnsi="宋体" w:cs="宋体" w:eastAsia="宋体" w:hint="default"/>
                <w:sz w:val="18"/>
                <w:szCs w:val="18"/>
              </w:rPr>
              <w:t> 事裁定书》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103" w:firstLine="270"/>
              <w:jc w:val="left"/>
              <w:rPr>
                <w:rFonts w:ascii="宋体" w:hAnsi="宋体" w:cs="宋体" w:eastAsia="宋体" w:hint="default"/>
                <w:sz w:val="18"/>
                <w:szCs w:val="18"/>
              </w:rPr>
            </w:pPr>
            <w:r>
              <w:rPr>
                <w:rFonts w:ascii="宋体" w:hAnsi="宋体" w:cs="宋体" w:eastAsia="宋体" w:hint="default"/>
                <w:spacing w:val="2"/>
                <w:sz w:val="18"/>
                <w:szCs w:val="18"/>
              </w:rPr>
              <w:t>确认深圳市深信西部房地产有限公司重整计划执</w:t>
            </w:r>
            <w:r>
              <w:rPr>
                <w:rFonts w:ascii="宋体" w:hAnsi="宋体" w:cs="宋体" w:eastAsia="宋体" w:hint="default"/>
                <w:sz w:val="18"/>
                <w:szCs w:val="18"/>
              </w:rPr>
              <w:t> 行完毕。</w:t>
            </w:r>
          </w:p>
        </w:tc>
      </w:tr>
    </w:tbl>
    <w:p>
      <w:pPr>
        <w:spacing w:line="240" w:lineRule="auto" w:before="12"/>
        <w:rPr>
          <w:rFonts w:ascii="宋体" w:hAnsi="宋体" w:cs="宋体" w:eastAsia="宋体" w:hint="default"/>
          <w:b/>
          <w:bCs/>
          <w:sz w:val="15"/>
          <w:szCs w:val="15"/>
        </w:rPr>
      </w:pPr>
    </w:p>
    <w:p>
      <w:pPr>
        <w:pStyle w:val="BodyText"/>
        <w:spacing w:line="240" w:lineRule="auto" w:before="35"/>
        <w:ind w:left="721" w:right="5487"/>
        <w:jc w:val="left"/>
      </w:pPr>
      <w:r>
        <w:rPr>
          <w:rFonts w:ascii="Times New Roman" w:hAnsi="Times New Roman" w:cs="Times New Roman" w:eastAsia="Times New Roman" w:hint="default"/>
        </w:rPr>
        <w:t>2</w:t>
      </w:r>
      <w:r>
        <w:rPr/>
        <w:t>、公司股东和股东权益调整方案</w:t>
      </w:r>
    </w:p>
    <w:p>
      <w:pPr>
        <w:spacing w:line="240" w:lineRule="auto" w:before="1"/>
        <w:rPr>
          <w:rFonts w:ascii="宋体" w:hAnsi="宋体" w:cs="宋体" w:eastAsia="宋体" w:hint="default"/>
          <w:sz w:val="22"/>
          <w:szCs w:val="22"/>
        </w:rPr>
      </w:pPr>
    </w:p>
    <w:p>
      <w:pPr>
        <w:pStyle w:val="BodyText"/>
        <w:spacing w:line="386" w:lineRule="auto"/>
        <w:ind w:left="301" w:right="0" w:firstLine="420"/>
        <w:jc w:val="left"/>
      </w:pPr>
      <w:r>
        <w:rPr/>
        <w:t>根据本公司重整计划，限售流通股股东将无偿让渡</w:t>
      </w:r>
      <w:r>
        <w:rPr>
          <w:spacing w:val="9"/>
        </w:rPr>
        <w:t> </w:t>
      </w:r>
      <w:r>
        <w:rPr>
          <w:rFonts w:ascii="Times New Roman" w:hAnsi="Times New Roman" w:cs="Times New Roman" w:eastAsia="Times New Roman" w:hint="default"/>
        </w:rPr>
        <w:t>15%</w:t>
      </w:r>
      <w:r>
        <w:rPr/>
        <w:t>的限售流通股股票，流通股股东</w:t>
      </w:r>
      <w:r>
        <w:rPr>
          <w:spacing w:val="1"/>
        </w:rPr>
        <w:t> </w:t>
      </w:r>
      <w:r>
        <w:rPr/>
        <w:t>将无偿让渡</w:t>
      </w:r>
      <w:r>
        <w:rPr>
          <w:spacing w:val="-71"/>
        </w:rPr>
        <w:t> </w:t>
      </w:r>
      <w:r>
        <w:rPr>
          <w:rFonts w:ascii="Times New Roman" w:hAnsi="Times New Roman" w:cs="Times New Roman" w:eastAsia="Times New Roman" w:hint="default"/>
          <w:spacing w:val="-6"/>
        </w:rPr>
        <w:t>10%</w:t>
      </w:r>
      <w:r>
        <w:rPr>
          <w:spacing w:val="-6"/>
        </w:rPr>
        <w:t>的流通股股票，合计让渡本公司股票</w:t>
      </w:r>
      <w:r>
        <w:rPr>
          <w:spacing w:val="-71"/>
        </w:rPr>
        <w:t> </w:t>
      </w:r>
      <w:r>
        <w:rPr>
          <w:rFonts w:ascii="Times New Roman" w:hAnsi="Times New Roman" w:cs="Times New Roman" w:eastAsia="Times New Roman" w:hint="default"/>
          <w:spacing w:val="-1"/>
        </w:rPr>
        <w:t>44,264,819</w:t>
      </w:r>
      <w:r>
        <w:rPr>
          <w:rFonts w:ascii="Times New Roman" w:hAnsi="Times New Roman" w:cs="Times New Roman" w:eastAsia="Times New Roman" w:hint="default"/>
          <w:spacing w:val="-19"/>
        </w:rPr>
        <w:t> </w:t>
      </w:r>
      <w:r>
        <w:rPr>
          <w:spacing w:val="-11"/>
        </w:rPr>
        <w:t>股，占本公司总股本的</w:t>
      </w:r>
      <w:r>
        <w:rPr>
          <w:spacing w:val="-71"/>
        </w:rPr>
        <w:t> </w:t>
      </w:r>
      <w:r>
        <w:rPr>
          <w:rFonts w:ascii="Times New Roman" w:hAnsi="Times New Roman" w:cs="Times New Roman" w:eastAsia="Times New Roman" w:hint="default"/>
          <w:spacing w:val="-1"/>
        </w:rPr>
        <w:t>12.37%</w:t>
      </w:r>
      <w:r>
        <w:rPr>
          <w:spacing w:val="-1"/>
        </w:rPr>
        <w:t>。</w:t>
      </w:r>
      <w:r>
        <w:rPr>
          <w:spacing w:val="-103"/>
        </w:rPr>
        <w:t> </w:t>
      </w:r>
      <w:r>
        <w:rPr>
          <w:spacing w:val="2"/>
        </w:rPr>
        <w:t>该等股票将用于支付公司重整费用和共益债务，清偿普通债权及保全主要子公司的经营性资</w:t>
      </w:r>
      <w:r>
        <w:rPr>
          <w:spacing w:val="-100"/>
        </w:rPr>
        <w:t> </w:t>
      </w:r>
      <w:r>
        <w:rPr>
          <w:spacing w:val="-100"/>
        </w:rPr>
      </w:r>
      <w:r>
        <w:rPr/>
        <w:t>产。股东权益调整方案汇总表列示如下：</w:t>
      </w:r>
    </w:p>
    <w:tbl>
      <w:tblPr>
        <w:tblW w:w="0" w:type="auto"/>
        <w:jc w:val="left"/>
        <w:tblInd w:w="188" w:type="dxa"/>
        <w:tblLayout w:type="fixed"/>
        <w:tblCellMar>
          <w:top w:w="0" w:type="dxa"/>
          <w:left w:w="0" w:type="dxa"/>
          <w:bottom w:w="0" w:type="dxa"/>
          <w:right w:w="0" w:type="dxa"/>
        </w:tblCellMar>
        <w:tblLook w:val="01E0"/>
      </w:tblPr>
      <w:tblGrid>
        <w:gridCol w:w="1704"/>
        <w:gridCol w:w="1704"/>
        <w:gridCol w:w="1704"/>
        <w:gridCol w:w="1705"/>
        <w:gridCol w:w="1705"/>
      </w:tblGrid>
      <w:tr>
        <w:trPr>
          <w:trHeight w:val="408" w:hRule="exact"/>
        </w:trPr>
        <w:tc>
          <w:tcPr>
            <w:tcW w:w="3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8" w:right="0"/>
              <w:jc w:val="center"/>
              <w:rPr>
                <w:rFonts w:ascii="宋体" w:hAnsi="宋体" w:cs="宋体" w:eastAsia="宋体" w:hint="default"/>
                <w:sz w:val="18"/>
                <w:szCs w:val="18"/>
              </w:rPr>
            </w:pPr>
            <w:r>
              <w:rPr>
                <w:rFonts w:ascii="宋体" w:hAnsi="宋体" w:cs="宋体" w:eastAsia="宋体" w:hint="default"/>
                <w:sz w:val="18"/>
                <w:szCs w:val="18"/>
              </w:rPr>
              <w:t>调整目的</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20" w:right="0"/>
              <w:jc w:val="left"/>
              <w:rPr>
                <w:rFonts w:ascii="宋体" w:hAnsi="宋体" w:cs="宋体" w:eastAsia="宋体" w:hint="default"/>
                <w:sz w:val="18"/>
                <w:szCs w:val="18"/>
              </w:rPr>
            </w:pPr>
            <w:r>
              <w:rPr>
                <w:rFonts w:ascii="宋体" w:hAnsi="宋体" w:cs="宋体" w:eastAsia="宋体" w:hint="default"/>
                <w:sz w:val="18"/>
                <w:szCs w:val="18"/>
              </w:rPr>
              <w:t>股票类别</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22" w:right="0"/>
              <w:jc w:val="left"/>
              <w:rPr>
                <w:rFonts w:ascii="宋体" w:hAnsi="宋体" w:cs="宋体" w:eastAsia="宋体" w:hint="default"/>
                <w:sz w:val="18"/>
                <w:szCs w:val="18"/>
              </w:rPr>
            </w:pPr>
            <w:r>
              <w:rPr>
                <w:rFonts w:ascii="宋体" w:hAnsi="宋体" w:cs="宋体" w:eastAsia="宋体" w:hint="default"/>
                <w:sz w:val="18"/>
                <w:szCs w:val="18"/>
              </w:rPr>
              <w:t>让渡比例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07" w:right="0"/>
              <w:jc w:val="left"/>
              <w:rPr>
                <w:rFonts w:ascii="宋体" w:hAnsi="宋体" w:cs="宋体" w:eastAsia="宋体" w:hint="default"/>
                <w:sz w:val="18"/>
                <w:szCs w:val="18"/>
              </w:rPr>
            </w:pPr>
            <w:r>
              <w:rPr>
                <w:rFonts w:ascii="宋体" w:hAnsi="宋体" w:cs="宋体" w:eastAsia="宋体" w:hint="default"/>
                <w:sz w:val="18"/>
                <w:szCs w:val="18"/>
              </w:rPr>
              <w:t>股票数量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7" w:hRule="exact"/>
        </w:trPr>
        <w:tc>
          <w:tcPr>
            <w:tcW w:w="3408" w:type="dxa"/>
            <w:gridSpan w:val="2"/>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exact"/>
              <w:ind w:left="103" w:right="1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）支付重整费用和共益债务、清偿深</w:t>
            </w:r>
            <w:r>
              <w:rPr>
                <w:rFonts w:ascii="宋体" w:hAnsi="宋体" w:cs="宋体" w:eastAsia="宋体" w:hint="default"/>
                <w:spacing w:val="-55"/>
                <w:sz w:val="18"/>
                <w:szCs w:val="18"/>
              </w:rPr>
              <w:t> </w:t>
            </w:r>
            <w:r>
              <w:rPr>
                <w:rFonts w:ascii="宋体" w:hAnsi="宋体" w:cs="宋体" w:eastAsia="宋体" w:hint="default"/>
                <w:sz w:val="18"/>
                <w:szCs w:val="18"/>
              </w:rPr>
              <w:t>泰集团债权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20,108,056</w:t>
            </w:r>
          </w:p>
        </w:tc>
      </w:tr>
      <w:tr>
        <w:trPr>
          <w:trHeight w:val="407" w:hRule="exact"/>
        </w:trPr>
        <w:tc>
          <w:tcPr>
            <w:tcW w:w="3408" w:type="dxa"/>
            <w:gridSpan w:val="2"/>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1"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7.91%</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14,913,049</w:t>
            </w:r>
          </w:p>
        </w:tc>
      </w:tr>
      <w:tr>
        <w:trPr>
          <w:trHeight w:val="407"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exact" w:before="119"/>
              <w:ind w:left="103" w:right="10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）保全主要子公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司经营性资产</w:t>
            </w:r>
          </w:p>
        </w:tc>
        <w:tc>
          <w:tcPr>
            <w:tcW w:w="1704" w:type="dxa"/>
            <w:vMerge w:val="restart"/>
            <w:tcBorders>
              <w:top w:val="single" w:sz="4" w:space="0" w:color="000000"/>
              <w:left w:val="single" w:sz="4" w:space="0" w:color="000000"/>
              <w:right w:val="single" w:sz="4" w:space="0" w:color="000000"/>
            </w:tcBorders>
          </w:tcPr>
          <w:p>
            <w:pPr>
              <w:pStyle w:val="TableParagraph"/>
              <w:spacing w:line="244" w:lineRule="auto" w:before="123"/>
              <w:ind w:left="103" w:right="73" w:firstLine="270"/>
              <w:jc w:val="left"/>
              <w:rPr>
                <w:rFonts w:ascii="宋体" w:hAnsi="宋体" w:cs="宋体" w:eastAsia="宋体" w:hint="default"/>
                <w:sz w:val="18"/>
                <w:szCs w:val="18"/>
              </w:rPr>
            </w:pPr>
            <w:r>
              <w:rPr>
                <w:rFonts w:ascii="宋体" w:hAnsi="宋体" w:cs="宋体" w:eastAsia="宋体" w:hint="default"/>
                <w:spacing w:val="22"/>
                <w:sz w:val="18"/>
                <w:szCs w:val="18"/>
              </w:rPr>
              <w:t>保全科技公司</w:t>
            </w:r>
            <w:r>
              <w:rPr>
                <w:rFonts w:ascii="宋体" w:hAnsi="宋体" w:cs="宋体" w:eastAsia="宋体" w:hint="default"/>
                <w:spacing w:val="-63"/>
                <w:sz w:val="18"/>
                <w:szCs w:val="18"/>
              </w:rPr>
              <w:t> </w:t>
            </w:r>
            <w:r>
              <w:rPr>
                <w:rFonts w:ascii="宋体" w:hAnsi="宋体" w:cs="宋体" w:eastAsia="宋体" w:hint="default"/>
                <w:sz w:val="18"/>
                <w:szCs w:val="18"/>
              </w:rPr>
              <w:t>经营性资产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0.68%</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1,152,877</w:t>
            </w:r>
          </w:p>
        </w:tc>
      </w:tr>
      <w:tr>
        <w:trPr>
          <w:trHeight w:val="407" w:hRule="exact"/>
        </w:trPr>
        <w:tc>
          <w:tcPr>
            <w:tcW w:w="1704" w:type="dxa"/>
            <w:vMerge/>
            <w:tcBorders>
              <w:left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855,026</w:t>
            </w:r>
          </w:p>
        </w:tc>
      </w:tr>
      <w:tr>
        <w:trPr>
          <w:trHeight w:val="407" w:hRule="exact"/>
        </w:trPr>
        <w:tc>
          <w:tcPr>
            <w:tcW w:w="1704" w:type="dxa"/>
            <w:vMerge/>
            <w:tcBorders>
              <w:left w:val="single" w:sz="4" w:space="0" w:color="000000"/>
              <w:right w:val="single" w:sz="4" w:space="0" w:color="000000"/>
            </w:tcBorders>
          </w:tcPr>
          <w:p>
            <w:pPr/>
          </w:p>
        </w:tc>
        <w:tc>
          <w:tcPr>
            <w:tcW w:w="1704" w:type="dxa"/>
            <w:vMerge w:val="restart"/>
            <w:tcBorders>
              <w:top w:val="single" w:sz="4" w:space="0" w:color="000000"/>
              <w:left w:val="single" w:sz="4" w:space="0" w:color="000000"/>
              <w:right w:val="single" w:sz="4" w:space="0" w:color="000000"/>
            </w:tcBorders>
          </w:tcPr>
          <w:p>
            <w:pPr>
              <w:pStyle w:val="TableParagraph"/>
              <w:spacing w:line="244" w:lineRule="auto" w:before="123"/>
              <w:ind w:left="103" w:right="73" w:firstLine="270"/>
              <w:jc w:val="left"/>
              <w:rPr>
                <w:rFonts w:ascii="宋体" w:hAnsi="宋体" w:cs="宋体" w:eastAsia="宋体" w:hint="default"/>
                <w:sz w:val="18"/>
                <w:szCs w:val="18"/>
              </w:rPr>
            </w:pPr>
            <w:r>
              <w:rPr>
                <w:rFonts w:ascii="宋体" w:hAnsi="宋体" w:cs="宋体" w:eastAsia="宋体" w:hint="default"/>
                <w:spacing w:val="22"/>
                <w:sz w:val="18"/>
                <w:szCs w:val="18"/>
              </w:rPr>
              <w:t>保全饲料公司</w:t>
            </w:r>
            <w:r>
              <w:rPr>
                <w:rFonts w:ascii="宋体" w:hAnsi="宋体" w:cs="宋体" w:eastAsia="宋体" w:hint="default"/>
                <w:spacing w:val="-63"/>
                <w:sz w:val="18"/>
                <w:szCs w:val="18"/>
              </w:rPr>
              <w:t> </w:t>
            </w:r>
            <w:r>
              <w:rPr>
                <w:rFonts w:ascii="宋体" w:hAnsi="宋体" w:cs="宋体" w:eastAsia="宋体" w:hint="default"/>
                <w:sz w:val="18"/>
                <w:szCs w:val="18"/>
              </w:rPr>
              <w:t>经营性资产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0.83%</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1,405,033</w:t>
            </w:r>
          </w:p>
        </w:tc>
      </w:tr>
      <w:tr>
        <w:trPr>
          <w:trHeight w:val="408" w:hRule="exact"/>
        </w:trPr>
        <w:tc>
          <w:tcPr>
            <w:tcW w:w="1704" w:type="dxa"/>
            <w:vMerge/>
            <w:tcBorders>
              <w:left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1,042,036</w:t>
            </w:r>
          </w:p>
        </w:tc>
      </w:tr>
      <w:tr>
        <w:trPr>
          <w:trHeight w:val="407" w:hRule="exact"/>
        </w:trPr>
        <w:tc>
          <w:tcPr>
            <w:tcW w:w="1704" w:type="dxa"/>
            <w:vMerge/>
            <w:tcBorders>
              <w:left w:val="single" w:sz="4" w:space="0" w:color="000000"/>
              <w:right w:val="single" w:sz="4" w:space="0" w:color="000000"/>
            </w:tcBorders>
          </w:tcPr>
          <w:p>
            <w:pPr/>
          </w:p>
        </w:tc>
        <w:tc>
          <w:tcPr>
            <w:tcW w:w="1704" w:type="dxa"/>
            <w:vMerge w:val="restart"/>
            <w:tcBorders>
              <w:top w:val="single" w:sz="4" w:space="0" w:color="000000"/>
              <w:left w:val="single" w:sz="4" w:space="0" w:color="000000"/>
              <w:right w:val="single" w:sz="4" w:space="0" w:color="000000"/>
            </w:tcBorders>
          </w:tcPr>
          <w:p>
            <w:pPr>
              <w:pStyle w:val="TableParagraph"/>
              <w:spacing w:line="244" w:lineRule="auto" w:before="123"/>
              <w:ind w:left="103" w:right="73" w:firstLine="270"/>
              <w:jc w:val="left"/>
              <w:rPr>
                <w:rFonts w:ascii="宋体" w:hAnsi="宋体" w:cs="宋体" w:eastAsia="宋体" w:hint="default"/>
                <w:sz w:val="18"/>
                <w:szCs w:val="18"/>
              </w:rPr>
            </w:pPr>
            <w:r>
              <w:rPr>
                <w:rFonts w:ascii="宋体" w:hAnsi="宋体" w:cs="宋体" w:eastAsia="宋体" w:hint="default"/>
                <w:spacing w:val="22"/>
                <w:sz w:val="18"/>
                <w:szCs w:val="18"/>
              </w:rPr>
              <w:t>保全实业公司</w:t>
            </w:r>
            <w:r>
              <w:rPr>
                <w:rFonts w:ascii="宋体" w:hAnsi="宋体" w:cs="宋体" w:eastAsia="宋体" w:hint="default"/>
                <w:spacing w:val="-63"/>
                <w:sz w:val="18"/>
                <w:szCs w:val="18"/>
              </w:rPr>
              <w:t> </w:t>
            </w:r>
            <w:r>
              <w:rPr>
                <w:rFonts w:ascii="宋体" w:hAnsi="宋体" w:cs="宋体" w:eastAsia="宋体" w:hint="default"/>
                <w:sz w:val="18"/>
                <w:szCs w:val="18"/>
              </w:rPr>
              <w:t>经营性资产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134,931</w:t>
            </w:r>
          </w:p>
        </w:tc>
      </w:tr>
      <w:tr>
        <w:trPr>
          <w:trHeight w:val="407" w:hRule="exact"/>
        </w:trPr>
        <w:tc>
          <w:tcPr>
            <w:tcW w:w="1704" w:type="dxa"/>
            <w:vMerge/>
            <w:tcBorders>
              <w:left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100,071</w:t>
            </w:r>
          </w:p>
        </w:tc>
      </w:tr>
      <w:tr>
        <w:trPr>
          <w:trHeight w:val="407" w:hRule="exact"/>
        </w:trPr>
        <w:tc>
          <w:tcPr>
            <w:tcW w:w="1704" w:type="dxa"/>
            <w:vMerge/>
            <w:tcBorders>
              <w:left w:val="single" w:sz="4" w:space="0" w:color="000000"/>
              <w:right w:val="single" w:sz="4" w:space="0" w:color="000000"/>
            </w:tcBorders>
          </w:tcPr>
          <w:p>
            <w:pPr/>
          </w:p>
        </w:tc>
        <w:tc>
          <w:tcPr>
            <w:tcW w:w="1704" w:type="dxa"/>
            <w:vMerge w:val="restart"/>
            <w:tcBorders>
              <w:top w:val="single" w:sz="4" w:space="0" w:color="000000"/>
              <w:left w:val="single" w:sz="4" w:space="0" w:color="000000"/>
              <w:right w:val="single" w:sz="4" w:space="0" w:color="000000"/>
            </w:tcBorders>
          </w:tcPr>
          <w:p>
            <w:pPr>
              <w:pStyle w:val="TableParagraph"/>
              <w:spacing w:line="244" w:lineRule="auto" w:before="123"/>
              <w:ind w:left="103" w:right="73" w:firstLine="270"/>
              <w:jc w:val="left"/>
              <w:rPr>
                <w:rFonts w:ascii="宋体" w:hAnsi="宋体" w:cs="宋体" w:eastAsia="宋体" w:hint="default"/>
                <w:sz w:val="18"/>
                <w:szCs w:val="18"/>
              </w:rPr>
            </w:pPr>
            <w:r>
              <w:rPr>
                <w:rFonts w:ascii="宋体" w:hAnsi="宋体" w:cs="宋体" w:eastAsia="宋体" w:hint="default"/>
                <w:spacing w:val="22"/>
                <w:sz w:val="18"/>
                <w:szCs w:val="18"/>
              </w:rPr>
              <w:t>保全西部房地</w:t>
            </w:r>
            <w:r>
              <w:rPr>
                <w:rFonts w:ascii="宋体" w:hAnsi="宋体" w:cs="宋体" w:eastAsia="宋体" w:hint="default"/>
                <w:spacing w:val="-63"/>
                <w:sz w:val="18"/>
                <w:szCs w:val="18"/>
              </w:rPr>
              <w:t> </w:t>
            </w:r>
            <w:r>
              <w:rPr>
                <w:rFonts w:ascii="宋体" w:hAnsi="宋体" w:cs="宋体" w:eastAsia="宋体" w:hint="default"/>
                <w:sz w:val="18"/>
                <w:szCs w:val="18"/>
              </w:rPr>
              <w:t>产公司经营性资产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1.54%</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2,614,620</w:t>
            </w:r>
          </w:p>
        </w:tc>
      </w:tr>
      <w:tr>
        <w:trPr>
          <w:trHeight w:val="407" w:hRule="exact"/>
        </w:trPr>
        <w:tc>
          <w:tcPr>
            <w:tcW w:w="1704" w:type="dxa"/>
            <w:vMerge/>
            <w:tcBorders>
              <w:left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1.03%</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1,939,121</w:t>
            </w:r>
          </w:p>
        </w:tc>
      </w:tr>
      <w:tr>
        <w:trPr>
          <w:trHeight w:val="407" w:hRule="exact"/>
        </w:trPr>
        <w:tc>
          <w:tcPr>
            <w:tcW w:w="1704" w:type="dxa"/>
            <w:vMerge/>
            <w:tcBorders>
              <w:left w:val="single" w:sz="4" w:space="0" w:color="000000"/>
              <w:right w:val="single" w:sz="4" w:space="0" w:color="000000"/>
            </w:tcBorders>
          </w:tcPr>
          <w:p>
            <w:pP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3.13%</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5,307,460</w:t>
            </w:r>
          </w:p>
        </w:tc>
      </w:tr>
      <w:tr>
        <w:trPr>
          <w:trHeight w:val="408" w:hRule="exact"/>
        </w:trPr>
        <w:tc>
          <w:tcPr>
            <w:tcW w:w="1704"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2"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2.09%</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3,936,254</w:t>
            </w:r>
          </w:p>
        </w:tc>
      </w:tr>
      <w:tr>
        <w:trPr>
          <w:trHeight w:val="407" w:hRule="exact"/>
        </w:trPr>
        <w:tc>
          <w:tcPr>
            <w:tcW w:w="3408" w:type="dxa"/>
            <w:gridSpan w:val="2"/>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72"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25,415,516</w:t>
            </w:r>
          </w:p>
        </w:tc>
      </w:tr>
      <w:tr>
        <w:trPr>
          <w:trHeight w:val="407" w:hRule="exact"/>
        </w:trPr>
        <w:tc>
          <w:tcPr>
            <w:tcW w:w="3408" w:type="dxa"/>
            <w:gridSpan w:val="2"/>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2"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18,849,303</w:t>
            </w:r>
          </w:p>
        </w:tc>
      </w:tr>
      <w:tr>
        <w:trPr>
          <w:trHeight w:val="407" w:hRule="exact"/>
        </w:trPr>
        <w:tc>
          <w:tcPr>
            <w:tcW w:w="5112"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3"/>
              <w:ind w:left="271"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25%</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44,264,819</w:t>
            </w:r>
            <w:r>
              <w:rPr>
                <w:rFonts w:ascii="Times New Roman"/>
                <w:sz w:val="18"/>
              </w:rPr>
            </w:r>
          </w:p>
        </w:tc>
      </w:tr>
    </w:tbl>
    <w:p>
      <w:pPr>
        <w:spacing w:line="240" w:lineRule="auto" w:before="9"/>
        <w:rPr>
          <w:rFonts w:ascii="宋体" w:hAnsi="宋体" w:cs="宋体" w:eastAsia="宋体" w:hint="default"/>
          <w:sz w:val="14"/>
          <w:szCs w:val="14"/>
        </w:rPr>
      </w:pPr>
    </w:p>
    <w:p>
      <w:pPr>
        <w:pStyle w:val="BodyText"/>
        <w:spacing w:line="393" w:lineRule="auto" w:before="35"/>
        <w:ind w:left="301" w:right="690" w:firstLine="420"/>
        <w:jc w:val="both"/>
      </w:pPr>
      <w:r>
        <w:rPr>
          <w:spacing w:val="-3"/>
        </w:rPr>
        <w:t>另根据饲料公司、实业公司、科技公司和西部房地产公司的重整计划，该四子公司股东除</w:t>
      </w:r>
      <w:r>
        <w:rPr/>
        <w:t> </w:t>
      </w:r>
      <w:r>
        <w:rPr>
          <w:spacing w:val="-3"/>
        </w:rPr>
        <w:t>本公司外的其他股东让渡持有的公司股份，让渡的股份由本公司受让，该四子公司在重整计划</w:t>
      </w:r>
      <w:r>
        <w:rPr>
          <w:spacing w:val="-88"/>
        </w:rPr>
        <w:t> </w:t>
      </w:r>
      <w:r>
        <w:rPr>
          <w:spacing w:val="-88"/>
        </w:rPr>
      </w:r>
      <w:r>
        <w:rPr>
          <w:spacing w:val="-5"/>
        </w:rPr>
        <w:t>执行完毕后成为本公司的全资子公司。因该四子公司已于</w:t>
      </w:r>
      <w:r>
        <w:rPr>
          <w:spacing w:val="-5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日法院裁定重整计划</w:t>
      </w:r>
      <w:r>
        <w:rPr>
          <w:spacing w:val="-100"/>
        </w:rPr>
        <w:t> </w:t>
      </w:r>
      <w:r>
        <w:rPr/>
        <w:t>执行完毕，目前，该四子公司已办理完工商变更登记手续，已变更成为本公司的全资子公司。</w:t>
      </w:r>
    </w:p>
    <w:p>
      <w:pPr>
        <w:spacing w:after="0" w:line="393" w:lineRule="auto"/>
        <w:jc w:val="both"/>
        <w:sectPr>
          <w:footerReference w:type="default" r:id="rId44"/>
          <w:pgSz w:w="11910" w:h="16840"/>
          <w:pgMar w:footer="893" w:header="0" w:top="1140" w:bottom="1080" w:left="1400" w:right="900"/>
          <w:pgNumType w:start="110"/>
        </w:sectPr>
      </w:pPr>
    </w:p>
    <w:p>
      <w:pPr>
        <w:spacing w:line="240" w:lineRule="auto" w:before="13"/>
        <w:rPr>
          <w:rFonts w:ascii="宋体" w:hAnsi="宋体" w:cs="宋体" w:eastAsia="宋体" w:hint="default"/>
          <w:sz w:val="26"/>
          <w:szCs w:val="26"/>
        </w:rPr>
      </w:pPr>
    </w:p>
    <w:p>
      <w:pPr>
        <w:pStyle w:val="BodyText"/>
        <w:spacing w:line="480" w:lineRule="auto" w:before="35"/>
        <w:ind w:right="210"/>
        <w:jc w:val="left"/>
      </w:pPr>
      <w:r>
        <w:rPr>
          <w:rFonts w:ascii="Times New Roman" w:hAnsi="Times New Roman" w:cs="Times New Roman" w:eastAsia="Times New Roman" w:hint="default"/>
        </w:rPr>
        <w:t>3</w:t>
      </w:r>
      <w:r>
        <w:rPr/>
        <w:t>、债权分类 </w:t>
      </w:r>
      <w:r>
        <w:rPr>
          <w:spacing w:val="-3"/>
        </w:rPr>
        <w:t>除了饲料公司有税款债权和普通债权，本公司、实业公司、科技公司和西部房地产公司均</w:t>
      </w:r>
    </w:p>
    <w:p>
      <w:pPr>
        <w:pStyle w:val="BodyText"/>
        <w:spacing w:line="266" w:lineRule="exact"/>
        <w:ind w:left="141" w:right="0"/>
        <w:jc w:val="left"/>
      </w:pPr>
      <w:r>
        <w:rPr/>
        <w:t>只有普通债权。</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家公司均无职工债权。</w:t>
      </w:r>
    </w:p>
    <w:p>
      <w:pPr>
        <w:spacing w:line="240" w:lineRule="auto" w:before="1"/>
        <w:rPr>
          <w:rFonts w:ascii="宋体" w:hAnsi="宋体" w:cs="宋体" w:eastAsia="宋体" w:hint="default"/>
          <w:sz w:val="22"/>
          <w:szCs w:val="22"/>
        </w:rPr>
      </w:pPr>
    </w:p>
    <w:p>
      <w:pPr>
        <w:pStyle w:val="BodyText"/>
        <w:spacing w:line="480" w:lineRule="auto"/>
        <w:ind w:right="210"/>
        <w:jc w:val="left"/>
      </w:pPr>
      <w:r>
        <w:rPr>
          <w:rFonts w:ascii="Times New Roman" w:hAnsi="Times New Roman" w:cs="Times New Roman" w:eastAsia="Times New Roman" w:hint="default"/>
        </w:rPr>
        <w:t>4</w:t>
      </w:r>
      <w:r>
        <w:rPr/>
        <w:t>、债权受偿方案 </w:t>
      </w:r>
      <w:r>
        <w:rPr>
          <w:spacing w:val="-3"/>
        </w:rPr>
        <w:t>根据本公司以及饲料公司、实业公司、科技公司和西部房地产公司四子公司重整计划，公</w:t>
      </w:r>
    </w:p>
    <w:p>
      <w:pPr>
        <w:pStyle w:val="BodyText"/>
        <w:spacing w:line="250" w:lineRule="exact"/>
        <w:ind w:left="141" w:right="0"/>
        <w:jc w:val="left"/>
      </w:pPr>
      <w:r>
        <w:rPr/>
        <w:t>司债权受偿方案具体如下：</w:t>
      </w:r>
    </w:p>
    <w:p>
      <w:pPr>
        <w:spacing w:line="240" w:lineRule="auto" w:before="4"/>
        <w:rPr>
          <w:rFonts w:ascii="宋体" w:hAnsi="宋体" w:cs="宋体" w:eastAsia="宋体" w:hint="default"/>
          <w:sz w:val="23"/>
          <w:szCs w:val="23"/>
        </w:rPr>
      </w:pPr>
    </w:p>
    <w:p>
      <w:pPr>
        <w:pStyle w:val="BodyText"/>
        <w:spacing w:line="400" w:lineRule="auto"/>
        <w:ind w:left="141" w:right="215" w:firstLine="420"/>
        <w:jc w:val="both"/>
      </w:pPr>
      <w:r>
        <w:rPr/>
        <w:pict>
          <v:shape style="position:absolute;margin-left:84.360001pt;margin-top:111.368874pt;width:425.3pt;height:152.8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9"/>
                    <w:gridCol w:w="2766"/>
                    <w:gridCol w:w="2766"/>
                  </w:tblGrid>
                  <w:tr>
                    <w:trPr>
                      <w:trHeight w:val="434"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95"/>
                          <w:jc w:val="right"/>
                          <w:rPr>
                            <w:rFonts w:ascii="宋体" w:hAnsi="宋体" w:cs="宋体" w:eastAsia="宋体" w:hint="default"/>
                            <w:sz w:val="18"/>
                            <w:szCs w:val="18"/>
                          </w:rPr>
                        </w:pPr>
                        <w:r>
                          <w:rPr>
                            <w:rFonts w:ascii="宋体" w:hAnsi="宋体" w:cs="宋体" w:eastAsia="宋体" w:hint="default"/>
                            <w:sz w:val="18"/>
                            <w:szCs w:val="18"/>
                          </w:rPr>
                          <w:t>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46" w:right="0"/>
                          <w:jc w:val="left"/>
                          <w:rPr>
                            <w:rFonts w:ascii="宋体" w:hAnsi="宋体" w:cs="宋体" w:eastAsia="宋体" w:hint="default"/>
                            <w:sz w:val="18"/>
                            <w:szCs w:val="18"/>
                          </w:rPr>
                        </w:pPr>
                        <w:r>
                          <w:rPr>
                            <w:rFonts w:ascii="宋体" w:hAnsi="宋体" w:cs="宋体" w:eastAsia="宋体" w:hint="default"/>
                            <w:sz w:val="18"/>
                            <w:szCs w:val="18"/>
                          </w:rPr>
                          <w:t>股东让渡的股票</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6" w:right="0"/>
                          <w:jc w:val="left"/>
                          <w:rPr>
                            <w:rFonts w:ascii="宋体" w:hAnsi="宋体" w:cs="宋体" w:eastAsia="宋体" w:hint="default"/>
                            <w:sz w:val="18"/>
                            <w:szCs w:val="18"/>
                          </w:rPr>
                        </w:pPr>
                        <w:r>
                          <w:rPr>
                            <w:rFonts w:ascii="宋体" w:hAnsi="宋体" w:cs="宋体" w:eastAsia="宋体" w:hint="default"/>
                            <w:sz w:val="18"/>
                            <w:szCs w:val="18"/>
                          </w:rPr>
                          <w:t>作为债权人受偿的股票</w:t>
                        </w:r>
                      </w:p>
                    </w:tc>
                  </w:tr>
                  <w:tr>
                    <w:trPr>
                      <w:trHeight w:val="436"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35,021,105.00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r>
                  <w:tr>
                    <w:trPr>
                      <w:trHeight w:val="434"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饲料公司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2,447,068.00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6,748,640.00</w:t>
                        </w:r>
                      </w:p>
                    </w:tc>
                  </w:tr>
                  <w:tr>
                    <w:trPr>
                      <w:trHeight w:val="436"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实业公司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235,001.00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1,836,652.00</w:t>
                        </w:r>
                      </w:p>
                    </w:tc>
                  </w:tr>
                  <w:tr>
                    <w:trPr>
                      <w:trHeight w:val="434"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2,007,903.00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3,199,742.00</w:t>
                        </w:r>
                      </w:p>
                    </w:tc>
                  </w:tr>
                  <w:tr>
                    <w:trPr>
                      <w:trHeight w:val="436"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西部房地产公司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4,553,742.00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1,261,183.00</w:t>
                        </w:r>
                      </w:p>
                    </w:tc>
                  </w:tr>
                  <w:tr>
                    <w:trPr>
                      <w:trHeight w:val="435" w:hRule="exact"/>
                    </w:trPr>
                    <w:tc>
                      <w:tcPr>
                        <w:tcW w:w="29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9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44,264,819.00</w:t>
                        </w:r>
                        <w:r>
                          <w:rPr>
                            <w:rFonts w:ascii="Times New Roman"/>
                            <w:spacing w:val="-1"/>
                            <w:sz w:val="18"/>
                          </w:rPr>
                        </w:r>
                      </w:p>
                    </w:tc>
                    <w:tc>
                      <w:tcPr>
                        <w:tcW w:w="27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13,046,217.00</w:t>
                        </w:r>
                        <w:r>
                          <w:rPr>
                            <w:rFonts w:ascii="Times New Roman"/>
                            <w:spacing w:val="-1"/>
                            <w:sz w:val="18"/>
                          </w:rPr>
                        </w:r>
                      </w:p>
                    </w:tc>
                  </w:tr>
                </w:tbl>
                <w:p>
                  <w:pPr/>
                </w:p>
              </w:txbxContent>
            </v:textbox>
            <w10:wrap type="none"/>
          </v:shape>
        </w:pict>
      </w:r>
      <w:r>
        <w:rPr>
          <w:spacing w:val="-3"/>
        </w:rPr>
        <w:t>【偿债资金来源】：本公司债权受偿资金来源于本公司股东为支付重整费用和共益债务、</w:t>
      </w:r>
      <w:r>
        <w:rPr/>
        <w:t> </w:t>
      </w:r>
      <w:r>
        <w:rPr>
          <w:spacing w:val="-3"/>
        </w:rPr>
        <w:t>清偿债权目的让渡的股票；饲料公司、实业公司、科技公司和西部房地产公司四子公司债权人</w:t>
      </w:r>
      <w:r>
        <w:rPr>
          <w:spacing w:val="-87"/>
        </w:rPr>
        <w:t> </w:t>
      </w:r>
      <w:r>
        <w:rPr>
          <w:spacing w:val="-87"/>
        </w:rPr>
      </w:r>
      <w:r>
        <w:rPr>
          <w:spacing w:val="-3"/>
        </w:rPr>
        <w:t>受偿资金来源于本公司股东让渡的，用于保全该等子公司经营性资产的公司股票以及该等子公</w:t>
      </w:r>
      <w:r>
        <w:rPr>
          <w:spacing w:val="-88"/>
        </w:rPr>
        <w:t> </w:t>
      </w:r>
      <w:r>
        <w:rPr>
          <w:spacing w:val="-88"/>
        </w:rPr>
      </w:r>
      <w:r>
        <w:rPr>
          <w:spacing w:val="-3"/>
        </w:rPr>
        <w:t>司作为债权人，参与相应重整程序受偿的公司股票。本公司以及四子公司获得股东让渡股票以</w:t>
      </w:r>
      <w:r>
        <w:rPr>
          <w:spacing w:val="-88"/>
        </w:rPr>
        <w:t> </w:t>
      </w:r>
      <w:r>
        <w:rPr>
          <w:spacing w:val="-88"/>
        </w:rPr>
      </w:r>
      <w:r>
        <w:rPr/>
        <w:t>及作为债权人申报债权所获得的股票统计如下：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400" w:lineRule="auto" w:before="35"/>
        <w:ind w:left="141" w:right="215" w:firstLine="420"/>
        <w:jc w:val="both"/>
      </w:pPr>
      <w:r>
        <w:rPr>
          <w:spacing w:val="-3"/>
        </w:rPr>
        <w:t>【税款债权受偿方案】：以本公司股东让渡的股票全额清偿，清偿方式为将税款债权人分</w:t>
      </w:r>
      <w:r>
        <w:rPr/>
        <w:t> </w:t>
      </w:r>
      <w:r>
        <w:rPr>
          <w:spacing w:val="2"/>
        </w:rPr>
        <w:t>配所得股票变现后以变现所得款项向税务机关清偿。变现所得款项不足以全额清偿税款债权</w:t>
      </w:r>
      <w:r>
        <w:rPr>
          <w:spacing w:val="-100"/>
        </w:rPr>
        <w:t> </w:t>
      </w:r>
      <w:r>
        <w:rPr>
          <w:spacing w:val="-100"/>
        </w:rPr>
      </w:r>
      <w:r>
        <w:rPr>
          <w:spacing w:val="-3"/>
        </w:rPr>
        <w:t>的，由公司以后续经营所得资金补足；变现所得款项在全额清偿税款债权后仍有剩余的，归公</w:t>
      </w:r>
      <w:r>
        <w:rPr>
          <w:spacing w:val="-87"/>
        </w:rPr>
        <w:t> </w:t>
      </w:r>
      <w:r>
        <w:rPr>
          <w:spacing w:val="-87"/>
        </w:rPr>
      </w:r>
      <w:r>
        <w:rPr/>
        <w:t>司所有。</w:t>
      </w:r>
    </w:p>
    <w:p>
      <w:pPr>
        <w:pStyle w:val="BodyText"/>
        <w:spacing w:line="240" w:lineRule="auto" w:before="164"/>
        <w:ind w:right="0"/>
        <w:jc w:val="left"/>
      </w:pPr>
      <w:r>
        <w:rPr/>
        <w:t>【确定之债权受偿方案</w:t>
      </w:r>
      <w:r>
        <w:rPr>
          <w:spacing w:val="-106"/>
        </w:rPr>
        <w:t>】</w:t>
      </w:r>
      <w:r>
        <w:rPr/>
        <w:t>：以本公司股东让渡的股票按比例进行分配。</w:t>
      </w:r>
    </w:p>
    <w:p>
      <w:pPr>
        <w:spacing w:line="240" w:lineRule="auto" w:before="4"/>
        <w:rPr>
          <w:rFonts w:ascii="宋体" w:hAnsi="宋体" w:cs="宋体" w:eastAsia="宋体" w:hint="default"/>
          <w:sz w:val="23"/>
          <w:szCs w:val="23"/>
        </w:rPr>
      </w:pPr>
    </w:p>
    <w:p>
      <w:pPr>
        <w:pStyle w:val="BodyText"/>
        <w:spacing w:line="403" w:lineRule="auto"/>
        <w:ind w:left="141" w:right="0" w:firstLine="420"/>
        <w:jc w:val="left"/>
      </w:pPr>
      <w:r>
        <w:rPr>
          <w:spacing w:val="-6"/>
        </w:rPr>
        <w:t>【预计债权受偿方案】：按清偿比例预留相应股票，其中流通股和限售流通股按比例预留。</w:t>
      </w:r>
      <w:r>
        <w:rPr/>
        <w:t> 在预计债权获得最终确认后，将预留股票的处置变现资金分配给相应债权人。</w:t>
      </w:r>
    </w:p>
    <w:p>
      <w:pPr>
        <w:pStyle w:val="BodyText"/>
        <w:spacing w:line="240" w:lineRule="auto" w:before="162"/>
        <w:ind w:right="0"/>
        <w:jc w:val="left"/>
      </w:pPr>
      <w:r>
        <w:rPr/>
        <w:t>【预计税款债权受偿方案</w:t>
      </w:r>
      <w:r>
        <w:rPr>
          <w:spacing w:val="-105"/>
        </w:rPr>
        <w:t>】</w:t>
      </w:r>
      <w:r>
        <w:rPr/>
        <w:t>：按账</w:t>
      </w:r>
      <w:r>
        <w:rPr>
          <w:spacing w:val="-2"/>
        </w:rPr>
        <w:t>面</w:t>
      </w:r>
      <w:r>
        <w:rPr/>
        <w:t>金额全额预留公司股票。</w:t>
      </w:r>
    </w:p>
    <w:p>
      <w:pPr>
        <w:spacing w:line="240" w:lineRule="auto" w:before="4"/>
        <w:rPr>
          <w:rFonts w:ascii="宋体" w:hAnsi="宋体" w:cs="宋体" w:eastAsia="宋体" w:hint="default"/>
          <w:sz w:val="23"/>
          <w:szCs w:val="23"/>
        </w:rPr>
      </w:pPr>
    </w:p>
    <w:p>
      <w:pPr>
        <w:pStyle w:val="BodyText"/>
        <w:spacing w:line="403" w:lineRule="auto"/>
        <w:ind w:left="141" w:right="210" w:firstLine="420"/>
        <w:jc w:val="left"/>
      </w:pPr>
      <w:r>
        <w:rPr>
          <w:spacing w:val="-3"/>
        </w:rPr>
        <w:t>【未申报债权的受偿方案】：在重整计划执行完毕后，按照同类债权的清偿比例以各自公</w:t>
      </w:r>
      <w:r>
        <w:rPr/>
        <w:t> 司后续经营所得进行清偿，不再预留股票。</w:t>
      </w:r>
    </w:p>
    <w:p>
      <w:pPr>
        <w:spacing w:after="0" w:line="403" w:lineRule="auto"/>
        <w:jc w:val="left"/>
        <w:sectPr>
          <w:pgSz w:w="11910" w:h="16840"/>
          <w:pgMar w:header="0" w:footer="893" w:top="1140" w:bottom="1080" w:left="1560" w:right="1480"/>
        </w:sectPr>
      </w:pPr>
    </w:p>
    <w:p>
      <w:pPr>
        <w:spacing w:line="240" w:lineRule="auto" w:before="13"/>
        <w:rPr>
          <w:rFonts w:ascii="宋体" w:hAnsi="宋体" w:cs="宋体" w:eastAsia="宋体" w:hint="default"/>
          <w:sz w:val="26"/>
          <w:szCs w:val="26"/>
        </w:rPr>
      </w:pPr>
    </w:p>
    <w:p>
      <w:pPr>
        <w:pStyle w:val="BodyText"/>
        <w:spacing w:line="240" w:lineRule="auto" w:before="35"/>
        <w:ind w:left="641" w:right="174"/>
        <w:jc w:val="left"/>
      </w:pPr>
      <w:r>
        <w:rPr/>
        <w:t>【股票价格和普通债权清偿比例确定</w:t>
      </w:r>
      <w:r>
        <w:rPr>
          <w:spacing w:val="-105"/>
        </w:rPr>
        <w:t>】</w:t>
      </w:r>
      <w:r>
        <w:rPr/>
        <w:t>：本公</w:t>
      </w:r>
      <w:r>
        <w:rPr>
          <w:spacing w:val="-2"/>
        </w:rPr>
        <w:t>司</w:t>
      </w:r>
      <w:r>
        <w:rPr/>
        <w:t>股东让渡股票的价格，按照</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w:t>
      </w:r>
      <w:r>
        <w:rPr>
          <w:spacing w:val="-54"/>
        </w:rPr>
        <w:t> </w:t>
      </w:r>
      <w:r>
        <w:rPr>
          <w:rFonts w:ascii="Times New Roman" w:hAnsi="Times New Roman" w:cs="Times New Roman" w:eastAsia="Times New Roman" w:hint="default"/>
        </w:rPr>
        <w:t>12 </w:t>
      </w:r>
      <w:r>
        <w:rPr/>
        <w:t>月</w:t>
      </w:r>
    </w:p>
    <w:p>
      <w:pPr>
        <w:pStyle w:val="BodyText"/>
        <w:spacing w:line="379" w:lineRule="auto" w:before="170"/>
        <w:ind w:left="221" w:right="288"/>
        <w:jc w:val="left"/>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日停牌前二十个交易日的加权平均价</w:t>
      </w:r>
      <w:r>
        <w:rPr>
          <w:spacing w:val="-51"/>
        </w:rPr>
        <w:t> </w:t>
      </w:r>
      <w:r>
        <w:rPr>
          <w:rFonts w:ascii="Times New Roman" w:hAnsi="Times New Roman" w:cs="Times New Roman" w:eastAsia="Times New Roman" w:hint="default"/>
        </w:rPr>
        <w:t>8.64</w:t>
      </w:r>
      <w:r>
        <w:rPr>
          <w:rFonts w:ascii="Times New Roman" w:hAnsi="Times New Roman" w:cs="Times New Roman" w:eastAsia="Times New Roman" w:hint="default"/>
          <w:spacing w:val="2"/>
        </w:rPr>
        <w:t> </w:t>
      </w:r>
      <w:r>
        <w:rPr>
          <w:spacing w:val="-3"/>
        </w:rPr>
        <w:t>元</w:t>
      </w:r>
      <w:r>
        <w:rPr>
          <w:rFonts w:ascii="Times New Roman" w:hAnsi="Times New Roman" w:cs="Times New Roman" w:eastAsia="Times New Roman" w:hint="default"/>
          <w:spacing w:val="-3"/>
        </w:rPr>
        <w:t>/</w:t>
      </w:r>
      <w:r>
        <w:rPr>
          <w:spacing w:val="-3"/>
        </w:rPr>
        <w:t>股计算。按照股票折价方案，各公司重整案普</w:t>
      </w:r>
      <w:r>
        <w:rPr/>
        <w:t> 通债权清偿比例如下：</w:t>
      </w:r>
    </w:p>
    <w:tbl>
      <w:tblPr>
        <w:tblW w:w="0" w:type="auto"/>
        <w:jc w:val="left"/>
        <w:tblInd w:w="108" w:type="dxa"/>
        <w:tblLayout w:type="fixed"/>
        <w:tblCellMar>
          <w:top w:w="0" w:type="dxa"/>
          <w:left w:w="0" w:type="dxa"/>
          <w:bottom w:w="0" w:type="dxa"/>
          <w:right w:w="0" w:type="dxa"/>
        </w:tblCellMar>
        <w:tblLook w:val="01E0"/>
      </w:tblPr>
      <w:tblGrid>
        <w:gridCol w:w="4400"/>
        <w:gridCol w:w="4386"/>
      </w:tblGrid>
      <w:tr>
        <w:trPr>
          <w:trHeight w:val="379"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普通债权清偿比例</w:t>
            </w:r>
          </w:p>
        </w:tc>
      </w:tr>
      <w:tr>
        <w:trPr>
          <w:trHeight w:val="379"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w w:val="95"/>
                <w:sz w:val="18"/>
              </w:rPr>
              <w:t>20.3298%</w:t>
            </w:r>
            <w:r>
              <w:rPr>
                <w:rFonts w:ascii="Times New Roman"/>
                <w:sz w:val="18"/>
              </w:rPr>
            </w:r>
          </w:p>
        </w:tc>
      </w:tr>
      <w:tr>
        <w:trPr>
          <w:trHeight w:val="379"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饲料公司</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w w:val="95"/>
                <w:sz w:val="18"/>
              </w:rPr>
              <w:t>24.644%</w:t>
            </w:r>
            <w:r>
              <w:rPr>
                <w:rFonts w:ascii="Times New Roman"/>
                <w:sz w:val="18"/>
              </w:rPr>
            </w:r>
          </w:p>
        </w:tc>
      </w:tr>
      <w:tr>
        <w:trPr>
          <w:trHeight w:val="379"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实业公司</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w w:val="95"/>
                <w:sz w:val="18"/>
              </w:rPr>
              <w:t>48.3769%</w:t>
            </w:r>
            <w:r>
              <w:rPr>
                <w:rFonts w:ascii="Times New Roman"/>
                <w:sz w:val="18"/>
              </w:rPr>
            </w:r>
          </w:p>
        </w:tc>
      </w:tr>
      <w:tr>
        <w:trPr>
          <w:trHeight w:val="378"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科技公司</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w w:val="95"/>
                <w:sz w:val="18"/>
              </w:rPr>
              <w:t>20.4533%</w:t>
            </w:r>
            <w:r>
              <w:rPr>
                <w:rFonts w:ascii="Times New Roman"/>
                <w:sz w:val="18"/>
              </w:rPr>
            </w:r>
          </w:p>
        </w:tc>
      </w:tr>
      <w:tr>
        <w:trPr>
          <w:trHeight w:val="38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西部房地产公司</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w w:val="95"/>
                <w:sz w:val="18"/>
              </w:rPr>
              <w:t>18.1015%</w:t>
            </w:r>
            <w:r>
              <w:rPr>
                <w:rFonts w:ascii="Times New Roman"/>
                <w:sz w:val="18"/>
              </w:rPr>
            </w:r>
          </w:p>
        </w:tc>
      </w:tr>
    </w:tbl>
    <w:p>
      <w:pPr>
        <w:spacing w:line="240" w:lineRule="auto" w:before="2"/>
        <w:rPr>
          <w:rFonts w:ascii="宋体" w:hAnsi="宋体" w:cs="宋体" w:eastAsia="宋体" w:hint="default"/>
          <w:sz w:val="15"/>
          <w:szCs w:val="15"/>
        </w:rPr>
      </w:pPr>
    </w:p>
    <w:p>
      <w:pPr>
        <w:pStyle w:val="BodyText"/>
        <w:spacing w:line="240" w:lineRule="auto" w:before="35"/>
        <w:ind w:left="641" w:right="174"/>
        <w:jc w:val="left"/>
      </w:pPr>
      <w:r>
        <w:rPr/>
        <w:t>按照上述方案清偿后未获清偿的普通债权，各公司不再承担清偿责任。</w:t>
      </w:r>
    </w:p>
    <w:p>
      <w:pPr>
        <w:spacing w:line="240" w:lineRule="auto" w:before="4"/>
        <w:rPr>
          <w:rFonts w:ascii="宋体" w:hAnsi="宋体" w:cs="宋体" w:eastAsia="宋体" w:hint="default"/>
          <w:sz w:val="23"/>
          <w:szCs w:val="23"/>
        </w:rPr>
      </w:pPr>
    </w:p>
    <w:p>
      <w:pPr>
        <w:pStyle w:val="BodyText"/>
        <w:spacing w:line="240" w:lineRule="auto"/>
        <w:ind w:left="641" w:right="174"/>
        <w:jc w:val="left"/>
      </w:pPr>
      <w:r>
        <w:rPr>
          <w:rFonts w:ascii="Times New Roman" w:hAnsi="Times New Roman" w:cs="Times New Roman" w:eastAsia="Times New Roman" w:hint="default"/>
        </w:rPr>
        <w:t>5</w:t>
      </w:r>
      <w:r>
        <w:rPr/>
        <w:t>、重整计划的执行期限和重整计划执行的监督期限</w:t>
      </w:r>
    </w:p>
    <w:p>
      <w:pPr>
        <w:spacing w:line="240" w:lineRule="auto" w:before="1"/>
        <w:rPr>
          <w:rFonts w:ascii="宋体" w:hAnsi="宋体" w:cs="宋体" w:eastAsia="宋体" w:hint="default"/>
          <w:sz w:val="22"/>
          <w:szCs w:val="22"/>
        </w:rPr>
      </w:pPr>
    </w:p>
    <w:p>
      <w:pPr>
        <w:pStyle w:val="BodyText"/>
        <w:spacing w:line="393" w:lineRule="auto"/>
        <w:ind w:left="221" w:right="296" w:firstLine="420"/>
        <w:jc w:val="both"/>
      </w:pPr>
      <w:r>
        <w:rPr/>
        <w:t>本公司重整计划执行期为</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个月，自</w:t>
      </w:r>
      <w:r>
        <w:rPr>
          <w:spacing w:val="-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日起至</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50"/>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日止。本 </w:t>
      </w:r>
      <w:r>
        <w:rPr>
          <w:spacing w:val="-3"/>
        </w:rPr>
        <w:t>公司重整计划执行完毕的标准，以普通债权人分得的股票过户完毕，预留或提存的股票划入重</w:t>
      </w:r>
      <w:r>
        <w:rPr>
          <w:spacing w:val="-88"/>
        </w:rPr>
        <w:t> </w:t>
      </w:r>
      <w:r>
        <w:rPr>
          <w:spacing w:val="-88"/>
        </w:rPr>
      </w:r>
      <w:r>
        <w:rPr>
          <w:spacing w:val="-3"/>
        </w:rPr>
        <w:t>整管理人账户内；涉及本公司股东权益调整事项的，以法院为办理股东权益调整过户手续作出</w:t>
      </w:r>
      <w:r>
        <w:rPr>
          <w:spacing w:val="-88"/>
        </w:rPr>
        <w:t> </w:t>
      </w:r>
      <w:r>
        <w:rPr>
          <w:spacing w:val="-88"/>
        </w:rPr>
      </w:r>
      <w:r>
        <w:rPr/>
        <w:t>的相关文书出具之日为准。重整计划监督期同重整计划执行期。</w:t>
      </w:r>
    </w:p>
    <w:p>
      <w:pPr>
        <w:pStyle w:val="BodyText"/>
        <w:spacing w:line="240" w:lineRule="auto" w:before="170"/>
        <w:ind w:left="641" w:right="174"/>
        <w:jc w:val="left"/>
      </w:pPr>
      <w:r>
        <w:rPr>
          <w:rFonts w:ascii="Times New Roman" w:hAnsi="Times New Roman" w:cs="Times New Roman" w:eastAsia="Times New Roman" w:hint="default"/>
        </w:rPr>
        <w:t>6</w:t>
      </w:r>
      <w:r>
        <w:rPr/>
        <w:t>、重整计划的效力</w:t>
      </w:r>
    </w:p>
    <w:p>
      <w:pPr>
        <w:spacing w:line="240" w:lineRule="auto" w:before="2"/>
        <w:rPr>
          <w:rFonts w:ascii="宋体" w:hAnsi="宋体" w:cs="宋体" w:eastAsia="宋体" w:hint="default"/>
          <w:sz w:val="22"/>
          <w:szCs w:val="22"/>
        </w:rPr>
      </w:pPr>
    </w:p>
    <w:p>
      <w:pPr>
        <w:pStyle w:val="BodyText"/>
        <w:spacing w:line="379" w:lineRule="auto"/>
        <w:ind w:left="220" w:right="286" w:firstLine="420"/>
        <w:jc w:val="left"/>
      </w:pPr>
      <w:r>
        <w:rPr/>
        <w:t>本公司重整计划在依据破产法第</w:t>
      </w:r>
      <w:r>
        <w:rPr>
          <w:spacing w:val="-52"/>
        </w:rPr>
        <w:t> </w:t>
      </w:r>
      <w:r>
        <w:rPr>
          <w:rFonts w:ascii="Times New Roman" w:hAnsi="Times New Roman" w:cs="Times New Roman" w:eastAsia="Times New Roman" w:hint="default"/>
        </w:rPr>
        <w:t>84 </w:t>
      </w:r>
      <w:r>
        <w:rPr/>
        <w:t>条至第</w:t>
      </w:r>
      <w:r>
        <w:rPr>
          <w:spacing w:val="-52"/>
        </w:rPr>
        <w:t> </w:t>
      </w:r>
      <w:r>
        <w:rPr>
          <w:rFonts w:ascii="Times New Roman" w:hAnsi="Times New Roman" w:cs="Times New Roman" w:eastAsia="Times New Roman" w:hint="default"/>
        </w:rPr>
        <w:t>88</w:t>
      </w:r>
      <w:r>
        <w:rPr>
          <w:rFonts w:ascii="Times New Roman" w:hAnsi="Times New Roman" w:cs="Times New Roman" w:eastAsia="Times New Roman" w:hint="default"/>
          <w:spacing w:val="1"/>
        </w:rPr>
        <w:t> </w:t>
      </w:r>
      <w:r>
        <w:rPr>
          <w:spacing w:val="-6"/>
        </w:rPr>
        <w:t>条之相关规定，由债权人会议、股东组会议</w:t>
      </w:r>
      <w:r>
        <w:rPr/>
        <w:t> 表决通过，和</w:t>
      </w:r>
      <w:r>
        <w:rPr>
          <w:rFonts w:ascii="Times New Roman" w:hAnsi="Times New Roman" w:cs="Times New Roman" w:eastAsia="Times New Roman" w:hint="default"/>
        </w:rPr>
        <w:t>/</w:t>
      </w:r>
      <w:r>
        <w:rPr/>
        <w:t>或经法院裁定批准后生效，对债务人和全体债权人具有约束力。</w:t>
      </w:r>
    </w:p>
    <w:p>
      <w:pPr>
        <w:pStyle w:val="BodyText"/>
        <w:spacing w:line="240" w:lineRule="auto" w:before="155"/>
        <w:ind w:left="640" w:right="174"/>
        <w:jc w:val="left"/>
      </w:pPr>
      <w:r>
        <w:rPr>
          <w:rFonts w:ascii="Times New Roman" w:hAnsi="Times New Roman" w:cs="Times New Roman" w:eastAsia="Times New Roman" w:hint="default"/>
        </w:rPr>
        <w:t>7</w:t>
      </w:r>
      <w:r>
        <w:rPr/>
        <w:t>、债务重组收益</w:t>
      </w:r>
    </w:p>
    <w:p>
      <w:pPr>
        <w:spacing w:line="240" w:lineRule="auto" w:before="1"/>
        <w:rPr>
          <w:rFonts w:ascii="宋体" w:hAnsi="宋体" w:cs="宋体" w:eastAsia="宋体" w:hint="default"/>
          <w:sz w:val="22"/>
          <w:szCs w:val="22"/>
        </w:rPr>
      </w:pPr>
    </w:p>
    <w:p>
      <w:pPr>
        <w:pStyle w:val="BodyText"/>
        <w:spacing w:line="391" w:lineRule="auto"/>
        <w:ind w:left="220" w:right="296"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65"/>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日，深圳市中级人民法院已对本公司、饲料公司、实业公司、科技公司和 </w:t>
      </w:r>
      <w:r>
        <w:rPr>
          <w:spacing w:val="-3"/>
        </w:rPr>
        <w:t>西部房地产公司作出重整计划执行完毕的裁定书，按照重整计划减免的债务，自重整计划执行</w:t>
      </w:r>
      <w:r>
        <w:rPr>
          <w:spacing w:val="-88"/>
        </w:rPr>
        <w:t> </w:t>
      </w:r>
      <w:r>
        <w:rPr>
          <w:spacing w:val="-88"/>
        </w:rPr>
      </w:r>
      <w:r>
        <w:rPr/>
        <w:t>完毕时起，公司不再承担清偿责任。公司重整事项对本年度主要财务报表项目的影响如下：</w:t>
      </w:r>
    </w:p>
    <w:p>
      <w:pPr>
        <w:pStyle w:val="BodyText"/>
        <w:spacing w:line="240" w:lineRule="auto" w:before="172"/>
        <w:ind w:left="640" w:right="174"/>
        <w:jc w:val="left"/>
      </w:pPr>
      <w:r>
        <w:rPr/>
        <w:t>因重整清偿和免除的合并报表各项债务约为</w:t>
      </w:r>
      <w:r>
        <w:rPr>
          <w:spacing w:val="-54"/>
        </w:rPr>
        <w:t> </w:t>
      </w:r>
      <w:r>
        <w:rPr>
          <w:rFonts w:ascii="Times New Roman" w:hAnsi="Times New Roman" w:cs="Times New Roman" w:eastAsia="Times New Roman" w:hint="default"/>
        </w:rPr>
        <w:t>8.66</w:t>
      </w:r>
      <w:r>
        <w:rPr>
          <w:rFonts w:ascii="Times New Roman" w:hAnsi="Times New Roman" w:cs="Times New Roman" w:eastAsia="Times New Roman" w:hint="default"/>
          <w:spacing w:val="-1"/>
        </w:rPr>
        <w:t> </w:t>
      </w:r>
      <w:r>
        <w:rPr/>
        <w:t>亿元；</w:t>
      </w:r>
    </w:p>
    <w:p>
      <w:pPr>
        <w:spacing w:line="240" w:lineRule="auto" w:before="1"/>
        <w:rPr>
          <w:rFonts w:ascii="宋体" w:hAnsi="宋体" w:cs="宋体" w:eastAsia="宋体" w:hint="default"/>
          <w:sz w:val="22"/>
          <w:szCs w:val="22"/>
        </w:rPr>
      </w:pPr>
    </w:p>
    <w:p>
      <w:pPr>
        <w:pStyle w:val="BodyText"/>
        <w:spacing w:line="240" w:lineRule="auto"/>
        <w:ind w:left="640" w:right="174"/>
        <w:jc w:val="left"/>
      </w:pPr>
      <w:r>
        <w:rPr/>
        <w:t>股东让渡股票增加合并报表资本公积</w:t>
      </w:r>
      <w:r>
        <w:rPr>
          <w:spacing w:val="-55"/>
        </w:rPr>
        <w:t> </w:t>
      </w:r>
      <w:r>
        <w:rPr>
          <w:rFonts w:ascii="Times New Roman" w:hAnsi="Times New Roman" w:cs="Times New Roman" w:eastAsia="Times New Roman" w:hint="default"/>
        </w:rPr>
        <w:t>3.77</w:t>
      </w:r>
      <w:r>
        <w:rPr>
          <w:rFonts w:ascii="Times New Roman" w:hAnsi="Times New Roman" w:cs="Times New Roman" w:eastAsia="Times New Roman" w:hint="default"/>
          <w:spacing w:val="-2"/>
        </w:rPr>
        <w:t> </w:t>
      </w:r>
      <w:r>
        <w:rPr/>
        <w:t>亿元；</w:t>
      </w:r>
    </w:p>
    <w:p>
      <w:pPr>
        <w:spacing w:line="240" w:lineRule="auto" w:before="1"/>
        <w:rPr>
          <w:rFonts w:ascii="宋体" w:hAnsi="宋体" w:cs="宋体" w:eastAsia="宋体" w:hint="default"/>
          <w:sz w:val="22"/>
          <w:szCs w:val="22"/>
        </w:rPr>
      </w:pPr>
    </w:p>
    <w:p>
      <w:pPr>
        <w:pStyle w:val="BodyText"/>
        <w:spacing w:line="240" w:lineRule="auto"/>
        <w:ind w:left="640" w:right="174"/>
        <w:jc w:val="left"/>
      </w:pPr>
      <w:r>
        <w:rPr/>
        <w:t>债务重组利得增加合并报表净利润</w:t>
      </w:r>
      <w:r>
        <w:rPr>
          <w:spacing w:val="-55"/>
        </w:rPr>
        <w:t> </w:t>
      </w:r>
      <w:r>
        <w:rPr>
          <w:rFonts w:ascii="Times New Roman" w:hAnsi="Times New Roman" w:cs="Times New Roman" w:eastAsia="Times New Roman" w:hint="default"/>
        </w:rPr>
        <w:t>4.89</w:t>
      </w:r>
      <w:r>
        <w:rPr>
          <w:rFonts w:ascii="Times New Roman" w:hAnsi="Times New Roman" w:cs="Times New Roman" w:eastAsia="Times New Roman" w:hint="default"/>
          <w:spacing w:val="-1"/>
        </w:rPr>
        <w:t> </w:t>
      </w:r>
      <w:r>
        <w:rPr/>
        <w:t>亿元。</w:t>
      </w:r>
    </w:p>
    <w:p>
      <w:pPr>
        <w:spacing w:line="240" w:lineRule="auto" w:before="2"/>
        <w:rPr>
          <w:rFonts w:ascii="宋体" w:hAnsi="宋体" w:cs="宋体" w:eastAsia="宋体" w:hint="default"/>
          <w:sz w:val="22"/>
          <w:szCs w:val="22"/>
        </w:rPr>
      </w:pPr>
    </w:p>
    <w:p>
      <w:pPr>
        <w:pStyle w:val="BodyText"/>
        <w:spacing w:line="240" w:lineRule="auto"/>
        <w:ind w:left="640" w:right="174"/>
        <w:jc w:val="left"/>
      </w:pPr>
      <w:r>
        <w:rPr/>
        <w:t>（二）部分子公司被提前终止主要经营用地的租赁约定</w:t>
      </w:r>
    </w:p>
    <w:p>
      <w:pPr>
        <w:spacing w:line="240" w:lineRule="auto" w:before="4"/>
        <w:rPr>
          <w:rFonts w:ascii="宋体" w:hAnsi="宋体" w:cs="宋体" w:eastAsia="宋体" w:hint="default"/>
          <w:sz w:val="23"/>
          <w:szCs w:val="23"/>
        </w:rPr>
      </w:pPr>
    </w:p>
    <w:p>
      <w:pPr>
        <w:pStyle w:val="BodyText"/>
        <w:spacing w:line="379" w:lineRule="auto"/>
        <w:ind w:left="220" w:right="174" w:firstLine="420"/>
        <w:jc w:val="left"/>
      </w:pPr>
      <w:r>
        <w:rPr/>
        <w:t>本公司于</w:t>
      </w:r>
      <w:r>
        <w:rPr>
          <w:spacing w:val="-52"/>
        </w:rPr>
        <w:t> </w:t>
      </w:r>
      <w:r>
        <w:rPr>
          <w:rFonts w:ascii="Times New Roman" w:hAnsi="Times New Roman" w:cs="Times New Roman" w:eastAsia="Times New Roman" w:hint="default"/>
          <w:spacing w:val="-1"/>
        </w:rPr>
        <w:t>1985</w:t>
      </w:r>
      <w:r>
        <w:rPr>
          <w:rFonts w:ascii="Times New Roman" w:hAnsi="Times New Roman" w:cs="Times New Roman" w:eastAsia="Times New Roman" w:hint="default"/>
          <w:spacing w:val="1"/>
        </w:rPr>
        <w:t> </w:t>
      </w:r>
      <w:r>
        <w:rPr/>
        <w:t>年至</w:t>
      </w:r>
      <w:r>
        <w:rPr>
          <w:spacing w:val="-53"/>
        </w:rPr>
        <w:t> </w:t>
      </w:r>
      <w:r>
        <w:rPr>
          <w:rFonts w:ascii="Times New Roman" w:hAnsi="Times New Roman" w:cs="Times New Roman" w:eastAsia="Times New Roman" w:hint="default"/>
          <w:spacing w:val="-1"/>
        </w:rPr>
        <w:t>1989</w:t>
      </w:r>
      <w:r>
        <w:rPr>
          <w:rFonts w:ascii="Times New Roman" w:hAnsi="Times New Roman" w:cs="Times New Roman" w:eastAsia="Times New Roman" w:hint="default"/>
        </w:rPr>
        <w:t> </w:t>
      </w:r>
      <w:r>
        <w:rPr>
          <w:spacing w:val="-4"/>
        </w:rPr>
        <w:t>年向深圳市龙岗区平湖街道山厦社区居委会（原宝安县平湖镇辅</w:t>
      </w:r>
      <w:r>
        <w:rPr/>
        <w:t> </w:t>
      </w:r>
      <w:r>
        <w:rPr>
          <w:spacing w:val="-5"/>
        </w:rPr>
        <w:t>城坳一村）和深圳市公明将石股份合作公司（原宝安县公明镇将石村民委员会）分别租赁水田、</w:t>
      </w:r>
    </w:p>
    <w:p>
      <w:pPr>
        <w:spacing w:after="0" w:line="379" w:lineRule="auto"/>
        <w:jc w:val="left"/>
        <w:sectPr>
          <w:pgSz w:w="11910" w:h="16840"/>
          <w:pgMar w:header="0" w:footer="893" w:top="1140" w:bottom="1080" w:left="1480" w:right="1400"/>
        </w:sectPr>
      </w:pPr>
    </w:p>
    <w:p>
      <w:pPr>
        <w:spacing w:line="240" w:lineRule="auto" w:before="1"/>
        <w:rPr>
          <w:rFonts w:ascii="宋体" w:hAnsi="宋体" w:cs="宋体" w:eastAsia="宋体" w:hint="default"/>
          <w:sz w:val="27"/>
          <w:szCs w:val="27"/>
        </w:rPr>
      </w:pPr>
    </w:p>
    <w:p>
      <w:pPr>
        <w:pStyle w:val="BodyText"/>
        <w:spacing w:line="386" w:lineRule="auto" w:before="35"/>
        <w:ind w:left="241" w:right="714"/>
        <w:jc w:val="both"/>
      </w:pPr>
      <w:r>
        <w:rPr>
          <w:spacing w:val="-2"/>
        </w:rPr>
        <w:t>旱地及山地（下称</w:t>
      </w:r>
      <w:r>
        <w:rPr>
          <w:rFonts w:ascii="Times New Roman" w:hAnsi="Times New Roman" w:cs="Times New Roman" w:eastAsia="Times New Roman" w:hint="default"/>
          <w:spacing w:val="-2"/>
        </w:rPr>
        <w:t>“</w:t>
      </w:r>
      <w:r>
        <w:rPr>
          <w:spacing w:val="-2"/>
        </w:rPr>
        <w:t>山地</w:t>
      </w:r>
      <w:r>
        <w:rPr>
          <w:rFonts w:ascii="Times New Roman" w:hAnsi="Times New Roman" w:cs="Times New Roman" w:eastAsia="Times New Roman" w:hint="default"/>
          <w:spacing w:val="-2"/>
        </w:rPr>
        <w:t>”</w:t>
      </w:r>
      <w:r>
        <w:rPr>
          <w:spacing w:val="-2"/>
        </w:rPr>
        <w:t>）用作经营养殖业（下称</w:t>
      </w:r>
      <w:r>
        <w:rPr>
          <w:rFonts w:ascii="Times New Roman" w:hAnsi="Times New Roman" w:cs="Times New Roman" w:eastAsia="Times New Roman" w:hint="default"/>
          <w:spacing w:val="-2"/>
        </w:rPr>
        <w:t>“</w:t>
      </w:r>
      <w:r>
        <w:rPr>
          <w:spacing w:val="-2"/>
        </w:rPr>
        <w:t>平湖山地</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公明山地</w:t>
      </w:r>
      <w:r>
        <w:rPr>
          <w:rFonts w:ascii="Times New Roman" w:hAnsi="Times New Roman" w:cs="Times New Roman" w:eastAsia="Times New Roman" w:hint="default"/>
          <w:spacing w:val="-2"/>
        </w:rPr>
        <w:t>”</w:t>
      </w:r>
      <w:r>
        <w:rPr>
          <w:spacing w:val="-2"/>
        </w:rPr>
        <w:t>），原约定租约最</w:t>
      </w:r>
      <w:r>
        <w:rPr>
          <w:spacing w:val="-66"/>
        </w:rPr>
        <w:t> </w:t>
      </w:r>
      <w:r>
        <w:rPr>
          <w:spacing w:val="-66"/>
        </w:rPr>
      </w:r>
      <w:r>
        <w:rPr/>
        <w:t>长至</w:t>
      </w:r>
      <w:r>
        <w:rPr>
          <w:spacing w:val="-45"/>
        </w:rPr>
        <w:t> </w:t>
      </w:r>
      <w:r>
        <w:rPr>
          <w:rFonts w:ascii="Times New Roman" w:hAnsi="Times New Roman" w:cs="Times New Roman" w:eastAsia="Times New Roman" w:hint="default"/>
        </w:rPr>
        <w:t>2039</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2005</w:t>
      </w:r>
      <w:r>
        <w:rPr>
          <w:rFonts w:ascii="Times New Roman" w:hAnsi="Times New Roman" w:cs="Times New Roman" w:eastAsia="Times New Roman" w:hint="default"/>
          <w:spacing w:val="8"/>
        </w:rPr>
        <w:t> </w:t>
      </w:r>
      <w:r>
        <w:rPr/>
        <w:t>年至</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年由于国家用地规划原因，该等山地纳入城市化转地范围，山 </w:t>
      </w:r>
      <w:r>
        <w:rPr>
          <w:spacing w:val="-3"/>
        </w:rPr>
        <w:t>地出租方提前终止与本公司的租赁约定，并将从政府取得的城市化转地补偿收入中的青苗补偿</w:t>
      </w:r>
      <w:r>
        <w:rPr>
          <w:spacing w:val="-89"/>
        </w:rPr>
        <w:t> </w:t>
      </w:r>
      <w:r>
        <w:rPr>
          <w:spacing w:val="-89"/>
        </w:rPr>
      </w:r>
      <w:r>
        <w:rPr/>
        <w:t>费与地上附着物补偿费向本公司作出赔偿。相关部门已于 </w:t>
      </w:r>
      <w:r>
        <w:rPr>
          <w:rFonts w:ascii="Times New Roman" w:hAnsi="Times New Roman" w:cs="Times New Roman" w:eastAsia="Times New Roman" w:hint="default"/>
        </w:rPr>
        <w:t>2006 </w:t>
      </w:r>
      <w:r>
        <w:rPr/>
        <w:t>年向本公司发出要求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p>
    <w:p>
      <w:pPr>
        <w:pStyle w:val="BodyText"/>
        <w:spacing w:line="240" w:lineRule="auto" w:before="27"/>
        <w:ind w:left="241" w:right="0"/>
        <w:jc w:val="left"/>
        <w:rPr>
          <w:rFonts w:ascii="Times New Roman" w:hAnsi="Times New Roman" w:cs="Times New Roman" w:eastAsia="Times New Roman" w:hint="default"/>
        </w:rPr>
      </w:pP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5"/>
        </w:rPr>
        <w:t>日前搬迁的通知。</w:t>
      </w:r>
      <w:r>
        <w:rPr>
          <w:rFonts w:ascii="Times New Roman" w:hAnsi="Times New Roman" w:cs="Times New Roman" w:eastAsia="Times New Roman" w:hint="default"/>
          <w:spacing w:val="-5"/>
        </w:rPr>
        <w:t>2007</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5"/>
        </w:rPr>
        <w:t>月，平湖山地上经营的养殖业已全部停止经营；截止</w:t>
      </w:r>
      <w:r>
        <w:rPr>
          <w:spacing w:val="-52"/>
        </w:rPr>
        <w:t> </w:t>
      </w:r>
      <w:r>
        <w:rPr>
          <w:rFonts w:ascii="Times New Roman" w:hAnsi="Times New Roman" w:cs="Times New Roman" w:eastAsia="Times New Roman" w:hint="default"/>
        </w:rPr>
        <w:t>2011</w:t>
      </w:r>
    </w:p>
    <w:p>
      <w:pPr>
        <w:pStyle w:val="BodyText"/>
        <w:spacing w:line="491" w:lineRule="auto" w:before="169"/>
        <w:ind w:left="660" w:right="4905" w:hanging="420"/>
        <w:jc w:val="left"/>
        <w:rPr>
          <w:rFonts w:ascii="黑体" w:hAnsi="黑体" w:cs="黑体" w:eastAsia="黑体" w:hint="default"/>
        </w:rPr>
      </w:pP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日，公明山地上的养殖业正常经营。 </w:t>
      </w:r>
      <w:r>
        <w:rPr>
          <w:rFonts w:ascii="黑体" w:hAnsi="黑体" w:cs="黑体" w:eastAsia="黑体" w:hint="default"/>
        </w:rPr>
        <w:t>附注十一、母公司财务报表主要项目附注 </w:t>
      </w:r>
      <w:r>
        <w:rPr>
          <w:rFonts w:ascii="Times New Roman" w:hAnsi="Times New Roman" w:cs="Times New Roman" w:eastAsia="Times New Roman" w:hint="default"/>
        </w:rPr>
        <w:t>1</w:t>
      </w:r>
      <w:r>
        <w:rPr>
          <w:rFonts w:ascii="黑体" w:hAnsi="黑体" w:cs="黑体" w:eastAsia="黑体" w:hint="default"/>
        </w:rPr>
        <w:t>．其他应收款</w:t>
      </w:r>
    </w:p>
    <w:p>
      <w:pPr>
        <w:pStyle w:val="BodyText"/>
        <w:spacing w:line="240" w:lineRule="auto" w:before="44"/>
        <w:ind w:left="660" w:right="0"/>
        <w:jc w:val="left"/>
      </w:pPr>
      <w:r>
        <w:rPr/>
        <w:t>（</w:t>
      </w:r>
      <w:r>
        <w:rPr>
          <w:rFonts w:ascii="Times New Roman" w:hAnsi="Times New Roman" w:cs="Times New Roman" w:eastAsia="Times New Roman" w:hint="default"/>
        </w:rPr>
        <w:t>1</w:t>
      </w:r>
      <w:r>
        <w:rPr/>
        <w:t>）按种类披露</w:t>
      </w:r>
    </w:p>
    <w:p>
      <w:pPr>
        <w:spacing w:line="240" w:lineRule="auto" w:before="4"/>
        <w:rPr>
          <w:rFonts w:ascii="宋体" w:hAnsi="宋体" w:cs="宋体" w:eastAsia="宋体" w:hint="default"/>
          <w:sz w:val="7"/>
          <w:szCs w:val="7"/>
        </w:rPr>
      </w:pPr>
    </w:p>
    <w:tbl>
      <w:tblPr>
        <w:tblW w:w="0" w:type="auto"/>
        <w:jc w:val="left"/>
        <w:tblInd w:w="128" w:type="dxa"/>
        <w:tblLayout w:type="fixed"/>
        <w:tblCellMar>
          <w:top w:w="0" w:type="dxa"/>
          <w:left w:w="0" w:type="dxa"/>
          <w:bottom w:w="0" w:type="dxa"/>
          <w:right w:w="0" w:type="dxa"/>
        </w:tblCellMar>
        <w:tblLook w:val="01E0"/>
      </w:tblPr>
      <w:tblGrid>
        <w:gridCol w:w="1000"/>
        <w:gridCol w:w="1250"/>
        <w:gridCol w:w="834"/>
        <w:gridCol w:w="1252"/>
        <w:gridCol w:w="710"/>
        <w:gridCol w:w="1252"/>
        <w:gridCol w:w="834"/>
        <w:gridCol w:w="1250"/>
        <w:gridCol w:w="834"/>
      </w:tblGrid>
      <w:tr>
        <w:trPr>
          <w:trHeight w:val="350" w:hRule="exact"/>
        </w:trPr>
        <w:tc>
          <w:tcPr>
            <w:tcW w:w="10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0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2010-12-31</w:t>
            </w:r>
          </w:p>
        </w:tc>
        <w:tc>
          <w:tcPr>
            <w:tcW w:w="41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350" w:hRule="exact"/>
        </w:trPr>
        <w:tc>
          <w:tcPr>
            <w:tcW w:w="1000" w:type="dxa"/>
            <w:vMerge/>
            <w:tcBorders>
              <w:left w:val="single" w:sz="4" w:space="0" w:color="000000"/>
              <w:right w:val="single" w:sz="4" w:space="0" w:color="000000"/>
            </w:tcBorders>
          </w:tcPr>
          <w:p>
            <w:pPr/>
          </w:p>
        </w:tc>
        <w:tc>
          <w:tcPr>
            <w:tcW w:w="2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000"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7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15"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r>
      <w:tr>
        <w:trPr>
          <w:trHeight w:val="1450" w:hRule="exact"/>
        </w:trPr>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z w:val="18"/>
                <w:szCs w:val="18"/>
              </w:rPr>
              <w:t> </w:t>
            </w:r>
            <w:r>
              <w:rPr>
                <w:rFonts w:ascii="宋体" w:hAnsi="宋体" w:cs="宋体" w:eastAsia="宋体" w:hint="default"/>
                <w:spacing w:val="15"/>
                <w:sz w:val="18"/>
                <w:szCs w:val="18"/>
              </w:rPr>
              <w:t>重大并单</w:t>
            </w:r>
            <w:r>
              <w:rPr>
                <w:rFonts w:ascii="宋体" w:hAnsi="宋体" w:cs="宋体" w:eastAsia="宋体" w:hint="default"/>
                <w:sz w:val="18"/>
                <w:szCs w:val="18"/>
              </w:rPr>
              <w:t> </w:t>
            </w:r>
            <w:r>
              <w:rPr>
                <w:rFonts w:ascii="宋体" w:hAnsi="宋体" w:cs="宋体" w:eastAsia="宋体" w:hint="default"/>
                <w:spacing w:val="15"/>
                <w:sz w:val="18"/>
                <w:szCs w:val="18"/>
              </w:rPr>
              <w:t>项计提坏</w:t>
            </w:r>
            <w:r>
              <w:rPr>
                <w:rFonts w:ascii="宋体" w:hAnsi="宋体" w:cs="宋体" w:eastAsia="宋体" w:hint="default"/>
                <w:sz w:val="18"/>
                <w:szCs w:val="18"/>
              </w:rPr>
              <w:t> </w:t>
            </w:r>
            <w:r>
              <w:rPr>
                <w:rFonts w:ascii="宋体" w:hAnsi="宋体" w:cs="宋体" w:eastAsia="宋体" w:hint="default"/>
                <w:spacing w:val="15"/>
                <w:sz w:val="18"/>
                <w:szCs w:val="18"/>
              </w:rPr>
              <w:t>账准备的</w:t>
            </w:r>
            <w:r>
              <w:rPr>
                <w:rFonts w:ascii="宋体" w:hAnsi="宋体" w:cs="宋体" w:eastAsia="宋体" w:hint="default"/>
                <w:sz w:val="18"/>
                <w:szCs w:val="18"/>
              </w:rPr>
              <w:t> </w:t>
            </w:r>
            <w:r>
              <w:rPr>
                <w:rFonts w:ascii="宋体" w:hAnsi="宋体" w:cs="宋体" w:eastAsia="宋体" w:hint="default"/>
                <w:spacing w:val="15"/>
                <w:sz w:val="18"/>
                <w:szCs w:val="18"/>
              </w:rPr>
              <w:t>其他应收</w:t>
            </w:r>
            <w:r>
              <w:rPr>
                <w:rFonts w:ascii="宋体" w:hAnsi="宋体" w:cs="宋体" w:eastAsia="宋体" w:hint="default"/>
                <w:sz w:val="18"/>
                <w:szCs w:val="18"/>
              </w:rPr>
              <w:t> 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921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90" w:hRule="exact"/>
        </w:trPr>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4"/>
                <w:sz w:val="18"/>
                <w:szCs w:val="18"/>
              </w:rPr>
              <w:t>组合（</w:t>
            </w:r>
            <w:r>
              <w:rPr>
                <w:rFonts w:ascii="宋体" w:hAnsi="宋体" w:cs="宋体" w:eastAsia="宋体" w:hint="default"/>
                <w:spacing w:val="-70"/>
                <w:sz w:val="18"/>
                <w:szCs w:val="18"/>
              </w:rPr>
              <w:t> </w:t>
            </w:r>
            <w:r>
              <w:rPr>
                <w:rFonts w:ascii="宋体" w:hAnsi="宋体" w:cs="宋体" w:eastAsia="宋体" w:hint="default"/>
                <w:sz w:val="18"/>
                <w:szCs w:val="18"/>
              </w:rPr>
              <w:t>按</w:t>
            </w:r>
            <w:r>
              <w:rPr>
                <w:rFonts w:ascii="宋体" w:hAnsi="宋体" w:cs="宋体" w:eastAsia="宋体" w:hint="default"/>
                <w:sz w:val="18"/>
                <w:szCs w:val="18"/>
              </w:rPr>
              <w:t> 账龄）</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34,756,355.03</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94.97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8,180,485.19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23.54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38,716,816.17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95.26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8,826,893.56</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22.80</w:t>
            </w:r>
          </w:p>
        </w:tc>
      </w:tr>
      <w:tr>
        <w:trPr>
          <w:trHeight w:val="1451" w:hRule="exact"/>
        </w:trPr>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z w:val="18"/>
                <w:szCs w:val="18"/>
              </w:rPr>
              <w:t> </w:t>
            </w:r>
            <w:r>
              <w:rPr>
                <w:rFonts w:ascii="宋体" w:hAnsi="宋体" w:cs="宋体" w:eastAsia="宋体" w:hint="default"/>
                <w:spacing w:val="15"/>
                <w:sz w:val="18"/>
                <w:szCs w:val="18"/>
              </w:rPr>
              <w:t>虽不重大</w:t>
            </w:r>
            <w:r>
              <w:rPr>
                <w:rFonts w:ascii="宋体" w:hAnsi="宋体" w:cs="宋体" w:eastAsia="宋体" w:hint="default"/>
                <w:sz w:val="18"/>
                <w:szCs w:val="18"/>
              </w:rPr>
              <w:t> </w:t>
            </w:r>
            <w:r>
              <w:rPr>
                <w:rFonts w:ascii="宋体" w:hAnsi="宋体" w:cs="宋体" w:eastAsia="宋体" w:hint="default"/>
                <w:spacing w:val="15"/>
                <w:sz w:val="18"/>
                <w:szCs w:val="18"/>
              </w:rPr>
              <w:t>但单项计</w:t>
            </w:r>
            <w:r>
              <w:rPr>
                <w:rFonts w:ascii="宋体" w:hAnsi="宋体" w:cs="宋体" w:eastAsia="宋体" w:hint="default"/>
                <w:sz w:val="18"/>
                <w:szCs w:val="18"/>
              </w:rPr>
              <w:t> </w:t>
            </w:r>
            <w:r>
              <w:rPr>
                <w:rFonts w:ascii="宋体" w:hAnsi="宋体" w:cs="宋体" w:eastAsia="宋体" w:hint="default"/>
                <w:spacing w:val="15"/>
                <w:sz w:val="18"/>
                <w:szCs w:val="18"/>
              </w:rPr>
              <w:t>提坏账准</w:t>
            </w:r>
            <w:r>
              <w:rPr>
                <w:rFonts w:ascii="宋体" w:hAnsi="宋体" w:cs="宋体" w:eastAsia="宋体" w:hint="default"/>
                <w:sz w:val="18"/>
                <w:szCs w:val="18"/>
              </w:rPr>
              <w:t> </w:t>
            </w:r>
            <w:r>
              <w:rPr>
                <w:rFonts w:ascii="宋体" w:hAnsi="宋体" w:cs="宋体" w:eastAsia="宋体" w:hint="default"/>
                <w:spacing w:val="15"/>
                <w:sz w:val="18"/>
                <w:szCs w:val="18"/>
              </w:rPr>
              <w:t>备的其他</w:t>
            </w:r>
            <w:r>
              <w:rPr>
                <w:rFonts w:ascii="宋体" w:hAnsi="宋体" w:cs="宋体" w:eastAsia="宋体" w:hint="default"/>
                <w:sz w:val="18"/>
                <w:szCs w:val="18"/>
              </w:rPr>
              <w:t> 应收款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1,841,912.35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1,928,004.60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1,928,004.60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90" w:hRule="exact"/>
        </w:trPr>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36,598,267.38</w:t>
            </w:r>
            <w:r>
              <w:rPr>
                <w:rFonts w:ascii="Times New Roman"/>
                <w:spacing w:val="-1"/>
                <w:sz w:val="18"/>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10,022,397.54</w:t>
            </w:r>
            <w:r>
              <w:rPr>
                <w:rFonts w:ascii="Times New Roman"/>
                <w:spacing w:val="-1"/>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27.38</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40,644,820.77</w:t>
            </w:r>
            <w:r>
              <w:rPr>
                <w:rFonts w:ascii="Times New Roman"/>
                <w:spacing w:val="-1"/>
                <w:sz w:val="18"/>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10,754,898.16</w:t>
            </w:r>
            <w:r>
              <w:rPr>
                <w:rFonts w:ascii="Times New Roman"/>
                <w:spacing w:val="-1"/>
                <w:sz w:val="18"/>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26.46</w:t>
            </w:r>
            <w:r>
              <w:rPr>
                <w:rFonts w:ascii="Times New Roman"/>
                <w:sz w:val="18"/>
              </w:rPr>
            </w:r>
          </w:p>
        </w:tc>
      </w:tr>
    </w:tbl>
    <w:p>
      <w:pPr>
        <w:spacing w:line="240" w:lineRule="auto" w:before="12"/>
        <w:rPr>
          <w:rFonts w:ascii="宋体" w:hAnsi="宋体" w:cs="宋体" w:eastAsia="宋体" w:hint="default"/>
          <w:sz w:val="15"/>
          <w:szCs w:val="15"/>
        </w:rPr>
      </w:pPr>
    </w:p>
    <w:p>
      <w:pPr>
        <w:pStyle w:val="BodyText"/>
        <w:spacing w:line="240" w:lineRule="auto" w:before="35"/>
        <w:ind w:left="661" w:right="0"/>
        <w:jc w:val="left"/>
      </w:pPr>
      <w:r>
        <w:rPr/>
        <w:t>组合中，按账龄分析法计提坏账准备的其他应收款：</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247"/>
        <w:gridCol w:w="1532"/>
        <w:gridCol w:w="966"/>
        <w:gridCol w:w="1248"/>
        <w:gridCol w:w="1478"/>
        <w:gridCol w:w="1024"/>
        <w:gridCol w:w="1248"/>
      </w:tblGrid>
      <w:tr>
        <w:trPr>
          <w:trHeight w:val="390" w:hRule="exact"/>
        </w:trPr>
        <w:tc>
          <w:tcPr>
            <w:tcW w:w="12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7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2010-12-31</w:t>
            </w:r>
          </w:p>
        </w:tc>
        <w:tc>
          <w:tcPr>
            <w:tcW w:w="37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390" w:hRule="exact"/>
        </w:trPr>
        <w:tc>
          <w:tcPr>
            <w:tcW w:w="1247" w:type="dxa"/>
            <w:vMerge/>
            <w:tcBorders>
              <w:left w:val="single" w:sz="4" w:space="0" w:color="000000"/>
              <w:right w:val="single" w:sz="4" w:space="0" w:color="000000"/>
            </w:tcBorders>
          </w:tcPr>
          <w:p>
            <w:pPr/>
          </w:p>
        </w:tc>
        <w:tc>
          <w:tcPr>
            <w:tcW w:w="2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0" w:hRule="exact"/>
        </w:trPr>
        <w:tc>
          <w:tcPr>
            <w:tcW w:w="1247"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48" w:type="dxa"/>
            <w:vMerge/>
            <w:tcBorders>
              <w:left w:val="single" w:sz="4" w:space="0" w:color="000000"/>
              <w:bottom w:val="single" w:sz="4" w:space="0" w:color="000000"/>
              <w:right w:val="single" w:sz="4" w:space="0" w:color="000000"/>
            </w:tcBorders>
          </w:tcPr>
          <w:p>
            <w:pPr/>
          </w:p>
        </w:tc>
      </w:tr>
      <w:tr>
        <w:trPr>
          <w:trHeight w:val="425"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5,686,238.46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16.36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13,181,608.56</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34.04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3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112,681.69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0.32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5,634.08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9,680.00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968.00</w:t>
            </w:r>
          </w:p>
        </w:tc>
      </w:tr>
      <w:tr>
        <w:trPr>
          <w:trHeight w:val="42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11,371,312.00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32.72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1,137,131.20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12,738,133.88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1,270,777.00</w:t>
            </w:r>
          </w:p>
        </w:tc>
      </w:tr>
      <w:tr>
        <w:trPr>
          <w:trHeight w:val="425"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12,728,432.59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36.62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3,818,529.78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3,630,000.00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1,089,000.00</w:t>
            </w:r>
          </w:p>
        </w:tc>
      </w:tr>
      <w:tr>
        <w:trPr>
          <w:trHeight w:val="42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3,276,940.33</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9.43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1,638,470.17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1,184,971.18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592,485.59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3" w:top="1140" w:bottom="1080" w:left="1460" w:right="980"/>
        </w:sectPr>
      </w:pPr>
    </w:p>
    <w:p>
      <w:pPr>
        <w:spacing w:line="240" w:lineRule="auto" w:before="4"/>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1247"/>
        <w:gridCol w:w="1532"/>
        <w:gridCol w:w="966"/>
        <w:gridCol w:w="1248"/>
        <w:gridCol w:w="1478"/>
        <w:gridCol w:w="1024"/>
        <w:gridCol w:w="1248"/>
      </w:tblGrid>
      <w:tr>
        <w:trPr>
          <w:trHeight w:val="390" w:hRule="exact"/>
        </w:trPr>
        <w:tc>
          <w:tcPr>
            <w:tcW w:w="12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7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2010-12-31</w:t>
            </w:r>
          </w:p>
        </w:tc>
        <w:tc>
          <w:tcPr>
            <w:tcW w:w="37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390" w:hRule="exact"/>
        </w:trPr>
        <w:tc>
          <w:tcPr>
            <w:tcW w:w="1247" w:type="dxa"/>
            <w:vMerge/>
            <w:tcBorders>
              <w:left w:val="single" w:sz="4" w:space="0" w:color="000000"/>
              <w:right w:val="single" w:sz="4" w:space="0" w:color="000000"/>
            </w:tcBorders>
          </w:tcPr>
          <w:p>
            <w:pPr/>
          </w:p>
        </w:tc>
        <w:tc>
          <w:tcPr>
            <w:tcW w:w="2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0" w:hRule="exact"/>
        </w:trPr>
        <w:tc>
          <w:tcPr>
            <w:tcW w:w="1247"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48" w:type="dxa"/>
            <w:vMerge/>
            <w:tcBorders>
              <w:left w:val="single" w:sz="4" w:space="0" w:color="000000"/>
              <w:bottom w:val="single" w:sz="4" w:space="0" w:color="000000"/>
              <w:right w:val="single" w:sz="4" w:space="0" w:color="000000"/>
            </w:tcBorders>
          </w:tcPr>
          <w:p>
            <w:pPr/>
          </w:p>
        </w:tc>
      </w:tr>
      <w:tr>
        <w:trPr>
          <w:trHeight w:val="43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458"/>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6,995,865.26</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18.07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4,897,105.68</w:t>
            </w:r>
          </w:p>
        </w:tc>
      </w:tr>
      <w:tr>
        <w:trPr>
          <w:trHeight w:val="42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1,580,649.96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1,580,649.96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976,557.29</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976,557.29</w:t>
            </w:r>
          </w:p>
        </w:tc>
      </w:tr>
      <w:tr>
        <w:trPr>
          <w:trHeight w:val="43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43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34,756,355.03</w:t>
            </w:r>
            <w:r>
              <w:rPr>
                <w:rFonts w:ascii="Times New Roman"/>
                <w:spacing w:val="-1"/>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8,180,485.19</w:t>
            </w:r>
            <w:r>
              <w:rPr>
                <w:rFonts w:ascii="Times New Roman"/>
                <w:spacing w:val="-1"/>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38,716,816.17</w:t>
            </w:r>
            <w:r>
              <w:rPr>
                <w:rFonts w:ascii="Times New Roman"/>
                <w:spacing w:val="-1"/>
                <w:sz w:val="18"/>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8,826,893.56</w:t>
            </w:r>
            <w:r>
              <w:rPr>
                <w:rFonts w:ascii="Times New Roman"/>
                <w:spacing w:val="-1"/>
                <w:sz w:val="18"/>
              </w:rPr>
            </w:r>
          </w:p>
        </w:tc>
      </w:tr>
    </w:tbl>
    <w:p>
      <w:pPr>
        <w:spacing w:line="240" w:lineRule="auto" w:before="12"/>
        <w:rPr>
          <w:rFonts w:ascii="宋体" w:hAnsi="宋体" w:cs="宋体" w:eastAsia="宋体" w:hint="default"/>
          <w:sz w:val="15"/>
          <w:szCs w:val="15"/>
        </w:rPr>
      </w:pPr>
    </w:p>
    <w:p>
      <w:pPr>
        <w:pStyle w:val="BodyText"/>
        <w:spacing w:line="240" w:lineRule="auto" w:before="35"/>
        <w:ind w:left="661" w:right="209"/>
        <w:jc w:val="left"/>
      </w:pPr>
      <w:r>
        <w:rPr/>
        <w:t>期末单项金额虽不重大但单项计提坏账准备的其他应收款</w:t>
      </w:r>
    </w:p>
    <w:p>
      <w:pPr>
        <w:spacing w:line="240" w:lineRule="auto" w:before="7"/>
        <w:rPr>
          <w:rFonts w:ascii="宋体" w:hAnsi="宋体" w:cs="宋体" w:eastAsia="宋体" w:hint="default"/>
          <w:sz w:val="8"/>
          <w:szCs w:val="8"/>
        </w:rPr>
      </w:pPr>
    </w:p>
    <w:tbl>
      <w:tblPr>
        <w:tblW w:w="0" w:type="auto"/>
        <w:jc w:val="left"/>
        <w:tblInd w:w="236" w:type="dxa"/>
        <w:tblLayout w:type="fixed"/>
        <w:tblCellMar>
          <w:top w:w="0" w:type="dxa"/>
          <w:left w:w="0" w:type="dxa"/>
          <w:bottom w:w="0" w:type="dxa"/>
          <w:right w:w="0" w:type="dxa"/>
        </w:tblCellMar>
        <w:tblLook w:val="01E0"/>
      </w:tblPr>
      <w:tblGrid>
        <w:gridCol w:w="1646"/>
        <w:gridCol w:w="1753"/>
        <w:gridCol w:w="1753"/>
        <w:gridCol w:w="1327"/>
        <w:gridCol w:w="2180"/>
      </w:tblGrid>
      <w:tr>
        <w:trPr>
          <w:trHeight w:val="390"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0"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pacing w:val="-1"/>
                <w:sz w:val="18"/>
              </w:rPr>
              <w:t>1,841,912.35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Times New Roman" w:hAnsi="Times New Roman" w:cs="Times New Roman" w:eastAsia="Times New Roman" w:hint="default"/>
                <w:sz w:val="18"/>
                <w:szCs w:val="18"/>
              </w:rPr>
            </w:pPr>
            <w:r>
              <w:rPr>
                <w:rFonts w:ascii="Times New Roman"/>
                <w:spacing w:val="-1"/>
                <w:sz w:val="18"/>
              </w:rPr>
              <w:t>1,841,912.35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18"/>
                <w:szCs w:val="18"/>
              </w:rPr>
            </w:pPr>
            <w:r>
              <w:rPr>
                <w:rFonts w:ascii="宋体" w:hAnsi="宋体" w:cs="宋体" w:eastAsia="宋体" w:hint="default"/>
                <w:sz w:val="18"/>
                <w:szCs w:val="18"/>
              </w:rPr>
              <w:t>债务人已基本停止经营</w:t>
            </w:r>
          </w:p>
        </w:tc>
      </w:tr>
      <w:tr>
        <w:trPr>
          <w:trHeight w:val="391"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1,841,912.35</w:t>
            </w:r>
            <w:r>
              <w:rPr>
                <w:rFonts w:ascii="Times New Roman"/>
                <w:spacing w:val="-1"/>
                <w:sz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Times New Roman" w:hAnsi="Times New Roman" w:cs="Times New Roman" w:eastAsia="Times New Roman" w:hint="default"/>
                <w:sz w:val="18"/>
                <w:szCs w:val="18"/>
              </w:rPr>
            </w:pPr>
            <w:r>
              <w:rPr>
                <w:rFonts w:ascii="Times New Roman"/>
                <w:b/>
                <w:spacing w:val="-1"/>
                <w:sz w:val="18"/>
              </w:rPr>
              <w:t>1,841,912.35</w:t>
            </w:r>
            <w:r>
              <w:rPr>
                <w:rFonts w:ascii="Times New Roman"/>
                <w:spacing w:val="-1"/>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5"/>
          <w:szCs w:val="15"/>
        </w:rPr>
      </w:pPr>
    </w:p>
    <w:p>
      <w:pPr>
        <w:pStyle w:val="BodyText"/>
        <w:spacing w:line="240" w:lineRule="auto" w:before="35"/>
        <w:ind w:left="661" w:right="209"/>
        <w:jc w:val="left"/>
      </w:pPr>
      <w:r>
        <w:rPr/>
        <w:t>（</w:t>
      </w:r>
      <w:r>
        <w:rPr>
          <w:rFonts w:ascii="Times New Roman" w:hAnsi="Times New Roman" w:cs="Times New Roman" w:eastAsia="Times New Roman" w:hint="default"/>
        </w:rPr>
        <w:t>2</w:t>
      </w:r>
      <w:r>
        <w:rPr/>
        <w:t>）本期转回或收回情况</w:t>
      </w:r>
    </w:p>
    <w:p>
      <w:pPr>
        <w:spacing w:line="240" w:lineRule="auto" w:before="5"/>
        <w:rPr>
          <w:rFonts w:ascii="宋体" w:hAnsi="宋体" w:cs="宋体" w:eastAsia="宋体" w:hint="default"/>
          <w:sz w:val="7"/>
          <w:szCs w:val="7"/>
        </w:rPr>
      </w:pPr>
    </w:p>
    <w:tbl>
      <w:tblPr>
        <w:tblW w:w="0" w:type="auto"/>
        <w:jc w:val="left"/>
        <w:tblInd w:w="236" w:type="dxa"/>
        <w:tblLayout w:type="fixed"/>
        <w:tblCellMar>
          <w:top w:w="0" w:type="dxa"/>
          <w:left w:w="0" w:type="dxa"/>
          <w:bottom w:w="0" w:type="dxa"/>
          <w:right w:w="0" w:type="dxa"/>
        </w:tblCellMar>
        <w:tblLook w:val="01E0"/>
      </w:tblPr>
      <w:tblGrid>
        <w:gridCol w:w="1607"/>
        <w:gridCol w:w="1607"/>
        <w:gridCol w:w="2022"/>
        <w:gridCol w:w="2086"/>
        <w:gridCol w:w="1348"/>
      </w:tblGrid>
      <w:tr>
        <w:trPr>
          <w:trHeight w:val="792" w:hRule="exact"/>
        </w:trPr>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before="11"/>
              <w:ind w:left="406" w:right="137"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before="11"/>
              <w:ind w:left="578" w:right="127" w:hanging="450"/>
              <w:jc w:val="left"/>
              <w:rPr>
                <w:rFonts w:ascii="宋体" w:hAnsi="宋体" w:cs="宋体" w:eastAsia="宋体" w:hint="default"/>
                <w:sz w:val="18"/>
                <w:szCs w:val="18"/>
              </w:rPr>
            </w:pPr>
            <w:r>
              <w:rPr>
                <w:rFonts w:ascii="宋体" w:hAnsi="宋体" w:cs="宋体" w:eastAsia="宋体" w:hint="default"/>
                <w:sz w:val="18"/>
                <w:szCs w:val="18"/>
              </w:rPr>
              <w:t>转回或收回金 额</w:t>
            </w:r>
          </w:p>
        </w:tc>
      </w:tr>
      <w:tr>
        <w:trPr>
          <w:trHeight w:val="402" w:hRule="exact"/>
        </w:trPr>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收回现金</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hAnsi="宋体" w:cs="宋体" w:eastAsia="宋体" w:hint="default"/>
                <w:sz w:val="18"/>
                <w:szCs w:val="18"/>
              </w:rPr>
              <w:t>债务人已基本停止经营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Times New Roman" w:hAnsi="Times New Roman" w:cs="Times New Roman" w:eastAsia="Times New Roman" w:hint="default"/>
                <w:sz w:val="18"/>
                <w:szCs w:val="18"/>
              </w:rPr>
            </w:pPr>
            <w:r>
              <w:rPr>
                <w:rFonts w:ascii="Times New Roman"/>
                <w:sz w:val="18"/>
              </w:rPr>
              <w:t>60,000.00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z w:val="18"/>
              </w:rPr>
              <w:t>60,000.00</w:t>
            </w:r>
          </w:p>
        </w:tc>
      </w:tr>
      <w:tr>
        <w:trPr>
          <w:trHeight w:val="416" w:hRule="exact"/>
        </w:trPr>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7"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Times New Roman" w:hAnsi="Times New Roman" w:cs="Times New Roman" w:eastAsia="Times New Roman" w:hint="default"/>
                <w:sz w:val="18"/>
                <w:szCs w:val="18"/>
              </w:rPr>
            </w:pPr>
            <w:r>
              <w:rPr>
                <w:rFonts w:ascii="Times New Roman"/>
                <w:b/>
                <w:sz w:val="18"/>
              </w:rPr>
              <w:t>60,000.00</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b/>
                <w:sz w:val="18"/>
              </w:rPr>
              <w:t>60,000.00</w:t>
            </w:r>
            <w:r>
              <w:rPr>
                <w:rFonts w:ascii="Times New Roman"/>
                <w:sz w:val="18"/>
              </w:rPr>
            </w:r>
          </w:p>
        </w:tc>
      </w:tr>
    </w:tbl>
    <w:p>
      <w:pPr>
        <w:spacing w:line="240" w:lineRule="auto" w:before="12"/>
        <w:rPr>
          <w:rFonts w:ascii="宋体" w:hAnsi="宋体" w:cs="宋体" w:eastAsia="宋体" w:hint="default"/>
          <w:sz w:val="15"/>
          <w:szCs w:val="15"/>
        </w:rPr>
      </w:pPr>
    </w:p>
    <w:p>
      <w:pPr>
        <w:pStyle w:val="BodyText"/>
        <w:spacing w:line="240" w:lineRule="auto" w:before="35"/>
        <w:ind w:left="661" w:right="209"/>
        <w:jc w:val="left"/>
      </w:pPr>
      <w:r>
        <w:rPr/>
        <w:t>（</w:t>
      </w:r>
      <w:r>
        <w:rPr>
          <w:rFonts w:ascii="Times New Roman" w:hAnsi="Times New Roman" w:cs="Times New Roman" w:eastAsia="Times New Roman" w:hint="default"/>
        </w:rPr>
        <w:t>3</w:t>
      </w:r>
      <w:r>
        <w:rPr/>
        <w:t>）本报告期实际核销的其他应收款情况</w:t>
      </w:r>
    </w:p>
    <w:p>
      <w:pPr>
        <w:spacing w:line="240" w:lineRule="auto" w:before="5"/>
        <w:rPr>
          <w:rFonts w:ascii="宋体" w:hAnsi="宋体" w:cs="宋体" w:eastAsia="宋体" w:hint="default"/>
          <w:sz w:val="7"/>
          <w:szCs w:val="7"/>
        </w:rPr>
      </w:pPr>
    </w:p>
    <w:tbl>
      <w:tblPr>
        <w:tblW w:w="0" w:type="auto"/>
        <w:jc w:val="left"/>
        <w:tblInd w:w="236" w:type="dxa"/>
        <w:tblLayout w:type="fixed"/>
        <w:tblCellMar>
          <w:top w:w="0" w:type="dxa"/>
          <w:left w:w="0" w:type="dxa"/>
          <w:bottom w:w="0" w:type="dxa"/>
          <w:right w:w="0" w:type="dxa"/>
        </w:tblCellMar>
        <w:tblLook w:val="01E0"/>
      </w:tblPr>
      <w:tblGrid>
        <w:gridCol w:w="2540"/>
        <w:gridCol w:w="1530"/>
        <w:gridCol w:w="970"/>
        <w:gridCol w:w="1716"/>
        <w:gridCol w:w="1903"/>
      </w:tblGrid>
      <w:tr>
        <w:trPr>
          <w:trHeight w:val="37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8"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9"/>
              <w:jc w:val="right"/>
              <w:rPr>
                <w:rFonts w:ascii="宋体" w:hAnsi="宋体" w:cs="宋体" w:eastAsia="宋体" w:hint="default"/>
                <w:sz w:val="18"/>
                <w:szCs w:val="18"/>
              </w:rPr>
            </w:pPr>
            <w:r>
              <w:rPr>
                <w:rFonts w:ascii="宋体" w:hAnsi="宋体" w:cs="宋体" w:eastAsia="宋体" w:hint="default"/>
                <w:sz w:val="18"/>
                <w:szCs w:val="18"/>
              </w:rPr>
              <w:t>核销金额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6"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73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1" w:right="88"/>
              <w:jc w:val="left"/>
              <w:rPr>
                <w:rFonts w:ascii="宋体" w:hAnsi="宋体" w:cs="宋体" w:eastAsia="宋体" w:hint="default"/>
                <w:sz w:val="18"/>
                <w:szCs w:val="18"/>
              </w:rPr>
            </w:pPr>
            <w:r>
              <w:rPr>
                <w:rFonts w:ascii="宋体" w:hAnsi="宋体" w:cs="宋体" w:eastAsia="宋体" w:hint="default"/>
                <w:spacing w:val="14"/>
                <w:sz w:val="18"/>
                <w:szCs w:val="18"/>
              </w:rPr>
              <w:t>深圳市泰丰通讯电子有限公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z w:val="18"/>
              </w:rPr>
              <w:t>26,092.25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债务人已停止经营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7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b/>
                <w:sz w:val="18"/>
              </w:rPr>
              <w:t>26,092.25</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5"/>
          <w:szCs w:val="15"/>
        </w:rPr>
      </w:pPr>
    </w:p>
    <w:p>
      <w:pPr>
        <w:pStyle w:val="BodyText"/>
        <w:spacing w:line="240" w:lineRule="auto" w:before="35"/>
        <w:ind w:left="661" w:right="209"/>
        <w:jc w:val="left"/>
      </w:pPr>
      <w:r>
        <w:rPr/>
        <w:t>（</w:t>
      </w:r>
      <w:r>
        <w:rPr>
          <w:rFonts w:ascii="Times New Roman" w:hAnsi="Times New Roman" w:cs="Times New Roman" w:eastAsia="Times New Roman" w:hint="default"/>
        </w:rPr>
        <w:t>4</w:t>
      </w:r>
      <w:r>
        <w:rPr/>
        <w:t>）本报告期其他应收款中无持有公司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p>
    <w:p>
      <w:pPr>
        <w:spacing w:line="240" w:lineRule="auto" w:before="1"/>
        <w:rPr>
          <w:rFonts w:ascii="宋体" w:hAnsi="宋体" w:cs="宋体" w:eastAsia="宋体" w:hint="default"/>
          <w:sz w:val="22"/>
          <w:szCs w:val="22"/>
        </w:rPr>
      </w:pPr>
    </w:p>
    <w:p>
      <w:pPr>
        <w:pStyle w:val="BodyText"/>
        <w:spacing w:line="240" w:lineRule="auto"/>
        <w:ind w:left="661" w:right="209"/>
        <w:jc w:val="left"/>
      </w:pPr>
      <w:r>
        <w:rPr/>
        <w:t>（</w:t>
      </w:r>
      <w:r>
        <w:rPr>
          <w:rFonts w:ascii="Times New Roman" w:hAnsi="Times New Roman" w:cs="Times New Roman" w:eastAsia="Times New Roman" w:hint="default"/>
        </w:rPr>
        <w:t>5</w:t>
      </w:r>
      <w:r>
        <w:rPr/>
        <w:t>）其他应收款金额前五名单位情况</w:t>
      </w:r>
    </w:p>
    <w:p>
      <w:pPr>
        <w:spacing w:line="240" w:lineRule="auto" w:before="5"/>
        <w:rPr>
          <w:rFonts w:ascii="宋体" w:hAnsi="宋体" w:cs="宋体" w:eastAsia="宋体" w:hint="default"/>
          <w:sz w:val="7"/>
          <w:szCs w:val="7"/>
        </w:rPr>
      </w:pPr>
    </w:p>
    <w:tbl>
      <w:tblPr>
        <w:tblW w:w="0" w:type="auto"/>
        <w:jc w:val="left"/>
        <w:tblInd w:w="236" w:type="dxa"/>
        <w:tblLayout w:type="fixed"/>
        <w:tblCellMar>
          <w:top w:w="0" w:type="dxa"/>
          <w:left w:w="0" w:type="dxa"/>
          <w:bottom w:w="0" w:type="dxa"/>
          <w:right w:w="0" w:type="dxa"/>
        </w:tblCellMar>
        <w:tblLook w:val="01E0"/>
      </w:tblPr>
      <w:tblGrid>
        <w:gridCol w:w="2881"/>
        <w:gridCol w:w="898"/>
        <w:gridCol w:w="1261"/>
        <w:gridCol w:w="1080"/>
        <w:gridCol w:w="1441"/>
        <w:gridCol w:w="1259"/>
      </w:tblGrid>
      <w:tr>
        <w:trPr>
          <w:trHeight w:val="73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64" w:right="171" w:hanging="90"/>
              <w:jc w:val="left"/>
              <w:rPr>
                <w:rFonts w:ascii="宋体" w:hAnsi="宋体" w:cs="宋体" w:eastAsia="宋体" w:hint="default"/>
                <w:sz w:val="18"/>
                <w:szCs w:val="18"/>
              </w:rPr>
            </w:pPr>
            <w:r>
              <w:rPr>
                <w:rFonts w:ascii="宋体" w:hAnsi="宋体" w:cs="宋体" w:eastAsia="宋体" w:hint="default"/>
                <w:sz w:val="18"/>
                <w:szCs w:val="18"/>
              </w:rPr>
              <w:t>性质或 内容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19" w:right="17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3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1" w:right="91"/>
              <w:jc w:val="left"/>
              <w:rPr>
                <w:rFonts w:ascii="宋体" w:hAnsi="宋体" w:cs="宋体" w:eastAsia="宋体" w:hint="default"/>
                <w:sz w:val="18"/>
                <w:szCs w:val="18"/>
              </w:rPr>
            </w:pPr>
            <w:r>
              <w:rPr>
                <w:rFonts w:ascii="宋体" w:hAnsi="宋体" w:cs="宋体" w:eastAsia="宋体" w:hint="default"/>
                <w:spacing w:val="10"/>
                <w:sz w:val="18"/>
                <w:szCs w:val="18"/>
              </w:rPr>
              <w:t>深圳市深信泰丰投资发展有限公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27,554,574.25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z w:val="18"/>
              </w:rPr>
              <w:t>75.29</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pacing w:val="-3"/>
                <w:sz w:val="18"/>
                <w:szCs w:val="18"/>
              </w:rPr>
              <w:t>深圳市华宝（集团）饲料有限公司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4,048,480.79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z w:val="18"/>
              </w:rPr>
              <w:t>11.06</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深圳市宝安华宝实业有限公司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1,450,157.67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z w:val="18"/>
              </w:rPr>
              <w:t>3.96</w:t>
            </w: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64"/>
              <w:jc w:val="left"/>
              <w:rPr>
                <w:rFonts w:ascii="宋体" w:hAnsi="宋体" w:cs="宋体" w:eastAsia="宋体" w:hint="default"/>
                <w:sz w:val="18"/>
                <w:szCs w:val="18"/>
              </w:rPr>
            </w:pPr>
            <w:r>
              <w:rPr>
                <w:rFonts w:ascii="宋体" w:hAnsi="宋体" w:cs="宋体" w:eastAsia="宋体" w:hint="default"/>
                <w:spacing w:val="28"/>
                <w:sz w:val="18"/>
                <w:szCs w:val="18"/>
              </w:rPr>
              <w:t>已全额计提</w:t>
            </w:r>
            <w:r>
              <w:rPr>
                <w:rFonts w:ascii="宋体" w:hAnsi="宋体" w:cs="宋体" w:eastAsia="宋体" w:hint="default"/>
                <w:spacing w:val="-86"/>
                <w:sz w:val="18"/>
                <w:szCs w:val="18"/>
              </w:rPr>
              <w:t> </w:t>
            </w:r>
            <w:r>
              <w:rPr>
                <w:rFonts w:ascii="宋体" w:hAnsi="宋体" w:cs="宋体" w:eastAsia="宋体" w:hint="default"/>
                <w:sz w:val="18"/>
                <w:szCs w:val="18"/>
              </w:rPr>
              <w:t>坏账准备</w:t>
            </w:r>
          </w:p>
        </w:tc>
      </w:tr>
      <w:tr>
        <w:trPr>
          <w:trHeight w:val="73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深圳市加际洲实业有限公司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2.19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64"/>
              <w:jc w:val="left"/>
              <w:rPr>
                <w:rFonts w:ascii="宋体" w:hAnsi="宋体" w:cs="宋体" w:eastAsia="宋体" w:hint="default"/>
                <w:sz w:val="18"/>
                <w:szCs w:val="18"/>
              </w:rPr>
            </w:pPr>
            <w:r>
              <w:rPr>
                <w:rFonts w:ascii="宋体" w:hAnsi="宋体" w:cs="宋体" w:eastAsia="宋体" w:hint="default"/>
                <w:spacing w:val="28"/>
                <w:sz w:val="18"/>
                <w:szCs w:val="18"/>
              </w:rPr>
              <w:t>已全额计提</w:t>
            </w:r>
            <w:r>
              <w:rPr>
                <w:rFonts w:ascii="宋体" w:hAnsi="宋体" w:cs="宋体" w:eastAsia="宋体" w:hint="default"/>
                <w:spacing w:val="-86"/>
                <w:sz w:val="18"/>
                <w:szCs w:val="18"/>
              </w:rPr>
              <w:t> </w:t>
            </w:r>
            <w:r>
              <w:rPr>
                <w:rFonts w:ascii="宋体" w:hAnsi="宋体" w:cs="宋体" w:eastAsia="宋体" w:hint="default"/>
                <w:sz w:val="18"/>
                <w:szCs w:val="18"/>
              </w:rPr>
              <w:t>坏账准备</w:t>
            </w:r>
          </w:p>
        </w:tc>
      </w:tr>
      <w:tr>
        <w:trPr>
          <w:trHeight w:val="37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35,695,125.06</w:t>
            </w:r>
            <w:r>
              <w:rPr>
                <w:rFonts w:ascii="Times New Roman"/>
                <w:spacing w:val="-1"/>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b/>
                <w:sz w:val="18"/>
              </w:rPr>
              <w:t>97.53</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893" w:top="1140" w:bottom="1080" w:left="146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35"/>
        <w:ind w:left="638" w:right="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长期股权投资</w:t>
      </w:r>
    </w:p>
    <w:p>
      <w:pPr>
        <w:spacing w:line="240" w:lineRule="auto" w:before="1"/>
        <w:rPr>
          <w:rFonts w:ascii="黑体" w:hAnsi="黑体" w:cs="黑体" w:eastAsia="黑体" w:hint="default"/>
          <w:sz w:val="22"/>
          <w:szCs w:val="22"/>
        </w:rPr>
      </w:pPr>
    </w:p>
    <w:p>
      <w:pPr>
        <w:pStyle w:val="BodyText"/>
        <w:spacing w:line="240" w:lineRule="auto"/>
        <w:ind w:left="638" w:right="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）长期股权投资类别</w:t>
      </w:r>
    </w:p>
    <w:p>
      <w:pPr>
        <w:spacing w:line="240" w:lineRule="auto" w:before="9"/>
        <w:rPr>
          <w:rFonts w:ascii="黑体" w:hAnsi="黑体" w:cs="黑体" w:eastAsia="黑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11"/>
        <w:gridCol w:w="2094"/>
        <w:gridCol w:w="1676"/>
        <w:gridCol w:w="1884"/>
        <w:gridCol w:w="2094"/>
        <w:gridCol w:w="1885"/>
        <w:gridCol w:w="2514"/>
      </w:tblGrid>
      <w:tr>
        <w:trPr>
          <w:trHeight w:val="450" w:hRule="exac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c>
          <w:tcPr>
            <w:tcW w:w="6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r>
      <w:tr>
        <w:trPr>
          <w:trHeight w:val="450" w:hRule="exact"/>
        </w:trPr>
        <w:tc>
          <w:tcPr>
            <w:tcW w:w="2011"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51" w:hRule="exac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对其他企业投资</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48,188,510.30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48,188,510.30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48,188,510.30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48,188,510.30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424,850,000.00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106,470,000.00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318,380,000.00</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329,045,000.00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106,470,000.00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222,575,000.00</w:t>
            </w:r>
          </w:p>
        </w:tc>
      </w:tr>
      <w:tr>
        <w:trPr>
          <w:trHeight w:val="468" w:hRule="exac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473,038,510.30</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154,658,510.30</w:t>
            </w:r>
            <w:r>
              <w:rPr>
                <w:rFonts w:ascii="Times New Roman"/>
                <w:spacing w:val="-1"/>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318,380,000.00</w:t>
            </w:r>
            <w:r>
              <w:rPr>
                <w:rFonts w:ascii="Times New Roman"/>
                <w:spacing w:val="-1"/>
                <w:sz w:val="18"/>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377,233,510.30</w:t>
            </w:r>
            <w:r>
              <w:rPr>
                <w:rFonts w:ascii="Times New Roman"/>
                <w:spacing w:val="-1"/>
                <w:sz w:val="18"/>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154,658,510.30</w:t>
            </w:r>
            <w:r>
              <w:rPr>
                <w:rFonts w:ascii="Times New Roman"/>
                <w:spacing w:val="-1"/>
                <w:sz w:val="18"/>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222,575,000.00</w:t>
            </w:r>
            <w:r>
              <w:rPr>
                <w:rFonts w:ascii="Times New Roman"/>
                <w:spacing w:val="-1"/>
                <w:sz w:val="18"/>
              </w:rPr>
            </w:r>
          </w:p>
        </w:tc>
      </w:tr>
    </w:tbl>
    <w:p>
      <w:pPr>
        <w:spacing w:line="240" w:lineRule="auto" w:before="12"/>
        <w:rPr>
          <w:rFonts w:ascii="黑体" w:hAnsi="黑体" w:cs="黑体" w:eastAsia="黑体" w:hint="default"/>
          <w:sz w:val="15"/>
          <w:szCs w:val="15"/>
        </w:rPr>
      </w:pPr>
    </w:p>
    <w:p>
      <w:pPr>
        <w:pStyle w:val="BodyText"/>
        <w:spacing w:line="240" w:lineRule="auto" w:before="35"/>
        <w:ind w:left="638" w:right="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2</w:t>
      </w:r>
      <w:r>
        <w:rPr>
          <w:rFonts w:ascii="黑体" w:hAnsi="黑体" w:cs="黑体" w:eastAsia="黑体" w:hint="default"/>
        </w:rPr>
        <w:t>）按成本法核算的其他投资</w:t>
      </w:r>
    </w:p>
    <w:p>
      <w:pPr>
        <w:spacing w:line="240" w:lineRule="auto" w:before="5"/>
        <w:rPr>
          <w:rFonts w:ascii="黑体" w:hAnsi="黑体" w:cs="黑体" w:eastAsia="黑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224"/>
        <w:gridCol w:w="1398"/>
        <w:gridCol w:w="1398"/>
        <w:gridCol w:w="632"/>
        <w:gridCol w:w="1398"/>
        <w:gridCol w:w="1424"/>
        <w:gridCol w:w="1424"/>
        <w:gridCol w:w="1398"/>
        <w:gridCol w:w="1027"/>
        <w:gridCol w:w="830"/>
      </w:tblGrid>
      <w:tr>
        <w:trPr>
          <w:trHeight w:val="580" w:hRule="exact"/>
        </w:trPr>
        <w:tc>
          <w:tcPr>
            <w:tcW w:w="32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5"/>
                <w:szCs w:val="2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5"/>
              <w:ind w:left="273" w:right="0"/>
              <w:jc w:val="left"/>
              <w:rPr>
                <w:rFonts w:ascii="Times New Roman" w:hAnsi="Times New Roman" w:cs="Times New Roman" w:eastAsia="Times New Roman" w:hint="default"/>
                <w:sz w:val="18"/>
                <w:szCs w:val="18"/>
              </w:rPr>
            </w:pPr>
            <w:r>
              <w:rPr>
                <w:rFonts w:ascii="Times New Roman"/>
                <w:sz w:val="18"/>
              </w:rPr>
              <w:t>2009-12-31</w:t>
            </w:r>
          </w:p>
        </w:tc>
        <w:tc>
          <w:tcPr>
            <w:tcW w:w="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8"/>
              <w:ind w:right="128"/>
              <w:jc w:val="right"/>
              <w:rPr>
                <w:rFonts w:ascii="宋体" w:hAnsi="宋体" w:cs="宋体" w:eastAsia="宋体" w:hint="default"/>
                <w:sz w:val="18"/>
                <w:szCs w:val="18"/>
              </w:rPr>
            </w:pPr>
            <w:r>
              <w:rPr>
                <w:rFonts w:ascii="宋体" w:hAnsi="宋体" w:cs="宋体" w:eastAsia="宋体" w:hint="default"/>
                <w:sz w:val="18"/>
                <w:szCs w:val="18"/>
              </w:rPr>
              <w:t>增减</w:t>
            </w: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5"/>
              <w:ind w:left="273" w:right="0"/>
              <w:jc w:val="left"/>
              <w:rPr>
                <w:rFonts w:ascii="Times New Roman" w:hAnsi="Times New Roman" w:cs="Times New Roman" w:eastAsia="Times New Roman" w:hint="default"/>
                <w:sz w:val="18"/>
                <w:szCs w:val="18"/>
              </w:rPr>
            </w:pPr>
            <w:r>
              <w:rPr>
                <w:rFonts w:ascii="Times New Roman"/>
                <w:sz w:val="18"/>
              </w:rPr>
              <w:t>2010-12-31</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8"/>
              <w:ind w:right="166"/>
              <w:jc w:val="right"/>
              <w:rPr>
                <w:rFonts w:ascii="宋体" w:hAnsi="宋体" w:cs="宋体" w:eastAsia="宋体" w:hint="default"/>
                <w:sz w:val="18"/>
                <w:szCs w:val="18"/>
              </w:rPr>
            </w:pPr>
            <w:r>
              <w:rPr>
                <w:rFonts w:ascii="宋体" w:hAnsi="宋体" w:cs="宋体" w:eastAsia="宋体" w:hint="default"/>
                <w:sz w:val="18"/>
                <w:szCs w:val="18"/>
              </w:rPr>
              <w:t>在被投资单位</w:t>
            </w:r>
          </w:p>
        </w:tc>
        <w:tc>
          <w:tcPr>
            <w:tcW w:w="1424" w:type="dxa"/>
            <w:vMerge w:val="restart"/>
            <w:tcBorders>
              <w:top w:val="single" w:sz="4" w:space="0" w:color="000000"/>
              <w:left w:val="single" w:sz="4" w:space="0" w:color="000000"/>
              <w:right w:val="single" w:sz="4" w:space="0" w:color="000000"/>
            </w:tcBorders>
          </w:tcPr>
          <w:p>
            <w:pPr>
              <w:pStyle w:val="TableParagraph"/>
              <w:spacing w:line="367" w:lineRule="auto" w:before="158"/>
              <w:ind w:left="256" w:right="166" w:hanging="90"/>
              <w:jc w:val="left"/>
              <w:rPr>
                <w:rFonts w:ascii="宋体" w:hAnsi="宋体" w:cs="宋体" w:eastAsia="宋体" w:hint="default"/>
                <w:sz w:val="18"/>
                <w:szCs w:val="18"/>
              </w:rPr>
            </w:pPr>
            <w:r>
              <w:rPr>
                <w:rFonts w:ascii="宋体" w:hAnsi="宋体" w:cs="宋体" w:eastAsia="宋体" w:hint="default"/>
                <w:sz w:val="18"/>
                <w:szCs w:val="18"/>
              </w:rPr>
              <w:t>在被投资单位 表决权比例</w:t>
            </w: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5"/>
                <w:szCs w:val="2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8"/>
              <w:ind w:right="146"/>
              <w:jc w:val="right"/>
              <w:rPr>
                <w:rFonts w:ascii="宋体" w:hAnsi="宋体" w:cs="宋体" w:eastAsia="宋体" w:hint="default"/>
                <w:sz w:val="18"/>
                <w:szCs w:val="18"/>
              </w:rPr>
            </w:pPr>
            <w:r>
              <w:rPr>
                <w:rFonts w:ascii="宋体" w:hAnsi="宋体" w:cs="宋体" w:eastAsia="宋体" w:hint="default"/>
                <w:sz w:val="18"/>
                <w:szCs w:val="18"/>
              </w:rPr>
              <w:t>本期计提</w:t>
            </w:r>
          </w:p>
        </w:tc>
        <w:tc>
          <w:tcPr>
            <w:tcW w:w="830" w:type="dxa"/>
            <w:vMerge w:val="restart"/>
            <w:tcBorders>
              <w:top w:val="single" w:sz="4" w:space="0" w:color="000000"/>
              <w:left w:val="single" w:sz="4" w:space="0" w:color="000000"/>
              <w:right w:val="single" w:sz="4" w:space="0" w:color="000000"/>
            </w:tcBorders>
          </w:tcPr>
          <w:p>
            <w:pPr>
              <w:pStyle w:val="TableParagraph"/>
              <w:spacing w:line="367" w:lineRule="auto" w:before="158"/>
              <w:ind w:left="140" w:right="13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313" w:hRule="exact"/>
        </w:trPr>
        <w:tc>
          <w:tcPr>
            <w:tcW w:w="3224" w:type="dxa"/>
            <w:vMerge/>
            <w:tcBorders>
              <w:left w:val="single" w:sz="4" w:space="0" w:color="000000"/>
              <w:bottom w:val="single" w:sz="4" w:space="0" w:color="000000"/>
              <w:right w:val="single" w:sz="4" w:space="0" w:color="000000"/>
            </w:tcBorders>
          </w:tcPr>
          <w:p>
            <w:pPr/>
          </w:p>
        </w:tc>
        <w:tc>
          <w:tcPr>
            <w:tcW w:w="1398" w:type="dxa"/>
            <w:vMerge/>
            <w:tcBorders>
              <w:left w:val="single" w:sz="4" w:space="0" w:color="000000"/>
              <w:bottom w:val="single" w:sz="4" w:space="0" w:color="000000"/>
              <w:right w:val="single" w:sz="4" w:space="0" w:color="000000"/>
            </w:tcBorders>
          </w:tcPr>
          <w:p>
            <w:pPr/>
          </w:p>
        </w:tc>
        <w:tc>
          <w:tcPr>
            <w:tcW w:w="1398" w:type="dxa"/>
            <w:vMerge/>
            <w:tcBorders>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right="128"/>
              <w:jc w:val="right"/>
              <w:rPr>
                <w:rFonts w:ascii="宋体" w:hAnsi="宋体" w:cs="宋体" w:eastAsia="宋体" w:hint="default"/>
                <w:sz w:val="18"/>
                <w:szCs w:val="18"/>
              </w:rPr>
            </w:pPr>
            <w:r>
              <w:rPr>
                <w:rFonts w:ascii="宋体" w:hAnsi="宋体" w:cs="宋体" w:eastAsia="宋体" w:hint="default"/>
                <w:sz w:val="18"/>
                <w:szCs w:val="18"/>
              </w:rPr>
              <w:t>变动</w:t>
            </w:r>
          </w:p>
        </w:tc>
        <w:tc>
          <w:tcPr>
            <w:tcW w:w="1398" w:type="dxa"/>
            <w:vMerge/>
            <w:tcBorders>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34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24" w:type="dxa"/>
            <w:vMerge/>
            <w:tcBorders>
              <w:left w:val="single" w:sz="4" w:space="0" w:color="000000"/>
              <w:bottom w:val="single" w:sz="4" w:space="0" w:color="000000"/>
              <w:right w:val="single" w:sz="4" w:space="0" w:color="000000"/>
            </w:tcBorders>
          </w:tcPr>
          <w:p>
            <w:pPr/>
          </w:p>
        </w:tc>
        <w:tc>
          <w:tcPr>
            <w:tcW w:w="1398" w:type="dxa"/>
            <w:vMerge/>
            <w:tcBorders>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right="146"/>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830" w:type="dxa"/>
            <w:vMerge/>
            <w:tcBorders>
              <w:left w:val="single" w:sz="4" w:space="0" w:color="000000"/>
              <w:bottom w:val="single" w:sz="4" w:space="0" w:color="000000"/>
              <w:right w:val="single" w:sz="4" w:space="0" w:color="000000"/>
            </w:tcBorders>
          </w:tcPr>
          <w:p>
            <w:pPr/>
          </w:p>
        </w:tc>
      </w:tr>
      <w:tr>
        <w:trPr>
          <w:trHeight w:val="450"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深圳市天极光电实业股份有限公司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20,250,000.00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20,250,000.00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20,250,000.00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pacing w:val="-1"/>
                <w:sz w:val="18"/>
              </w:rPr>
              <w:t>5.03%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w w:val="95"/>
                <w:sz w:val="18"/>
              </w:rPr>
              <w:t>5.03%</w:t>
            </w:r>
            <w:r>
              <w:rPr>
                <w:rFonts w:ascii="Times New Roman"/>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20,250,000.00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40,000,000.00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27,938,510.30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27,938,510.30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w w:val="95"/>
                <w:sz w:val="18"/>
              </w:rPr>
              <w:t>40.00%</w:t>
            </w:r>
            <w:r>
              <w:rPr>
                <w:rFonts w:ascii="Times New Roman"/>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w w:val="95"/>
                <w:sz w:val="18"/>
              </w:rPr>
              <w:t>40.00%</w:t>
            </w:r>
            <w:r>
              <w:rPr>
                <w:rFonts w:ascii="Times New Roman"/>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27,938,510.30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b/>
                <w:sz w:val="18"/>
              </w:rPr>
              <w:t>60,250,000.00</w:t>
            </w:r>
            <w:r>
              <w:rPr>
                <w:rFonts w:ascii="Times New Roman"/>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48,188,510.30</w:t>
            </w:r>
            <w:r>
              <w:rPr>
                <w:rFonts w:ascii="Times New Roman"/>
                <w:spacing w:val="-1"/>
                <w:sz w:val="18"/>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145" w:right="0"/>
              <w:jc w:val="center"/>
              <w:rPr>
                <w:rFonts w:ascii="Times New Roman" w:hAnsi="Times New Roman" w:cs="Times New Roman" w:eastAsia="Times New Roman" w:hint="default"/>
                <w:sz w:val="18"/>
                <w:szCs w:val="18"/>
              </w:rPr>
            </w:pPr>
            <w:r>
              <w:rPr>
                <w:rFonts w:ascii="Times New Roman"/>
                <w:b/>
                <w:sz w:val="18"/>
              </w:rPr>
              <w:t>48,188,510.30</w:t>
            </w:r>
            <w:r>
              <w:rPr>
                <w:rFonts w:ascii="Times New Roman"/>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146" w:right="0"/>
              <w:jc w:val="center"/>
              <w:rPr>
                <w:rFonts w:ascii="Times New Roman" w:hAnsi="Times New Roman" w:cs="Times New Roman" w:eastAsia="Times New Roman" w:hint="default"/>
                <w:sz w:val="18"/>
                <w:szCs w:val="18"/>
              </w:rPr>
            </w:pPr>
            <w:r>
              <w:rPr>
                <w:rFonts w:ascii="Times New Roman"/>
                <w:b/>
                <w:sz w:val="18"/>
              </w:rPr>
              <w:t>48,188,510.30</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45"/>
          <w:footerReference w:type="default" r:id="rId46"/>
          <w:pgSz w:w="16840" w:h="11910" w:orient="landscape"/>
          <w:pgMar w:header="963" w:footer="891" w:top="1200" w:bottom="1080" w:left="1200" w:right="1260"/>
          <w:pgNumType w:start="115"/>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4"/>
          <w:szCs w:val="24"/>
        </w:rPr>
      </w:pPr>
    </w:p>
    <w:p>
      <w:pPr>
        <w:pStyle w:val="BodyText"/>
        <w:spacing w:line="240" w:lineRule="auto" w:before="35"/>
        <w:ind w:left="638" w:right="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3</w:t>
      </w:r>
      <w:r>
        <w:rPr>
          <w:rFonts w:ascii="黑体" w:hAnsi="黑体" w:cs="黑体" w:eastAsia="黑体" w:hint="default"/>
        </w:rPr>
        <w:t>）按成本法核算的子公司投资</w:t>
      </w:r>
    </w:p>
    <w:p>
      <w:pPr>
        <w:spacing w:line="240" w:lineRule="auto" w:before="9"/>
        <w:rPr>
          <w:rFonts w:ascii="黑体" w:hAnsi="黑体" w:cs="黑体" w:eastAsia="黑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28"/>
        <w:gridCol w:w="1620"/>
        <w:gridCol w:w="1620"/>
        <w:gridCol w:w="1620"/>
        <w:gridCol w:w="1620"/>
        <w:gridCol w:w="1080"/>
        <w:gridCol w:w="1080"/>
        <w:gridCol w:w="1800"/>
        <w:gridCol w:w="1080"/>
        <w:gridCol w:w="900"/>
      </w:tblGrid>
      <w:tr>
        <w:trPr>
          <w:trHeight w:val="109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2009-12-31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2010-12-31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75" w:right="173"/>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75" w:right="173"/>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367" w:lineRule="auto"/>
              <w:ind w:left="175" w:right="173"/>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367" w:lineRule="auto"/>
              <w:ind w:left="175" w:right="173"/>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6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90"/>
              <w:jc w:val="left"/>
              <w:rPr>
                <w:rFonts w:ascii="宋体" w:hAnsi="宋体" w:cs="宋体" w:eastAsia="宋体" w:hint="default"/>
                <w:sz w:val="18"/>
                <w:szCs w:val="18"/>
              </w:rPr>
            </w:pPr>
            <w:r>
              <w:rPr>
                <w:rFonts w:ascii="宋体" w:hAnsi="宋体" w:cs="宋体" w:eastAsia="宋体" w:hint="default"/>
                <w:spacing w:val="9"/>
                <w:sz w:val="18"/>
                <w:szCs w:val="18"/>
              </w:rPr>
              <w:t>深圳市深信西部房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地产有限公司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118,300,000.00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106,470,000.00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11,830,000.00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118,300,000.00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pacing w:val="-1"/>
                <w:sz w:val="18"/>
              </w:rPr>
              <w:t>106,470,000.00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r>
        <w:trPr>
          <w:trHeight w:val="6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90"/>
              <w:jc w:val="left"/>
              <w:rPr>
                <w:rFonts w:ascii="宋体" w:hAnsi="宋体" w:cs="宋体" w:eastAsia="宋体" w:hint="default"/>
                <w:sz w:val="18"/>
                <w:szCs w:val="18"/>
              </w:rPr>
            </w:pPr>
            <w:r>
              <w:rPr>
                <w:rFonts w:ascii="宋体" w:hAnsi="宋体" w:cs="宋体" w:eastAsia="宋体" w:hint="default"/>
                <w:spacing w:val="9"/>
                <w:sz w:val="18"/>
                <w:szCs w:val="18"/>
              </w:rPr>
              <w:t>深圳市深信泰丰投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r>
      <w:tr>
        <w:trPr>
          <w:trHeight w:val="6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11"/>
              <w:jc w:val="left"/>
              <w:rPr>
                <w:rFonts w:ascii="宋体" w:hAnsi="宋体" w:cs="宋体" w:eastAsia="宋体" w:hint="default"/>
                <w:sz w:val="18"/>
                <w:szCs w:val="18"/>
              </w:rPr>
            </w:pPr>
            <w:r>
              <w:rPr>
                <w:rFonts w:ascii="宋体" w:hAnsi="宋体" w:cs="宋体" w:eastAsia="宋体" w:hint="default"/>
                <w:spacing w:val="-2"/>
                <w:sz w:val="18"/>
                <w:szCs w:val="18"/>
              </w:rPr>
              <w:t>深圳市华宝（集团）</w:t>
            </w:r>
            <w:r>
              <w:rPr>
                <w:rFonts w:ascii="宋体" w:hAnsi="宋体" w:cs="宋体" w:eastAsia="宋体" w:hint="default"/>
                <w:sz w:val="18"/>
                <w:szCs w:val="18"/>
              </w:rPr>
              <w:t> 饲料有限公司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55,170,000.00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r>
      <w:tr>
        <w:trPr>
          <w:trHeight w:val="6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90"/>
              <w:jc w:val="left"/>
              <w:rPr>
                <w:rFonts w:ascii="宋体" w:hAnsi="宋体" w:cs="宋体" w:eastAsia="宋体" w:hint="default"/>
                <w:sz w:val="18"/>
                <w:szCs w:val="18"/>
              </w:rPr>
            </w:pPr>
            <w:r>
              <w:rPr>
                <w:rFonts w:ascii="宋体" w:hAnsi="宋体" w:cs="宋体" w:eastAsia="宋体" w:hint="default"/>
                <w:spacing w:val="9"/>
                <w:sz w:val="18"/>
                <w:szCs w:val="18"/>
              </w:rPr>
              <w:t>深圳市宝安华宝实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9,955,000.00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26,245,000.00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r>
      <w:tr>
        <w:trPr>
          <w:trHeight w:val="6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90"/>
              <w:jc w:val="left"/>
              <w:rPr>
                <w:rFonts w:ascii="宋体" w:hAnsi="宋体" w:cs="宋体" w:eastAsia="宋体" w:hint="default"/>
                <w:sz w:val="18"/>
                <w:szCs w:val="18"/>
              </w:rPr>
            </w:pPr>
            <w:r>
              <w:rPr>
                <w:rFonts w:ascii="宋体" w:hAnsi="宋体" w:cs="宋体" w:eastAsia="宋体" w:hint="default"/>
                <w:spacing w:val="9"/>
                <w:sz w:val="18"/>
                <w:szCs w:val="18"/>
              </w:rPr>
              <w:t>深圳市龙岗区华宝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r>
      <w:tr>
        <w:trPr>
          <w:trHeight w:val="6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90"/>
              <w:jc w:val="left"/>
              <w:rPr>
                <w:rFonts w:ascii="宋体" w:hAnsi="宋体" w:cs="宋体" w:eastAsia="宋体" w:hint="default"/>
                <w:sz w:val="18"/>
                <w:szCs w:val="18"/>
              </w:rPr>
            </w:pPr>
            <w:r>
              <w:rPr>
                <w:rFonts w:ascii="宋体" w:hAnsi="宋体" w:cs="宋体" w:eastAsia="宋体" w:hint="default"/>
                <w:spacing w:val="9"/>
                <w:sz w:val="18"/>
                <w:szCs w:val="18"/>
              </w:rPr>
              <w:t>深圳市泰丰科技有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51,600,000.00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83" w:right="0"/>
              <w:jc w:val="left"/>
              <w:rPr>
                <w:rFonts w:ascii="Times New Roman" w:hAnsi="Times New Roman" w:cs="Times New Roman" w:eastAsia="Times New Roman" w:hint="default"/>
                <w:sz w:val="18"/>
                <w:szCs w:val="18"/>
              </w:rPr>
            </w:pPr>
            <w:r>
              <w:rPr>
                <w:rFonts w:ascii="Times New Roman"/>
                <w:b/>
                <w:sz w:val="18"/>
              </w:rPr>
              <w:t>424,850,000.00</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82" w:right="0"/>
              <w:jc w:val="left"/>
              <w:rPr>
                <w:rFonts w:ascii="Times New Roman" w:hAnsi="Times New Roman" w:cs="Times New Roman" w:eastAsia="Times New Roman" w:hint="default"/>
                <w:sz w:val="18"/>
                <w:szCs w:val="18"/>
              </w:rPr>
            </w:pPr>
            <w:r>
              <w:rPr>
                <w:rFonts w:ascii="Times New Roman"/>
                <w:b/>
                <w:sz w:val="18"/>
              </w:rPr>
              <w:t>329,045,000.00</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b/>
                <w:spacing w:val="-1"/>
                <w:sz w:val="18"/>
              </w:rPr>
              <w:t>95,805,000.00</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82" w:right="0"/>
              <w:jc w:val="left"/>
              <w:rPr>
                <w:rFonts w:ascii="Times New Roman" w:hAnsi="Times New Roman" w:cs="Times New Roman" w:eastAsia="Times New Roman" w:hint="default"/>
                <w:sz w:val="18"/>
                <w:szCs w:val="18"/>
              </w:rPr>
            </w:pPr>
            <w:r>
              <w:rPr>
                <w:rFonts w:ascii="Times New Roman"/>
                <w:b/>
                <w:sz w:val="18"/>
              </w:rPr>
              <w:t>424,850,000.00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9"/>
              <w:jc w:val="right"/>
              <w:rPr>
                <w:rFonts w:ascii="Times New Roman" w:hAnsi="Times New Roman" w:cs="Times New Roman" w:eastAsia="Times New Roman" w:hint="default"/>
                <w:sz w:val="18"/>
                <w:szCs w:val="18"/>
              </w:rPr>
            </w:pPr>
            <w:r>
              <w:rPr>
                <w:rFonts w:ascii="Times New Roman"/>
                <w:b/>
                <w:spacing w:val="-1"/>
                <w:sz w:val="18"/>
              </w:rPr>
              <w:t>106,470,000.00</w:t>
            </w:r>
            <w:r>
              <w:rPr>
                <w:rFonts w:ascii="Times New Roman"/>
                <w:spacing w:val="-1"/>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63" w:footer="891" w:top="1200" w:bottom="1080" w:left="1200" w:right="126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0"/>
          <w:szCs w:val="20"/>
        </w:rPr>
      </w:pPr>
    </w:p>
    <w:p>
      <w:pPr>
        <w:pStyle w:val="BodyText"/>
        <w:tabs>
          <w:tab w:pos="1117" w:val="left" w:leader="none"/>
        </w:tabs>
        <w:spacing w:line="240" w:lineRule="auto" w:before="35"/>
        <w:ind w:left="757" w:right="0"/>
        <w:jc w:val="left"/>
        <w:rPr>
          <w:rFonts w:ascii="黑体" w:hAnsi="黑体" w:cs="黑体" w:eastAsia="黑体" w:hint="default"/>
        </w:rPr>
      </w:pPr>
      <w:r>
        <w:rPr>
          <w:rFonts w:ascii="Times New Roman" w:hAnsi="Times New Roman" w:cs="Times New Roman" w:eastAsia="Times New Roman" w:hint="default"/>
        </w:rPr>
        <w:t>3.</w:t>
        <w:tab/>
      </w:r>
      <w:r>
        <w:rPr>
          <w:rFonts w:ascii="黑体" w:hAnsi="黑体" w:cs="黑体" w:eastAsia="黑体" w:hint="default"/>
        </w:rPr>
        <w:t>投资收益</w:t>
      </w:r>
    </w:p>
    <w:p>
      <w:pPr>
        <w:spacing w:line="240" w:lineRule="auto" w:before="1"/>
        <w:rPr>
          <w:rFonts w:ascii="黑体" w:hAnsi="黑体" w:cs="黑体" w:eastAsia="黑体" w:hint="default"/>
          <w:sz w:val="22"/>
          <w:szCs w:val="22"/>
        </w:rPr>
      </w:pPr>
    </w:p>
    <w:p>
      <w:pPr>
        <w:pStyle w:val="BodyText"/>
        <w:spacing w:line="240" w:lineRule="auto"/>
        <w:ind w:left="847" w:right="0"/>
        <w:jc w:val="left"/>
      </w:pPr>
      <w:r>
        <w:rPr/>
        <w:t>投资收益明细</w:t>
      </w:r>
    </w:p>
    <w:p>
      <w:pPr>
        <w:spacing w:line="240" w:lineRule="auto" w:before="13"/>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79"/>
        <w:gridCol w:w="2642"/>
        <w:gridCol w:w="2807"/>
      </w:tblGrid>
      <w:tr>
        <w:trPr>
          <w:trHeight w:val="450" w:hRule="exact"/>
        </w:trPr>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0" w:hRule="exact"/>
        </w:trPr>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105,000.00</w:t>
            </w:r>
          </w:p>
        </w:tc>
      </w:tr>
      <w:tr>
        <w:trPr>
          <w:trHeight w:val="450" w:hRule="exact"/>
        </w:trPr>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105,000.00</w:t>
            </w:r>
            <w:r>
              <w:rPr>
                <w:rFonts w:ascii="Times New Roman"/>
                <w:sz w:val="18"/>
              </w:rPr>
            </w:r>
          </w:p>
        </w:tc>
      </w:tr>
    </w:tbl>
    <w:p>
      <w:pPr>
        <w:spacing w:line="240" w:lineRule="auto" w:before="12"/>
        <w:rPr>
          <w:rFonts w:ascii="宋体" w:hAnsi="宋体" w:cs="宋体" w:eastAsia="宋体" w:hint="default"/>
          <w:sz w:val="15"/>
          <w:szCs w:val="15"/>
        </w:rPr>
      </w:pPr>
    </w:p>
    <w:p>
      <w:pPr>
        <w:pStyle w:val="BodyText"/>
        <w:tabs>
          <w:tab w:pos="1117" w:val="left" w:leader="none"/>
        </w:tabs>
        <w:spacing w:line="240" w:lineRule="auto" w:before="35"/>
        <w:ind w:left="757" w:right="0"/>
        <w:jc w:val="left"/>
        <w:rPr>
          <w:rFonts w:ascii="黑体" w:hAnsi="黑体" w:cs="黑体" w:eastAsia="黑体" w:hint="default"/>
        </w:rPr>
      </w:pPr>
      <w:r>
        <w:rPr>
          <w:rFonts w:ascii="Times New Roman" w:hAnsi="Times New Roman" w:cs="Times New Roman" w:eastAsia="Times New Roman" w:hint="default"/>
        </w:rPr>
        <w:t>4.</w:t>
        <w:tab/>
      </w:r>
      <w:r>
        <w:rPr>
          <w:rFonts w:ascii="黑体" w:hAnsi="黑体" w:cs="黑体" w:eastAsia="黑体" w:hint="default"/>
        </w:rPr>
        <w:t>现金流量表补充资料</w:t>
      </w:r>
    </w:p>
    <w:p>
      <w:pPr>
        <w:spacing w:line="240" w:lineRule="auto" w:before="9"/>
        <w:rPr>
          <w:rFonts w:ascii="黑体" w:hAnsi="黑体" w:cs="黑体" w:eastAsia="黑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5575"/>
        <w:gridCol w:w="1502"/>
        <w:gridCol w:w="1451"/>
      </w:tblGrid>
      <w:tr>
        <w:trPr>
          <w:trHeight w:val="450"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0"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502" w:type="dxa"/>
            <w:tcBorders>
              <w:top w:val="single" w:sz="4" w:space="0" w:color="000000"/>
              <w:left w:val="single" w:sz="4" w:space="0" w:color="000000"/>
              <w:bottom w:val="single" w:sz="6" w:space="0" w:color="000000"/>
              <w:right w:val="single" w:sz="6" w:space="0" w:color="000000"/>
            </w:tcBorders>
          </w:tcPr>
          <w:p>
            <w:pPr/>
          </w:p>
        </w:tc>
        <w:tc>
          <w:tcPr>
            <w:tcW w:w="1451" w:type="dxa"/>
            <w:tcBorders>
              <w:top w:val="single" w:sz="4" w:space="0" w:color="000000"/>
              <w:left w:val="single" w:sz="6" w:space="0" w:color="000000"/>
              <w:bottom w:val="single" w:sz="6" w:space="0" w:color="000000"/>
              <w:right w:val="single" w:sz="6" w:space="0" w:color="000000"/>
            </w:tcBorders>
          </w:tcPr>
          <w:p>
            <w:pPr/>
          </w:p>
        </w:tc>
      </w:tr>
      <w:tr>
        <w:trPr>
          <w:trHeight w:val="456"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414,646,431.13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-14,108,865.18</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-706,408.37</w:t>
            </w:r>
            <w:r>
              <w:rPr>
                <w:rFonts w:ascii="Times New Roman"/>
                <w:sz w:val="18"/>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-6,493,846.64</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120,260.94</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125,631.98</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5,787.43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6,313.56</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处置固定资产、无形资产和其他长期资产的损失（收益以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158,274.31</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11,583,440.61</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-105,000.00</w:t>
            </w:r>
            <w:r>
              <w:rPr>
                <w:rFonts w:ascii="Times New Roman"/>
                <w:sz w:val="18"/>
              </w:rPr>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预计负债的增加（减少以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-300,000.00</w:t>
            </w:r>
            <w:r>
              <w:rPr>
                <w:rFonts w:ascii="Times New Roman"/>
                <w:sz w:val="18"/>
              </w:rPr>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4,046,553.39</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8,746,703.22</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29,812,441.73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576,335.27</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其他（债务重组利得）</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-423,492,994.88</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24,590,345.68</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30,712.82</w:t>
            </w:r>
          </w:p>
        </w:tc>
      </w:tr>
      <w:tr>
        <w:trPr>
          <w:trHeight w:val="456"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502" w:type="dxa"/>
            <w:tcBorders>
              <w:top w:val="single" w:sz="6" w:space="0" w:color="000000"/>
              <w:left w:val="single" w:sz="4"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47"/>
          <w:footerReference w:type="default" r:id="rId48"/>
          <w:pgSz w:w="11910" w:h="16840"/>
          <w:pgMar w:header="877" w:footer="833" w:top="1100" w:bottom="1020" w:left="1580" w:right="1560"/>
          <w:pgNumType w:start="117"/>
        </w:sectPr>
      </w:pPr>
    </w:p>
    <w:p>
      <w:pPr>
        <w:spacing w:line="240" w:lineRule="auto" w:before="6"/>
        <w:rPr>
          <w:rFonts w:ascii="黑体" w:hAnsi="黑体" w:cs="黑体" w:eastAsia="黑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575"/>
        <w:gridCol w:w="1502"/>
        <w:gridCol w:w="1451"/>
      </w:tblGrid>
      <w:tr>
        <w:trPr>
          <w:trHeight w:val="450"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02" w:type="dxa"/>
            <w:tcBorders>
              <w:top w:val="single" w:sz="4" w:space="0" w:color="000000"/>
              <w:left w:val="single" w:sz="4" w:space="0" w:color="000000"/>
              <w:bottom w:val="single" w:sz="6" w:space="0" w:color="000000"/>
              <w:right w:val="single" w:sz="4" w:space="0" w:color="000000"/>
            </w:tcBorders>
          </w:tcPr>
          <w:p>
            <w:pPr/>
          </w:p>
        </w:tc>
        <w:tc>
          <w:tcPr>
            <w:tcW w:w="145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right="0"/>
              <w:jc w:val="left"/>
              <w:rPr>
                <w:rFonts w:ascii="黑体" w:hAnsi="黑体" w:cs="黑体" w:eastAsia="黑体" w:hint="default"/>
                <w:sz w:val="13"/>
                <w:szCs w:val="13"/>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502" w:type="dxa"/>
            <w:tcBorders>
              <w:top w:val="single" w:sz="6" w:space="0" w:color="000000"/>
              <w:left w:val="single" w:sz="4"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456"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23,842,247.56</w:t>
            </w:r>
            <w:r>
              <w:rPr>
                <w:rFonts w:ascii="Times New Roman"/>
                <w:spacing w:val="-1"/>
                <w:sz w:val="18"/>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56,247.88</w:t>
            </w:r>
            <w:r>
              <w:rPr>
                <w:rFonts w:ascii="Times New Roman"/>
                <w:sz w:val="18"/>
              </w:rPr>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现金及现金等价物的期末余额</w:t>
            </w:r>
            <w:r>
              <w:rPr>
                <w:rFonts w:ascii="宋体" w:hAnsi="宋体" w:cs="宋体" w:eastAsia="宋体" w:hint="default"/>
                <w:sz w:val="18"/>
                <w:szCs w:val="18"/>
              </w:rPr>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23,842,247.56</w:t>
            </w:r>
            <w:r>
              <w:rPr>
                <w:rFonts w:ascii="Times New Roman"/>
                <w:spacing w:val="-1"/>
                <w:sz w:val="18"/>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56,247.88</w:t>
            </w:r>
            <w:r>
              <w:rPr>
                <w:rFonts w:ascii="Times New Roman"/>
                <w:sz w:val="18"/>
              </w:rPr>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现金的期初余额</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56,247.88</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76,113.66</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减：被冻结的银行存款</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43,439.60</w:t>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加：现金等价物的期初余额</w:t>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56"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现金及现金等价物的期初余额</w:t>
            </w:r>
            <w:r>
              <w:rPr>
                <w:rFonts w:ascii="宋体" w:hAnsi="宋体" w:cs="宋体" w:eastAsia="宋体" w:hint="default"/>
                <w:sz w:val="18"/>
                <w:szCs w:val="18"/>
              </w:rPr>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z w:val="18"/>
              </w:rPr>
              <w:t>56,247.88</w:t>
            </w:r>
            <w:r>
              <w:rPr>
                <w:rFonts w:ascii="Times New Roman"/>
                <w:sz w:val="18"/>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32,674.06</w:t>
            </w:r>
            <w:r>
              <w:rPr>
                <w:rFonts w:ascii="Times New Roman"/>
                <w:sz w:val="18"/>
              </w:rPr>
            </w:r>
          </w:p>
        </w:tc>
      </w:tr>
      <w:tr>
        <w:trPr>
          <w:trHeight w:val="455" w:hRule="exact"/>
        </w:trPr>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15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23,785,999.68</w:t>
            </w:r>
            <w:r>
              <w:rPr>
                <w:rFonts w:ascii="Times New Roman"/>
                <w:spacing w:val="-1"/>
                <w:sz w:val="18"/>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23,573.82</w:t>
            </w:r>
            <w:r>
              <w:rPr>
                <w:rFonts w:ascii="Times New Roman"/>
                <w:sz w:val="18"/>
              </w:rPr>
            </w:r>
          </w:p>
        </w:tc>
      </w:tr>
    </w:tbl>
    <w:p>
      <w:pPr>
        <w:spacing w:line="240" w:lineRule="auto" w:before="1"/>
        <w:rPr>
          <w:rFonts w:ascii="黑体" w:hAnsi="黑体" w:cs="黑体" w:eastAsia="黑体" w:hint="default"/>
          <w:sz w:val="16"/>
          <w:szCs w:val="16"/>
        </w:rPr>
      </w:pPr>
    </w:p>
    <w:p>
      <w:pPr>
        <w:pStyle w:val="BodyText"/>
        <w:spacing w:line="506" w:lineRule="auto" w:before="35"/>
        <w:ind w:left="637" w:right="5617"/>
        <w:jc w:val="left"/>
        <w:rPr>
          <w:rFonts w:ascii="黑体" w:hAnsi="黑体" w:cs="黑体" w:eastAsia="黑体" w:hint="default"/>
        </w:rPr>
      </w:pPr>
      <w:r>
        <w:rPr/>
        <w:pict>
          <v:shape style="position:absolute;margin-left:89.639999pt;margin-top:50.133972pt;width:433.8pt;height:380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3"/>
                    <w:gridCol w:w="1741"/>
                    <w:gridCol w:w="1687"/>
                  </w:tblGrid>
                  <w:tr>
                    <w:trPr>
                      <w:trHeight w:val="4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875"/>
                          <w:jc w:val="center"/>
                          <w:rPr>
                            <w:rFonts w:ascii="宋体" w:hAnsi="宋体" w:cs="宋体" w:eastAsia="宋体" w:hint="default"/>
                            <w:sz w:val="18"/>
                            <w:szCs w:val="18"/>
                          </w:rPr>
                        </w:pPr>
                        <w:r>
                          <w:rPr>
                            <w:rFonts w:ascii="宋体" w:hAnsi="宋体" w:cs="宋体" w:eastAsia="宋体" w:hint="default"/>
                            <w:sz w:val="18"/>
                            <w:szCs w:val="18"/>
                          </w:rPr>
                          <w:t>项目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-1,005,753.07</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标准定额或定量享受的政府补助除外）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01"/>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时应享有被投资单位可辨认净资产公允价值产生的收益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488,916,069.84</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14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01"/>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金融资产、交易性金融负债产生的公允价值变动损益，以及处置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交易性金融资产、交易性金融负债和可供出售金融资产取得的投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资收益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70,032.81</w:t>
                        </w:r>
                      </w:p>
                    </w:tc>
                    <w:tc>
                      <w:tcPr>
                        <w:tcW w:w="168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黑体" w:hAnsi="黑体" w:cs="黑体" w:eastAsia="黑体" w:hint="default"/>
        </w:rPr>
        <w:t>附注十二、补充资料： 一、当期非经常性损益明细表</w:t>
      </w:r>
    </w:p>
    <w:p>
      <w:pPr>
        <w:spacing w:after="0" w:line="506" w:lineRule="auto"/>
        <w:jc w:val="left"/>
        <w:rPr>
          <w:rFonts w:ascii="黑体" w:hAnsi="黑体" w:cs="黑体" w:eastAsia="黑体" w:hint="default"/>
        </w:rPr>
        <w:sectPr>
          <w:pgSz w:w="11910" w:h="16840"/>
          <w:pgMar w:header="877" w:footer="833" w:top="1100" w:bottom="1020" w:left="1580" w:right="1320"/>
        </w:sectPr>
      </w:pPr>
    </w:p>
    <w:p>
      <w:pPr>
        <w:spacing w:line="240" w:lineRule="auto" w:before="11"/>
        <w:rPr>
          <w:rFonts w:ascii="黑体" w:hAnsi="黑体" w:cs="黑体" w:eastAsia="黑体" w:hint="default"/>
          <w:sz w:val="24"/>
          <w:szCs w:val="24"/>
        </w:rPr>
      </w:pPr>
    </w:p>
    <w:tbl>
      <w:tblPr>
        <w:tblW w:w="0" w:type="auto"/>
        <w:jc w:val="left"/>
        <w:tblInd w:w="992" w:type="dxa"/>
        <w:tblLayout w:type="fixed"/>
        <w:tblCellMar>
          <w:top w:w="0" w:type="dxa"/>
          <w:left w:w="0" w:type="dxa"/>
          <w:bottom w:w="0" w:type="dxa"/>
          <w:right w:w="0" w:type="dxa"/>
        </w:tblCellMar>
        <w:tblLook w:val="01E0"/>
      </w:tblPr>
      <w:tblGrid>
        <w:gridCol w:w="5233"/>
        <w:gridCol w:w="1741"/>
        <w:gridCol w:w="1687"/>
      </w:tblGrid>
      <w:tr>
        <w:trPr>
          <w:trHeight w:val="4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75"/>
              <w:jc w:val="center"/>
              <w:rPr>
                <w:rFonts w:ascii="宋体" w:hAnsi="宋体" w:cs="宋体" w:eastAsia="宋体" w:hint="default"/>
                <w:sz w:val="18"/>
                <w:szCs w:val="18"/>
              </w:rPr>
            </w:pPr>
            <w:r>
              <w:rPr>
                <w:rFonts w:ascii="宋体" w:hAnsi="宋体" w:cs="宋体" w:eastAsia="宋体" w:hint="default"/>
                <w:sz w:val="18"/>
                <w:szCs w:val="18"/>
              </w:rPr>
              <w:t>项目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5,256,610.26</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96"/>
              <w:jc w:val="left"/>
              <w:rPr>
                <w:rFonts w:ascii="宋体" w:hAnsi="宋体" w:cs="宋体" w:eastAsia="宋体" w:hint="default"/>
                <w:sz w:val="18"/>
                <w:szCs w:val="18"/>
              </w:rPr>
            </w:pPr>
            <w:r>
              <w:rPr>
                <w:rFonts w:ascii="宋体" w:hAnsi="宋体" w:cs="宋体" w:eastAsia="宋体" w:hint="default"/>
                <w:spacing w:val="6"/>
                <w:sz w:val="18"/>
                <w:szCs w:val="18"/>
              </w:rPr>
              <w:t>采用公允价值模式进行后续计量的投资性房地产公允价值变动 </w:t>
            </w:r>
            <w:r>
              <w:rPr>
                <w:rFonts w:ascii="宋体" w:hAnsi="宋体" w:cs="宋体" w:eastAsia="宋体" w:hint="default"/>
                <w:sz w:val="18"/>
                <w:szCs w:val="18"/>
              </w:rPr>
              <w:t>产生的损益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02"/>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对当期损益的影响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352,553.89</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493,589,513.73</w:t>
            </w:r>
            <w:r>
              <w:rPr>
                <w:rFonts w:ascii="Times New Roman"/>
                <w:spacing w:val="-1"/>
                <w:sz w:val="18"/>
              </w:rPr>
            </w:r>
          </w:p>
        </w:tc>
        <w:tc>
          <w:tcPr>
            <w:tcW w:w="16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黑体" w:hAnsi="黑体" w:cs="黑体" w:eastAsia="黑体" w:hint="default"/>
          <w:sz w:val="15"/>
          <w:szCs w:val="15"/>
        </w:rPr>
      </w:pPr>
    </w:p>
    <w:p>
      <w:pPr>
        <w:pStyle w:val="BodyText"/>
        <w:spacing w:line="240" w:lineRule="auto" w:before="35"/>
        <w:ind w:left="1417" w:right="0"/>
        <w:jc w:val="left"/>
        <w:rPr>
          <w:rFonts w:ascii="黑体" w:hAnsi="黑体" w:cs="黑体" w:eastAsia="黑体" w:hint="default"/>
        </w:rPr>
      </w:pPr>
      <w:r>
        <w:rPr>
          <w:rFonts w:ascii="黑体" w:hAnsi="黑体" w:cs="黑体" w:eastAsia="黑体" w:hint="default"/>
        </w:rPr>
        <w:t>二、净资产收益率及每股收益</w:t>
      </w:r>
    </w:p>
    <w:p>
      <w:pPr>
        <w:spacing w:line="240" w:lineRule="auto" w:before="13"/>
        <w:rPr>
          <w:rFonts w:ascii="黑体" w:hAnsi="黑体" w:cs="黑体" w:eastAsia="黑体" w:hint="default"/>
          <w:sz w:val="13"/>
          <w:szCs w:val="13"/>
        </w:rPr>
      </w:pPr>
    </w:p>
    <w:tbl>
      <w:tblPr>
        <w:tblW w:w="0" w:type="auto"/>
        <w:jc w:val="left"/>
        <w:tblInd w:w="884" w:type="dxa"/>
        <w:tblLayout w:type="fixed"/>
        <w:tblCellMar>
          <w:top w:w="0" w:type="dxa"/>
          <w:left w:w="0" w:type="dxa"/>
          <w:bottom w:w="0" w:type="dxa"/>
          <w:right w:w="0" w:type="dxa"/>
        </w:tblCellMar>
        <w:tblLook w:val="01E0"/>
      </w:tblPr>
      <w:tblGrid>
        <w:gridCol w:w="2746"/>
        <w:gridCol w:w="1760"/>
        <w:gridCol w:w="1342"/>
        <w:gridCol w:w="1333"/>
        <w:gridCol w:w="1348"/>
      </w:tblGrid>
      <w:tr>
        <w:trPr>
          <w:trHeight w:val="409" w:hRule="exact"/>
        </w:trPr>
        <w:tc>
          <w:tcPr>
            <w:tcW w:w="274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1342" w:type="dxa"/>
            <w:vMerge w:val="restart"/>
            <w:tcBorders>
              <w:top w:val="single" w:sz="4" w:space="0" w:color="000000"/>
              <w:left w:val="single" w:sz="4" w:space="0" w:color="000000"/>
              <w:right w:val="single" w:sz="4" w:space="0" w:color="000000"/>
            </w:tcBorders>
          </w:tcPr>
          <w:p>
            <w:pPr>
              <w:pStyle w:val="TableParagraph"/>
              <w:spacing w:line="400" w:lineRule="exact" w:before="26"/>
              <w:ind w:left="103" w:right="11" w:firstLine="22"/>
              <w:jc w:val="left"/>
              <w:rPr>
                <w:rFonts w:ascii="宋体" w:hAnsi="宋体" w:cs="宋体" w:eastAsia="宋体" w:hint="default"/>
                <w:sz w:val="18"/>
                <w:szCs w:val="18"/>
              </w:rPr>
            </w:pPr>
            <w:r>
              <w:rPr>
                <w:rFonts w:ascii="宋体" w:hAnsi="宋体" w:cs="宋体" w:eastAsia="宋体" w:hint="default"/>
                <w:sz w:val="18"/>
                <w:szCs w:val="18"/>
              </w:rPr>
              <w:t>加权平均净资 </w:t>
            </w:r>
            <w:r>
              <w:rPr>
                <w:rFonts w:ascii="宋体" w:hAnsi="宋体" w:cs="宋体" w:eastAsia="宋体" w:hint="default"/>
                <w:spacing w:val="-3"/>
                <w:sz w:val="18"/>
                <w:szCs w:val="18"/>
              </w:rPr>
              <w:t>产收益率（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6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10" w:hRule="exact"/>
        </w:trPr>
        <w:tc>
          <w:tcPr>
            <w:tcW w:w="2746" w:type="dxa"/>
            <w:vMerge/>
            <w:tcBorders>
              <w:left w:val="single" w:sz="4" w:space="0" w:color="000000"/>
              <w:bottom w:val="single" w:sz="4" w:space="0" w:color="000000"/>
              <w:right w:val="single" w:sz="4" w:space="0" w:color="000000"/>
            </w:tcBorders>
          </w:tcPr>
          <w:p>
            <w:pPr/>
          </w:p>
        </w:tc>
        <w:tc>
          <w:tcPr>
            <w:tcW w:w="1760"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0"/>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7"/>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10"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498,142,241.73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1.39</w:t>
            </w:r>
          </w:p>
        </w:tc>
      </w:tr>
      <w:tr>
        <w:trPr>
          <w:trHeight w:val="810"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103" w:right="11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4,552,728.00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0.01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0.01</w:t>
            </w:r>
          </w:p>
        </w:tc>
      </w:tr>
      <w:tr>
        <w:trPr>
          <w:trHeight w:val="410"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133,403,579.37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0.37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0.37</w:t>
            </w:r>
          </w:p>
        </w:tc>
      </w:tr>
      <w:tr>
        <w:trPr>
          <w:trHeight w:val="810"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103" w:right="11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-22,075,264.76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-0.06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12"/>
        <w:rPr>
          <w:rFonts w:ascii="黑体" w:hAnsi="黑体" w:cs="黑体" w:eastAsia="黑体" w:hint="default"/>
          <w:sz w:val="15"/>
          <w:szCs w:val="15"/>
        </w:rPr>
      </w:pPr>
    </w:p>
    <w:p>
      <w:pPr>
        <w:pStyle w:val="BodyText"/>
        <w:spacing w:line="240" w:lineRule="auto" w:before="35"/>
        <w:ind w:left="1417" w:right="0"/>
        <w:jc w:val="left"/>
        <w:rPr>
          <w:rFonts w:ascii="黑体" w:hAnsi="黑体" w:cs="黑体" w:eastAsia="黑体" w:hint="default"/>
        </w:rPr>
      </w:pPr>
      <w:r>
        <w:rPr>
          <w:rFonts w:ascii="黑体" w:hAnsi="黑体" w:cs="黑体" w:eastAsia="黑体" w:hint="default"/>
        </w:rPr>
        <w:t>三、公司主要会计报表项目的变动情况及原因的说明</w:t>
      </w:r>
    </w:p>
    <w:p>
      <w:pPr>
        <w:spacing w:line="240" w:lineRule="auto" w:before="12"/>
        <w:rPr>
          <w:rFonts w:ascii="黑体" w:hAnsi="黑体" w:cs="黑体" w:eastAsia="黑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548"/>
        <w:gridCol w:w="1466"/>
        <w:gridCol w:w="1753"/>
        <w:gridCol w:w="1534"/>
        <w:gridCol w:w="1141"/>
        <w:gridCol w:w="2447"/>
      </w:tblGrid>
      <w:tr>
        <w:trPr>
          <w:trHeight w:val="300" w:hRule="exact"/>
        </w:trPr>
        <w:tc>
          <w:tcPr>
            <w:tcW w:w="1548" w:type="dxa"/>
            <w:vMerge w:val="restart"/>
            <w:tcBorders>
              <w:top w:val="single" w:sz="8" w:space="0" w:color="000000"/>
              <w:left w:val="single" w:sz="8"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审定数</w:t>
            </w:r>
          </w:p>
        </w:tc>
        <w:tc>
          <w:tcPr>
            <w:tcW w:w="2675"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变动</w:t>
            </w:r>
          </w:p>
        </w:tc>
        <w:tc>
          <w:tcPr>
            <w:tcW w:w="2447" w:type="dxa"/>
            <w:vMerge w:val="restart"/>
            <w:tcBorders>
              <w:top w:val="single" w:sz="8" w:space="0" w:color="000000"/>
              <w:left w:val="single" w:sz="4" w:space="0" w:color="000000"/>
              <w:right w:val="single" w:sz="8"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4" w:hRule="exact"/>
        </w:trPr>
        <w:tc>
          <w:tcPr>
            <w:tcW w:w="1548" w:type="dxa"/>
            <w:vMerge/>
            <w:tcBorders>
              <w:left w:val="single" w:sz="8" w:space="0" w:color="000000"/>
              <w:bottom w:val="single" w:sz="8" w:space="0" w:color="000000"/>
              <w:right w:val="single" w:sz="4" w:space="0" w:color="000000"/>
            </w:tcBorders>
          </w:tcPr>
          <w:p>
            <w:pPr/>
          </w:p>
        </w:tc>
        <w:tc>
          <w:tcPr>
            <w:tcW w:w="1466" w:type="dxa"/>
            <w:tcBorders>
              <w:top w:val="single" w:sz="4" w:space="0" w:color="000000"/>
              <w:left w:val="single" w:sz="4" w:space="0" w:color="000000"/>
              <w:bottom w:val="single" w:sz="8"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7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2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left="49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114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
              <w:jc w:val="right"/>
              <w:rPr>
                <w:rFonts w:ascii="宋体" w:hAnsi="宋体" w:cs="宋体" w:eastAsia="宋体" w:hint="default"/>
                <w:sz w:val="18"/>
                <w:szCs w:val="18"/>
              </w:rPr>
            </w:pPr>
            <w:r>
              <w:rPr>
                <w:rFonts w:ascii="宋体" w:hAnsi="宋体" w:cs="宋体" w:eastAsia="宋体" w:hint="default"/>
                <w:spacing w:val="-6"/>
                <w:sz w:val="18"/>
                <w:szCs w:val="18"/>
              </w:rPr>
              <w:t>变动率（</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p>
        </w:tc>
        <w:tc>
          <w:tcPr>
            <w:tcW w:w="2447" w:type="dxa"/>
            <w:vMerge/>
            <w:tcBorders>
              <w:left w:val="single" w:sz="4" w:space="0" w:color="000000"/>
              <w:bottom w:val="single" w:sz="8" w:space="0" w:color="000000"/>
              <w:right w:val="single" w:sz="8" w:space="0" w:color="000000"/>
            </w:tcBorders>
          </w:tcPr>
          <w:p>
            <w:pPr/>
          </w:p>
        </w:tc>
      </w:tr>
      <w:tr>
        <w:trPr>
          <w:trHeight w:val="299" w:hRule="exact"/>
        </w:trPr>
        <w:tc>
          <w:tcPr>
            <w:tcW w:w="154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26"/>
              <w:ind w:left="9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资产类</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66" w:type="dxa"/>
            <w:tcBorders>
              <w:top w:val="single" w:sz="8" w:space="0" w:color="000000"/>
              <w:left w:val="single" w:sz="4" w:space="0" w:color="000000"/>
              <w:bottom w:val="single" w:sz="4" w:space="0" w:color="000000"/>
              <w:right w:val="single" w:sz="4" w:space="0" w:color="000000"/>
            </w:tcBorders>
          </w:tcPr>
          <w:p>
            <w:pPr/>
          </w:p>
        </w:tc>
        <w:tc>
          <w:tcPr>
            <w:tcW w:w="1753" w:type="dxa"/>
            <w:tcBorders>
              <w:top w:val="single" w:sz="8" w:space="0" w:color="000000"/>
              <w:left w:val="single" w:sz="4" w:space="0" w:color="000000"/>
              <w:bottom w:val="single" w:sz="4" w:space="0" w:color="000000"/>
              <w:right w:val="single" w:sz="4" w:space="0" w:color="000000"/>
            </w:tcBorders>
          </w:tcPr>
          <w:p>
            <w:pPr/>
          </w:p>
        </w:tc>
        <w:tc>
          <w:tcPr>
            <w:tcW w:w="1534" w:type="dxa"/>
            <w:tcBorders>
              <w:top w:val="single" w:sz="8" w:space="0" w:color="000000"/>
              <w:left w:val="single" w:sz="4" w:space="0" w:color="000000"/>
              <w:bottom w:val="single" w:sz="4" w:space="0" w:color="000000"/>
              <w:right w:val="single" w:sz="4" w:space="0" w:color="000000"/>
            </w:tcBorders>
          </w:tcPr>
          <w:p>
            <w:pPr/>
          </w:p>
        </w:tc>
        <w:tc>
          <w:tcPr>
            <w:tcW w:w="1141" w:type="dxa"/>
            <w:tcBorders>
              <w:top w:val="single" w:sz="8" w:space="0" w:color="000000"/>
              <w:left w:val="single" w:sz="4" w:space="0" w:color="000000"/>
              <w:bottom w:val="single" w:sz="4" w:space="0" w:color="000000"/>
              <w:right w:val="single" w:sz="4" w:space="0" w:color="000000"/>
            </w:tcBorders>
          </w:tcPr>
          <w:p>
            <w:pPr/>
          </w:p>
        </w:tc>
        <w:tc>
          <w:tcPr>
            <w:tcW w:w="2447" w:type="dxa"/>
            <w:tcBorders>
              <w:top w:val="single" w:sz="8" w:space="0" w:color="000000"/>
              <w:left w:val="single" w:sz="4" w:space="0" w:color="000000"/>
              <w:bottom w:val="single" w:sz="4" w:space="0" w:color="000000"/>
              <w:right w:val="single" w:sz="8" w:space="0" w:color="000000"/>
            </w:tcBorders>
          </w:tcPr>
          <w:p>
            <w:pPr/>
          </w:p>
        </w:tc>
      </w:tr>
      <w:tr>
        <w:trPr>
          <w:trHeight w:val="731"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65,819,824.29</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26,520,025.62</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39,299,798.67</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148.19</w:t>
            </w:r>
          </w:p>
        </w:tc>
        <w:tc>
          <w:tcPr>
            <w:tcW w:w="2447"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3" w:right="92"/>
              <w:jc w:val="both"/>
              <w:rPr>
                <w:rFonts w:ascii="宋体" w:hAnsi="宋体" w:cs="宋体" w:eastAsia="宋体" w:hint="default"/>
                <w:sz w:val="18"/>
                <w:szCs w:val="18"/>
              </w:rPr>
            </w:pPr>
            <w:r>
              <w:rPr>
                <w:rFonts w:ascii="宋体" w:hAnsi="宋体" w:cs="宋体" w:eastAsia="宋体" w:hint="default"/>
                <w:spacing w:val="6"/>
                <w:sz w:val="18"/>
                <w:szCs w:val="18"/>
              </w:rPr>
              <w:t>一方面是销售增加导致货币 资金增加；另一方面是收回 </w:t>
            </w:r>
            <w:r>
              <w:rPr>
                <w:rFonts w:ascii="宋体" w:hAnsi="宋体" w:cs="宋体" w:eastAsia="宋体" w:hint="default"/>
                <w:sz w:val="18"/>
                <w:szCs w:val="18"/>
              </w:rPr>
              <w:t>以前年度欠款。</w:t>
            </w:r>
          </w:p>
        </w:tc>
      </w:tr>
      <w:tr>
        <w:trPr>
          <w:trHeight w:val="49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1"/>
              <w:ind w:left="98" w:right="0"/>
              <w:jc w:val="left"/>
              <w:rPr>
                <w:rFonts w:ascii="宋体" w:hAnsi="宋体" w:cs="宋体" w:eastAsia="宋体" w:hint="default"/>
                <w:sz w:val="18"/>
                <w:szCs w:val="18"/>
              </w:rPr>
            </w:pPr>
            <w:r>
              <w:rPr>
                <w:rFonts w:ascii="宋体" w:hAnsi="宋体" w:cs="宋体" w:eastAsia="宋体" w:hint="default"/>
                <w:sz w:val="18"/>
                <w:szCs w:val="18"/>
              </w:rPr>
              <w:t>应收账款净额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25,529,267.10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17,982,300.52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7,546,966.58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41.97</w:t>
            </w:r>
          </w:p>
        </w:tc>
        <w:tc>
          <w:tcPr>
            <w:tcW w:w="2447"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3" w:right="92"/>
              <w:jc w:val="left"/>
              <w:rPr>
                <w:rFonts w:ascii="宋体" w:hAnsi="宋体" w:cs="宋体" w:eastAsia="宋体" w:hint="default"/>
                <w:sz w:val="18"/>
                <w:szCs w:val="18"/>
              </w:rPr>
            </w:pPr>
            <w:r>
              <w:rPr>
                <w:rFonts w:ascii="宋体" w:hAnsi="宋体" w:cs="宋体" w:eastAsia="宋体" w:hint="default"/>
                <w:spacing w:val="6"/>
                <w:sz w:val="18"/>
                <w:szCs w:val="18"/>
              </w:rPr>
              <w:t>主要是销售增加导致应收款 </w:t>
            </w:r>
            <w:r>
              <w:rPr>
                <w:rFonts w:ascii="宋体" w:hAnsi="宋体" w:cs="宋体" w:eastAsia="宋体" w:hint="default"/>
                <w:sz w:val="18"/>
                <w:szCs w:val="18"/>
              </w:rPr>
              <w:t>项增加。</w:t>
            </w:r>
          </w:p>
        </w:tc>
      </w:tr>
      <w:tr>
        <w:trPr>
          <w:trHeight w:val="731"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其他应收款净额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3,141,965.64</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13,745,207.41</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-10,603,241.77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w w:val="95"/>
                <w:sz w:val="18"/>
              </w:rPr>
              <w:t>-77.14</w:t>
            </w:r>
            <w:r>
              <w:rPr>
                <w:rFonts w:ascii="Times New Roman"/>
                <w:sz w:val="18"/>
              </w:rPr>
            </w:r>
          </w:p>
        </w:tc>
        <w:tc>
          <w:tcPr>
            <w:tcW w:w="2447"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3" w:right="92"/>
              <w:jc w:val="both"/>
              <w:rPr>
                <w:rFonts w:ascii="宋体" w:hAnsi="宋体" w:cs="宋体" w:eastAsia="宋体" w:hint="default"/>
                <w:sz w:val="18"/>
                <w:szCs w:val="18"/>
              </w:rPr>
            </w:pPr>
            <w:r>
              <w:rPr>
                <w:rFonts w:ascii="宋体" w:hAnsi="宋体" w:cs="宋体" w:eastAsia="宋体" w:hint="default"/>
                <w:spacing w:val="6"/>
                <w:sz w:val="18"/>
                <w:szCs w:val="18"/>
              </w:rPr>
              <w:t>主要是本年度收回深圳泰丰 </w:t>
            </w:r>
            <w:r>
              <w:rPr>
                <w:rFonts w:ascii="宋体" w:hAnsi="宋体" w:cs="宋体" w:eastAsia="宋体" w:hint="default"/>
                <w:sz w:val="18"/>
                <w:szCs w:val="18"/>
              </w:rPr>
              <w:t>电子有限公司欠款 </w:t>
            </w:r>
            <w:r>
              <w:rPr>
                <w:rFonts w:ascii="Times New Roman" w:hAnsi="Times New Roman" w:cs="Times New Roman" w:eastAsia="Times New Roman" w:hint="default"/>
                <w:sz w:val="18"/>
                <w:szCs w:val="18"/>
              </w:rPr>
              <w:t>639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 以及收回其他公司欠款。</w:t>
            </w:r>
          </w:p>
        </w:tc>
      </w:tr>
    </w:tbl>
    <w:p>
      <w:pPr>
        <w:spacing w:after="0" w:line="240" w:lineRule="exact"/>
        <w:jc w:val="both"/>
        <w:rPr>
          <w:rFonts w:ascii="宋体" w:hAnsi="宋体" w:cs="宋体" w:eastAsia="宋体" w:hint="default"/>
          <w:sz w:val="18"/>
          <w:szCs w:val="18"/>
        </w:rPr>
        <w:sectPr>
          <w:pgSz w:w="11910" w:h="16840"/>
          <w:pgMar w:header="877" w:footer="833" w:top="1100" w:bottom="1020" w:left="800" w:right="980"/>
        </w:sectPr>
      </w:pPr>
    </w:p>
    <w:p>
      <w:pPr>
        <w:spacing w:line="240" w:lineRule="auto" w:before="3"/>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548"/>
        <w:gridCol w:w="1466"/>
        <w:gridCol w:w="1753"/>
        <w:gridCol w:w="1534"/>
        <w:gridCol w:w="1141"/>
        <w:gridCol w:w="2447"/>
      </w:tblGrid>
      <w:tr>
        <w:trPr>
          <w:trHeight w:val="299" w:hRule="exact"/>
        </w:trPr>
        <w:tc>
          <w:tcPr>
            <w:tcW w:w="1548" w:type="dxa"/>
            <w:vMerge w:val="restart"/>
            <w:tcBorders>
              <w:top w:val="single" w:sz="8" w:space="0" w:color="000000"/>
              <w:left w:val="single" w:sz="8"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审定数</w:t>
            </w:r>
          </w:p>
        </w:tc>
        <w:tc>
          <w:tcPr>
            <w:tcW w:w="2675"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变动</w:t>
            </w:r>
          </w:p>
        </w:tc>
        <w:tc>
          <w:tcPr>
            <w:tcW w:w="2447" w:type="dxa"/>
            <w:vMerge w:val="restart"/>
            <w:tcBorders>
              <w:top w:val="single" w:sz="8" w:space="0" w:color="000000"/>
              <w:left w:val="single" w:sz="4"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5" w:hRule="exact"/>
        </w:trPr>
        <w:tc>
          <w:tcPr>
            <w:tcW w:w="1548" w:type="dxa"/>
            <w:vMerge/>
            <w:tcBorders>
              <w:left w:val="single" w:sz="8" w:space="0" w:color="000000"/>
              <w:bottom w:val="single" w:sz="8" w:space="0" w:color="000000"/>
              <w:right w:val="single" w:sz="4" w:space="0" w:color="000000"/>
            </w:tcBorders>
          </w:tcPr>
          <w:p>
            <w:pPr/>
          </w:p>
        </w:tc>
        <w:tc>
          <w:tcPr>
            <w:tcW w:w="1466" w:type="dxa"/>
            <w:tcBorders>
              <w:top w:val="single" w:sz="4" w:space="0" w:color="000000"/>
              <w:left w:val="single" w:sz="4" w:space="0" w:color="000000"/>
              <w:bottom w:val="single" w:sz="8"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7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2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left="49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114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
              <w:jc w:val="right"/>
              <w:rPr>
                <w:rFonts w:ascii="宋体" w:hAnsi="宋体" w:cs="宋体" w:eastAsia="宋体" w:hint="default"/>
                <w:sz w:val="18"/>
                <w:szCs w:val="18"/>
              </w:rPr>
            </w:pPr>
            <w:r>
              <w:rPr>
                <w:rFonts w:ascii="宋体" w:hAnsi="宋体" w:cs="宋体" w:eastAsia="宋体" w:hint="default"/>
                <w:spacing w:val="-6"/>
                <w:sz w:val="18"/>
                <w:szCs w:val="18"/>
              </w:rPr>
              <w:t>变动率（</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p>
        </w:tc>
        <w:tc>
          <w:tcPr>
            <w:tcW w:w="2447" w:type="dxa"/>
            <w:vMerge/>
            <w:tcBorders>
              <w:left w:val="single" w:sz="4" w:space="0" w:color="000000"/>
              <w:bottom w:val="single" w:sz="8" w:space="0" w:color="000000"/>
              <w:right w:val="single" w:sz="8" w:space="0" w:color="000000"/>
            </w:tcBorders>
          </w:tcPr>
          <w:p>
            <w:pPr/>
          </w:p>
        </w:tc>
      </w:tr>
      <w:tr>
        <w:trPr>
          <w:trHeight w:val="299" w:hRule="exact"/>
        </w:trPr>
        <w:tc>
          <w:tcPr>
            <w:tcW w:w="154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26"/>
              <w:ind w:left="98" w:right="0"/>
              <w:jc w:val="left"/>
              <w:rPr>
                <w:rFonts w:ascii="宋体" w:hAnsi="宋体" w:cs="宋体" w:eastAsia="宋体" w:hint="default"/>
                <w:sz w:val="18"/>
                <w:szCs w:val="18"/>
              </w:rPr>
            </w:pPr>
            <w:r>
              <w:rPr>
                <w:rFonts w:ascii="宋体" w:hAnsi="宋体" w:cs="宋体" w:eastAsia="宋体" w:hint="default"/>
                <w:b/>
                <w:bCs/>
                <w:sz w:val="18"/>
                <w:szCs w:val="18"/>
              </w:rPr>
              <w:t>负债类：</w:t>
            </w:r>
            <w:r>
              <w:rPr>
                <w:rFonts w:ascii="宋体" w:hAnsi="宋体" w:cs="宋体" w:eastAsia="宋体" w:hint="default"/>
                <w:sz w:val="18"/>
                <w:szCs w:val="18"/>
              </w:rPr>
            </w:r>
          </w:p>
        </w:tc>
        <w:tc>
          <w:tcPr>
            <w:tcW w:w="1466" w:type="dxa"/>
            <w:tcBorders>
              <w:top w:val="single" w:sz="8" w:space="0" w:color="000000"/>
              <w:left w:val="single" w:sz="4" w:space="0" w:color="000000"/>
              <w:bottom w:val="single" w:sz="4" w:space="0" w:color="000000"/>
              <w:right w:val="single" w:sz="4" w:space="0" w:color="000000"/>
            </w:tcBorders>
          </w:tcPr>
          <w:p>
            <w:pPr/>
          </w:p>
        </w:tc>
        <w:tc>
          <w:tcPr>
            <w:tcW w:w="1753" w:type="dxa"/>
            <w:tcBorders>
              <w:top w:val="single" w:sz="8" w:space="0" w:color="000000"/>
              <w:left w:val="single" w:sz="4" w:space="0" w:color="000000"/>
              <w:bottom w:val="single" w:sz="4" w:space="0" w:color="000000"/>
              <w:right w:val="single" w:sz="4" w:space="0" w:color="000000"/>
            </w:tcBorders>
          </w:tcPr>
          <w:p>
            <w:pPr/>
          </w:p>
        </w:tc>
        <w:tc>
          <w:tcPr>
            <w:tcW w:w="1534" w:type="dxa"/>
            <w:tcBorders>
              <w:top w:val="single" w:sz="8" w:space="0" w:color="000000"/>
              <w:left w:val="single" w:sz="4" w:space="0" w:color="000000"/>
              <w:bottom w:val="single" w:sz="4" w:space="0" w:color="000000"/>
              <w:right w:val="single" w:sz="4" w:space="0" w:color="000000"/>
            </w:tcBorders>
          </w:tcPr>
          <w:p>
            <w:pPr/>
          </w:p>
        </w:tc>
        <w:tc>
          <w:tcPr>
            <w:tcW w:w="1141" w:type="dxa"/>
            <w:tcBorders>
              <w:top w:val="single" w:sz="8" w:space="0" w:color="000000"/>
              <w:left w:val="single" w:sz="4" w:space="0" w:color="000000"/>
              <w:bottom w:val="single" w:sz="4" w:space="0" w:color="000000"/>
              <w:right w:val="single" w:sz="4" w:space="0" w:color="000000"/>
            </w:tcBorders>
          </w:tcPr>
          <w:p>
            <w:pPr/>
          </w:p>
        </w:tc>
        <w:tc>
          <w:tcPr>
            <w:tcW w:w="2447" w:type="dxa"/>
            <w:tcBorders>
              <w:top w:val="single" w:sz="8" w:space="0" w:color="000000"/>
              <w:left w:val="single" w:sz="4" w:space="0" w:color="000000"/>
              <w:bottom w:val="single" w:sz="4" w:space="0" w:color="000000"/>
              <w:right w:val="single" w:sz="8" w:space="0" w:color="000000"/>
            </w:tcBorders>
          </w:tcPr>
          <w:p>
            <w:pPr/>
          </w:p>
        </w:tc>
      </w:tr>
      <w:tr>
        <w:trPr>
          <w:trHeight w:val="491"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122,403,575.75</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-122,403,575.75</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447" w:type="dxa"/>
            <w:vMerge w:val="restart"/>
            <w:tcBorders>
              <w:top w:val="single" w:sz="4" w:space="0" w:color="000000"/>
              <w:left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4" w:lineRule="auto"/>
              <w:ind w:left="103" w:right="92"/>
              <w:jc w:val="both"/>
              <w:rPr>
                <w:rFonts w:ascii="宋体" w:hAnsi="宋体" w:cs="宋体" w:eastAsia="宋体" w:hint="default"/>
                <w:sz w:val="18"/>
                <w:szCs w:val="18"/>
              </w:rPr>
            </w:pPr>
            <w:r>
              <w:rPr>
                <w:rFonts w:ascii="宋体" w:hAnsi="宋体" w:cs="宋体" w:eastAsia="宋体" w:hint="default"/>
                <w:spacing w:val="6"/>
                <w:sz w:val="18"/>
                <w:szCs w:val="18"/>
              </w:rPr>
              <w:t>各项负债的减少主要系本公 司已按照重整计划规定的偿 债率及清偿期限和方式对相 关债权人的债权予以清偿完 </w:t>
            </w:r>
            <w:r>
              <w:rPr>
                <w:rFonts w:ascii="宋体" w:hAnsi="宋体" w:cs="宋体" w:eastAsia="宋体" w:hint="default"/>
                <w:sz w:val="18"/>
                <w:szCs w:val="18"/>
              </w:rPr>
              <w:t>毕。</w:t>
            </w:r>
          </w:p>
        </w:tc>
      </w:tr>
      <w:tr>
        <w:trPr>
          <w:trHeight w:val="49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47,380,697.25</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85,793,960.30</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-38,413,263.05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-44.77</w:t>
            </w:r>
            <w:r>
              <w:rPr>
                <w:rFonts w:ascii="Times New Roman"/>
                <w:sz w:val="18"/>
              </w:rPr>
            </w:r>
          </w:p>
        </w:tc>
        <w:tc>
          <w:tcPr>
            <w:tcW w:w="2447" w:type="dxa"/>
            <w:vMerge/>
            <w:tcBorders>
              <w:left w:val="single" w:sz="4" w:space="0" w:color="000000"/>
              <w:right w:val="single" w:sz="8" w:space="0" w:color="000000"/>
            </w:tcBorders>
          </w:tcPr>
          <w:p>
            <w:pPr/>
          </w:p>
        </w:tc>
      </w:tr>
      <w:tr>
        <w:trPr>
          <w:trHeight w:val="49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2,886,072.96</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10,464,388.28</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-7,578,315.32</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-72.42</w:t>
            </w:r>
            <w:r>
              <w:rPr>
                <w:rFonts w:ascii="Times New Roman"/>
                <w:sz w:val="18"/>
              </w:rPr>
            </w:r>
          </w:p>
        </w:tc>
        <w:tc>
          <w:tcPr>
            <w:tcW w:w="2447" w:type="dxa"/>
            <w:vMerge/>
            <w:tcBorders>
              <w:left w:val="single" w:sz="4" w:space="0" w:color="000000"/>
              <w:right w:val="single" w:sz="8" w:space="0" w:color="000000"/>
            </w:tcBorders>
          </w:tcPr>
          <w:p>
            <w:pPr/>
          </w:p>
        </w:tc>
      </w:tr>
      <w:tr>
        <w:trPr>
          <w:trHeight w:val="491"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123,710,783.57</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-123,710,783.57</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447" w:type="dxa"/>
            <w:vMerge/>
            <w:tcBorders>
              <w:left w:val="single" w:sz="4" w:space="0" w:color="000000"/>
              <w:right w:val="single" w:sz="8" w:space="0" w:color="000000"/>
            </w:tcBorders>
          </w:tcPr>
          <w:p>
            <w:pPr/>
          </w:p>
        </w:tc>
      </w:tr>
      <w:tr>
        <w:trPr>
          <w:trHeight w:val="49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32,817,854.58</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258,379,454.92</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-225,561,600.34</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-87.30</w:t>
            </w:r>
            <w:r>
              <w:rPr>
                <w:rFonts w:ascii="Times New Roman"/>
                <w:sz w:val="18"/>
              </w:rPr>
            </w:r>
          </w:p>
        </w:tc>
        <w:tc>
          <w:tcPr>
            <w:tcW w:w="2447" w:type="dxa"/>
            <w:vMerge/>
            <w:tcBorders>
              <w:left w:val="single" w:sz="4" w:space="0" w:color="000000"/>
              <w:right w:val="single" w:sz="8" w:space="0" w:color="000000"/>
            </w:tcBorders>
          </w:tcPr>
          <w:p>
            <w:pPr/>
          </w:p>
        </w:tc>
      </w:tr>
      <w:tr>
        <w:trPr>
          <w:trHeight w:val="49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exact"/>
              <w:ind w:left="98" w:right="89"/>
              <w:jc w:val="left"/>
              <w:rPr>
                <w:rFonts w:ascii="宋体" w:hAnsi="宋体" w:cs="宋体" w:eastAsia="宋体" w:hint="default"/>
                <w:sz w:val="18"/>
                <w:szCs w:val="18"/>
              </w:rPr>
            </w:pPr>
            <w:r>
              <w:rPr>
                <w:rFonts w:ascii="宋体" w:hAnsi="宋体" w:cs="宋体" w:eastAsia="宋体" w:hint="default"/>
                <w:spacing w:val="12"/>
                <w:sz w:val="18"/>
                <w:szCs w:val="18"/>
              </w:rPr>
              <w:t>一年内到期的非 </w:t>
            </w:r>
            <w:r>
              <w:rPr>
                <w:rFonts w:ascii="宋体" w:hAnsi="宋体" w:cs="宋体" w:eastAsia="宋体" w:hint="default"/>
                <w:sz w:val="18"/>
                <w:szCs w:val="18"/>
              </w:rPr>
              <w:t>流动负债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63,900,000.00</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-63,900,000.00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447" w:type="dxa"/>
            <w:vMerge/>
            <w:tcBorders>
              <w:left w:val="single" w:sz="4" w:space="0" w:color="000000"/>
              <w:right w:val="single" w:sz="8" w:space="0" w:color="000000"/>
            </w:tcBorders>
          </w:tcPr>
          <w:p>
            <w:pPr/>
          </w:p>
        </w:tc>
      </w:tr>
      <w:tr>
        <w:trPr>
          <w:trHeight w:val="294" w:hRule="exact"/>
        </w:trPr>
        <w:tc>
          <w:tcPr>
            <w:tcW w:w="1548" w:type="dxa"/>
            <w:tcBorders>
              <w:top w:val="single" w:sz="4" w:space="0" w:color="000000"/>
              <w:left w:val="single" w:sz="8"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47" w:type="dxa"/>
            <w:vMerge/>
            <w:tcBorders>
              <w:left w:val="single" w:sz="4" w:space="0" w:color="000000"/>
              <w:right w:val="single" w:sz="8" w:space="0" w:color="000000"/>
            </w:tcBorders>
          </w:tcPr>
          <w:p>
            <w:pPr/>
          </w:p>
        </w:tc>
      </w:tr>
      <w:tr>
        <w:trPr>
          <w:trHeight w:val="491"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270,983,060.81</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-270,983,060.81</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447" w:type="dxa"/>
            <w:vMerge/>
            <w:tcBorders>
              <w:left w:val="single" w:sz="4" w:space="0" w:color="000000"/>
              <w:bottom w:val="single" w:sz="4" w:space="0" w:color="000000"/>
              <w:right w:val="single" w:sz="8" w:space="0" w:color="000000"/>
            </w:tcBorders>
          </w:tcPr>
          <w:p>
            <w:pPr/>
          </w:p>
        </w:tc>
      </w:tr>
      <w:tr>
        <w:trPr>
          <w:trHeight w:val="145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right="100"/>
              <w:jc w:val="right"/>
              <w:rPr>
                <w:rFonts w:ascii="Times New Roman" w:hAnsi="Times New Roman" w:cs="Times New Roman" w:eastAsia="Times New Roman" w:hint="default"/>
                <w:sz w:val="20"/>
                <w:szCs w:val="20"/>
              </w:rPr>
            </w:pPr>
            <w:r>
              <w:rPr>
                <w:rFonts w:ascii="Times New Roman"/>
                <w:spacing w:val="-1"/>
                <w:sz w:val="20"/>
              </w:rPr>
              <w:t>10,593,574.55</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right="99"/>
              <w:jc w:val="right"/>
              <w:rPr>
                <w:rFonts w:ascii="Times New Roman" w:hAnsi="Times New Roman" w:cs="Times New Roman" w:eastAsia="Times New Roman" w:hint="default"/>
                <w:sz w:val="20"/>
                <w:szCs w:val="20"/>
              </w:rPr>
            </w:pPr>
            <w:r>
              <w:rPr>
                <w:rFonts w:ascii="Times New Roman"/>
                <w:spacing w:val="-1"/>
                <w:sz w:val="20"/>
              </w:rPr>
              <w:t>1,527,336.63</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right="101"/>
              <w:jc w:val="right"/>
              <w:rPr>
                <w:rFonts w:ascii="Times New Roman" w:hAnsi="Times New Roman" w:cs="Times New Roman" w:eastAsia="Times New Roman" w:hint="default"/>
                <w:sz w:val="20"/>
                <w:szCs w:val="20"/>
              </w:rPr>
            </w:pPr>
            <w:r>
              <w:rPr>
                <w:rFonts w:ascii="Times New Roman"/>
                <w:spacing w:val="-1"/>
                <w:sz w:val="20"/>
              </w:rPr>
              <w:t>9,066,237.92</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593.60</w:t>
            </w:r>
          </w:p>
        </w:tc>
        <w:tc>
          <w:tcPr>
            <w:tcW w:w="2447"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3" w:right="92"/>
              <w:jc w:val="both"/>
              <w:rPr>
                <w:rFonts w:ascii="宋体" w:hAnsi="宋体" w:cs="宋体" w:eastAsia="宋体" w:hint="default"/>
                <w:sz w:val="18"/>
                <w:szCs w:val="18"/>
              </w:rPr>
            </w:pPr>
            <w:r>
              <w:rPr>
                <w:rFonts w:ascii="宋体" w:hAnsi="宋体" w:cs="宋体" w:eastAsia="宋体" w:hint="default"/>
                <w:spacing w:val="6"/>
                <w:sz w:val="18"/>
                <w:szCs w:val="18"/>
              </w:rPr>
              <w:t>变动额主要系本公司根据重 整计划中未申报债权的受偿 方案，将未申报债权需按照 普通债权清偿比例清偿部分 转入“其他流动负债”科目 </w:t>
            </w:r>
            <w:r>
              <w:rPr>
                <w:rFonts w:ascii="宋体" w:hAnsi="宋体" w:cs="宋体" w:eastAsia="宋体" w:hint="default"/>
                <w:sz w:val="18"/>
                <w:szCs w:val="18"/>
              </w:rPr>
              <w:t>核算。</w:t>
            </w:r>
          </w:p>
        </w:tc>
      </w:tr>
      <w:tr>
        <w:trPr>
          <w:trHeight w:val="294"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6"/>
              <w:ind w:left="98" w:right="0"/>
              <w:jc w:val="left"/>
              <w:rPr>
                <w:rFonts w:ascii="宋体" w:hAnsi="宋体" w:cs="宋体" w:eastAsia="宋体" w:hint="default"/>
                <w:sz w:val="18"/>
                <w:szCs w:val="18"/>
              </w:rPr>
            </w:pPr>
            <w:r>
              <w:rPr>
                <w:rFonts w:ascii="宋体" w:hAnsi="宋体" w:cs="宋体" w:eastAsia="宋体" w:hint="default"/>
                <w:b/>
                <w:bCs/>
                <w:sz w:val="18"/>
                <w:szCs w:val="18"/>
              </w:rPr>
              <w:t>权益类：</w:t>
            </w:r>
            <w:r>
              <w:rPr>
                <w:rFonts w:ascii="宋体" w:hAnsi="宋体" w:cs="宋体" w:eastAsia="宋体" w:hint="default"/>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8" w:space="0" w:color="000000"/>
            </w:tcBorders>
          </w:tcPr>
          <w:p>
            <w:pPr/>
          </w:p>
        </w:tc>
      </w:tr>
      <w:tr>
        <w:trPr>
          <w:trHeight w:val="145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2"/>
                <w:sz w:val="20"/>
              </w:rPr>
              <w:t>640,002,411.17</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262,748,052.05</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377,254,359.12</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143.58</w:t>
            </w:r>
          </w:p>
        </w:tc>
        <w:tc>
          <w:tcPr>
            <w:tcW w:w="2447"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3" w:right="71"/>
              <w:jc w:val="both"/>
              <w:rPr>
                <w:rFonts w:ascii="宋体" w:hAnsi="宋体" w:cs="宋体" w:eastAsia="宋体" w:hint="default"/>
                <w:sz w:val="18"/>
                <w:szCs w:val="18"/>
              </w:rPr>
            </w:pPr>
            <w:r>
              <w:rPr>
                <w:rFonts w:ascii="宋体" w:hAnsi="宋体" w:cs="宋体" w:eastAsia="宋体" w:hint="default"/>
                <w:spacing w:val="6"/>
                <w:sz w:val="18"/>
                <w:szCs w:val="18"/>
              </w:rPr>
              <w:t>本年增加资本公积为股东无 偿让渡本公司股票用以支付 </w:t>
            </w:r>
            <w:r>
              <w:rPr>
                <w:rFonts w:ascii="宋体" w:hAnsi="宋体" w:cs="宋体" w:eastAsia="宋体" w:hint="default"/>
                <w:spacing w:val="20"/>
                <w:sz w:val="18"/>
                <w:szCs w:val="18"/>
              </w:rPr>
              <w:t>本公司重整</w:t>
            </w:r>
            <w:r>
              <w:rPr>
                <w:rFonts w:ascii="宋体" w:hAnsi="宋体" w:cs="宋体" w:eastAsia="宋体" w:hint="default"/>
                <w:spacing w:val="-66"/>
                <w:sz w:val="18"/>
                <w:szCs w:val="18"/>
              </w:rPr>
              <w:t> </w:t>
            </w:r>
            <w:r>
              <w:rPr>
                <w:rFonts w:ascii="宋体" w:hAnsi="宋体" w:cs="宋体" w:eastAsia="宋体" w:hint="default"/>
                <w:spacing w:val="20"/>
                <w:sz w:val="18"/>
                <w:szCs w:val="18"/>
              </w:rPr>
              <w:t>费用和共益债</w:t>
            </w:r>
            <w:r>
              <w:rPr>
                <w:rFonts w:ascii="宋体" w:hAnsi="宋体" w:cs="宋体" w:eastAsia="宋体" w:hint="default"/>
                <w:spacing w:val="-87"/>
                <w:sz w:val="18"/>
                <w:szCs w:val="18"/>
              </w:rPr>
              <w:t> </w:t>
            </w:r>
            <w:r>
              <w:rPr>
                <w:rFonts w:ascii="宋体" w:hAnsi="宋体" w:cs="宋体" w:eastAsia="宋体" w:hint="default"/>
                <w:spacing w:val="6"/>
                <w:sz w:val="18"/>
                <w:szCs w:val="18"/>
              </w:rPr>
              <w:t>务、清偿本公司部分债务以</w:t>
            </w:r>
            <w:r>
              <w:rPr>
                <w:rFonts w:ascii="宋体" w:hAnsi="宋体" w:cs="宋体" w:eastAsia="宋体" w:hint="default"/>
                <w:spacing w:val="6"/>
                <w:sz w:val="18"/>
                <w:szCs w:val="18"/>
              </w:rPr>
              <w:t> 及保全本公司主要子公司经 </w:t>
            </w:r>
            <w:r>
              <w:rPr>
                <w:rFonts w:ascii="宋体" w:hAnsi="宋体" w:cs="宋体" w:eastAsia="宋体" w:hint="default"/>
                <w:sz w:val="18"/>
                <w:szCs w:val="18"/>
              </w:rPr>
              <w:t>营资产而形成的资本公积。</w:t>
            </w:r>
          </w:p>
        </w:tc>
      </w:tr>
      <w:tr>
        <w:trPr>
          <w:trHeight w:val="294"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6"/>
              <w:ind w:left="98" w:right="0"/>
              <w:jc w:val="left"/>
              <w:rPr>
                <w:rFonts w:ascii="宋体" w:hAnsi="宋体" w:cs="宋体" w:eastAsia="宋体" w:hint="default"/>
                <w:sz w:val="18"/>
                <w:szCs w:val="18"/>
              </w:rPr>
            </w:pPr>
            <w:r>
              <w:rPr>
                <w:rFonts w:ascii="宋体" w:hAnsi="宋体" w:cs="宋体" w:eastAsia="宋体" w:hint="default"/>
                <w:b/>
                <w:bCs/>
                <w:sz w:val="18"/>
                <w:szCs w:val="18"/>
              </w:rPr>
              <w:t>损益类：</w:t>
            </w:r>
            <w:r>
              <w:rPr>
                <w:rFonts w:ascii="宋体" w:hAnsi="宋体" w:cs="宋体" w:eastAsia="宋体" w:hint="default"/>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8" w:space="0" w:color="000000"/>
            </w:tcBorders>
          </w:tcPr>
          <w:p>
            <w:pPr/>
          </w:p>
        </w:tc>
      </w:tr>
      <w:tr>
        <w:trPr>
          <w:trHeight w:val="1451"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409,446.16</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27,803,472.90</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-27,394,026.74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w w:val="95"/>
                <w:sz w:val="18"/>
              </w:rPr>
              <w:t>-98.53</w:t>
            </w:r>
            <w:r>
              <w:rPr>
                <w:rFonts w:ascii="Times New Roman"/>
                <w:sz w:val="18"/>
              </w:rPr>
            </w:r>
          </w:p>
        </w:tc>
        <w:tc>
          <w:tcPr>
            <w:tcW w:w="2447"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3" w:right="92"/>
              <w:jc w:val="both"/>
              <w:rPr>
                <w:rFonts w:ascii="宋体" w:hAnsi="宋体" w:cs="宋体" w:eastAsia="宋体" w:hint="default"/>
                <w:sz w:val="18"/>
                <w:szCs w:val="18"/>
              </w:rPr>
            </w:pPr>
            <w:r>
              <w:rPr>
                <w:rFonts w:ascii="宋体" w:hAnsi="宋体" w:cs="宋体" w:eastAsia="宋体" w:hint="default"/>
                <w:spacing w:val="6"/>
                <w:sz w:val="18"/>
                <w:szCs w:val="18"/>
              </w:rPr>
              <w:t>上年度财务费用主要为利息 </w:t>
            </w:r>
            <w:r>
              <w:rPr>
                <w:rFonts w:ascii="宋体" w:hAnsi="宋体" w:cs="宋体" w:eastAsia="宋体" w:hint="default"/>
                <w:sz w:val="18"/>
                <w:szCs w:val="18"/>
              </w:rPr>
              <w:t>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2789 </w:t>
            </w:r>
            <w:r>
              <w:rPr>
                <w:rFonts w:ascii="宋体" w:hAnsi="宋体" w:cs="宋体" w:eastAsia="宋体" w:hint="default"/>
                <w:spacing w:val="-3"/>
                <w:sz w:val="18"/>
                <w:szCs w:val="18"/>
              </w:rPr>
              <w:t>万元，本年度随着</w:t>
            </w:r>
            <w:r>
              <w:rPr>
                <w:rFonts w:ascii="宋体" w:hAnsi="宋体" w:cs="宋体" w:eastAsia="宋体" w:hint="default"/>
                <w:sz w:val="18"/>
                <w:szCs w:val="18"/>
              </w:rPr>
              <w:t> </w:t>
            </w:r>
            <w:r>
              <w:rPr>
                <w:rFonts w:ascii="宋体" w:hAnsi="宋体" w:cs="宋体" w:eastAsia="宋体" w:hint="default"/>
                <w:spacing w:val="6"/>
                <w:sz w:val="18"/>
                <w:szCs w:val="18"/>
              </w:rPr>
              <w:t>本公司重整程序结束，各项</w:t>
            </w:r>
            <w:r>
              <w:rPr>
                <w:rFonts w:ascii="宋体" w:hAnsi="宋体" w:cs="宋体" w:eastAsia="宋体" w:hint="default"/>
                <w:spacing w:val="6"/>
                <w:sz w:val="18"/>
                <w:szCs w:val="18"/>
              </w:rPr>
              <w:t> 银行借款已按重整计划予以 清偿，相应的利息支出也已 </w:t>
            </w:r>
            <w:r>
              <w:rPr>
                <w:rFonts w:ascii="宋体" w:hAnsi="宋体" w:cs="宋体" w:eastAsia="宋体" w:hint="default"/>
                <w:sz w:val="18"/>
                <w:szCs w:val="18"/>
              </w:rPr>
              <w:t>清偿完毕。</w:t>
            </w:r>
          </w:p>
        </w:tc>
      </w:tr>
      <w:tr>
        <w:trPr>
          <w:trHeight w:val="97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9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-4,762,966.14</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5,794,708.03</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-10,557,674.17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-182.20</w:t>
            </w:r>
            <w:r>
              <w:rPr>
                <w:rFonts w:ascii="Times New Roman"/>
                <w:sz w:val="18"/>
              </w:rPr>
            </w:r>
          </w:p>
        </w:tc>
        <w:tc>
          <w:tcPr>
            <w:tcW w:w="2447"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3" w:right="7"/>
              <w:jc w:val="left"/>
              <w:rPr>
                <w:rFonts w:ascii="宋体" w:hAnsi="宋体" w:cs="宋体" w:eastAsia="宋体" w:hint="default"/>
                <w:sz w:val="18"/>
                <w:szCs w:val="18"/>
              </w:rPr>
            </w:pPr>
            <w:r>
              <w:rPr>
                <w:rFonts w:ascii="宋体" w:hAnsi="宋体" w:cs="宋体" w:eastAsia="宋体" w:hint="default"/>
                <w:spacing w:val="6"/>
                <w:sz w:val="18"/>
                <w:szCs w:val="18"/>
              </w:rPr>
              <w:t>主要是本年度收回深圳泰丰 </w:t>
            </w:r>
            <w:r>
              <w:rPr>
                <w:rFonts w:ascii="宋体" w:hAnsi="宋体" w:cs="宋体" w:eastAsia="宋体" w:hint="default"/>
                <w:sz w:val="18"/>
                <w:szCs w:val="18"/>
              </w:rPr>
              <w:t>电子有限公司欠款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639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 </w:t>
            </w:r>
            <w:r>
              <w:rPr>
                <w:rFonts w:ascii="宋体" w:hAnsi="宋体" w:cs="宋体" w:eastAsia="宋体" w:hint="default"/>
                <w:spacing w:val="6"/>
                <w:sz w:val="18"/>
                <w:szCs w:val="18"/>
              </w:rPr>
              <w:t>相应转回以前年度已提坏账</w:t>
            </w:r>
            <w:r>
              <w:rPr>
                <w:rFonts w:ascii="宋体" w:hAnsi="宋体" w:cs="宋体" w:eastAsia="宋体" w:hint="default"/>
                <w:spacing w:val="6"/>
                <w:sz w:val="18"/>
                <w:szCs w:val="18"/>
              </w:rPr>
              <w:t> </w:t>
            </w:r>
            <w:r>
              <w:rPr>
                <w:rFonts w:ascii="宋体" w:hAnsi="宋体" w:cs="宋体" w:eastAsia="宋体" w:hint="default"/>
                <w:sz w:val="18"/>
                <w:szCs w:val="18"/>
              </w:rPr>
              <w:t>准备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3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spacing w:val="-1"/>
                <w:sz w:val="20"/>
              </w:rPr>
              <w:t>70,032.81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spacing w:val="-1"/>
                <w:sz w:val="20"/>
              </w:rPr>
              <w:t>139,421,252.32</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spacing w:val="-1"/>
                <w:sz w:val="20"/>
              </w:rPr>
              <w:t>-139,351,219.51</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-99.95</w:t>
            </w:r>
            <w:r>
              <w:rPr>
                <w:rFonts w:ascii="Times New Roman"/>
                <w:sz w:val="18"/>
              </w:rPr>
            </w:r>
          </w:p>
        </w:tc>
        <w:tc>
          <w:tcPr>
            <w:tcW w:w="2447"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3" w:right="92"/>
              <w:jc w:val="both"/>
              <w:rPr>
                <w:rFonts w:ascii="宋体" w:hAnsi="宋体" w:cs="宋体" w:eastAsia="宋体" w:hint="default"/>
                <w:sz w:val="18"/>
                <w:szCs w:val="18"/>
              </w:rPr>
            </w:pPr>
            <w:r>
              <w:rPr>
                <w:rFonts w:ascii="宋体" w:hAnsi="宋体" w:cs="宋体" w:eastAsia="宋体" w:hint="default"/>
                <w:spacing w:val="6"/>
                <w:sz w:val="18"/>
                <w:szCs w:val="18"/>
              </w:rPr>
              <w:t>上年投资收益构成主要为通 讯公司股权被拍卖而产生投 </w:t>
            </w:r>
            <w:r>
              <w:rPr>
                <w:rFonts w:ascii="宋体" w:hAnsi="宋体" w:cs="宋体" w:eastAsia="宋体" w:hint="default"/>
                <w:sz w:val="18"/>
                <w:szCs w:val="18"/>
              </w:rPr>
              <w:t>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2171"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9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02"/>
              <w:jc w:val="right"/>
              <w:rPr>
                <w:rFonts w:ascii="Times New Roman" w:hAnsi="Times New Roman" w:cs="Times New Roman" w:eastAsia="Times New Roman" w:hint="default"/>
                <w:sz w:val="20"/>
                <w:szCs w:val="20"/>
              </w:rPr>
            </w:pPr>
            <w:r>
              <w:rPr>
                <w:rFonts w:ascii="Times New Roman"/>
                <w:spacing w:val="-1"/>
                <w:sz w:val="20"/>
              </w:rPr>
              <w:t>491,224,505.05</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99"/>
              <w:jc w:val="right"/>
              <w:rPr>
                <w:rFonts w:ascii="Times New Roman" w:hAnsi="Times New Roman" w:cs="Times New Roman" w:eastAsia="Times New Roman" w:hint="default"/>
                <w:sz w:val="20"/>
                <w:szCs w:val="20"/>
              </w:rPr>
            </w:pPr>
            <w:r>
              <w:rPr>
                <w:rFonts w:ascii="Times New Roman"/>
                <w:spacing w:val="-1"/>
                <w:sz w:val="20"/>
              </w:rPr>
              <w:t>20,959,968.37</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02"/>
              <w:jc w:val="right"/>
              <w:rPr>
                <w:rFonts w:ascii="Times New Roman" w:hAnsi="Times New Roman" w:cs="Times New Roman" w:eastAsia="Times New Roman" w:hint="default"/>
                <w:sz w:val="20"/>
                <w:szCs w:val="20"/>
              </w:rPr>
            </w:pPr>
            <w:r>
              <w:rPr>
                <w:rFonts w:ascii="Times New Roman"/>
                <w:spacing w:val="-1"/>
                <w:sz w:val="20"/>
              </w:rPr>
              <w:t>470,264,536.68</w:t>
            </w:r>
            <w:r>
              <w:rPr>
                <w:rFonts w:ascii="Times New Roman"/>
                <w:sz w:val="20"/>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2,243.63</w:t>
            </w:r>
          </w:p>
        </w:tc>
        <w:tc>
          <w:tcPr>
            <w:tcW w:w="2447" w:type="dxa"/>
            <w:tcBorders>
              <w:top w:val="single" w:sz="4" w:space="0" w:color="000000"/>
              <w:left w:val="single" w:sz="4" w:space="0" w:color="000000"/>
              <w:bottom w:val="single" w:sz="4" w:space="0" w:color="000000"/>
              <w:right w:val="single" w:sz="8" w:space="0" w:color="000000"/>
            </w:tcBorders>
          </w:tcPr>
          <w:p>
            <w:pPr>
              <w:pStyle w:val="TableParagraph"/>
              <w:spacing w:line="226"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年度营业外收入的主要</w:t>
            </w:r>
          </w:p>
          <w:p>
            <w:pPr>
              <w:pStyle w:val="TableParagraph"/>
              <w:spacing w:line="242" w:lineRule="auto"/>
              <w:ind w:left="103" w:right="92"/>
              <w:jc w:val="both"/>
              <w:rPr>
                <w:rFonts w:ascii="宋体" w:hAnsi="宋体" w:cs="宋体" w:eastAsia="宋体" w:hint="default"/>
                <w:sz w:val="18"/>
                <w:szCs w:val="18"/>
              </w:rPr>
            </w:pPr>
            <w:r>
              <w:rPr>
                <w:rFonts w:ascii="宋体" w:hAnsi="宋体" w:cs="宋体" w:eastAsia="宋体" w:hint="default"/>
                <w:sz w:val="18"/>
                <w:szCs w:val="18"/>
              </w:rPr>
              <w:t>构成为债务重组利得 </w:t>
            </w:r>
            <w:r>
              <w:rPr>
                <w:rFonts w:ascii="Times New Roman" w:hAnsi="Times New Roman" w:cs="Times New Roman" w:eastAsia="Times New Roman" w:hint="default"/>
                <w:sz w:val="18"/>
                <w:szCs w:val="18"/>
              </w:rPr>
              <w:t>4.89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亿 </w:t>
            </w:r>
            <w:r>
              <w:rPr>
                <w:rFonts w:ascii="宋体" w:hAnsi="宋体" w:cs="宋体" w:eastAsia="宋体" w:hint="default"/>
                <w:spacing w:val="6"/>
                <w:sz w:val="18"/>
                <w:szCs w:val="18"/>
              </w:rPr>
              <w:t>元，系本年度本公司重整程</w:t>
            </w:r>
            <w:r>
              <w:rPr>
                <w:rFonts w:ascii="宋体" w:hAnsi="宋体" w:cs="宋体" w:eastAsia="宋体" w:hint="default"/>
                <w:spacing w:val="6"/>
                <w:sz w:val="18"/>
                <w:szCs w:val="18"/>
              </w:rPr>
              <w:t> 序完成，本公司将账面记录 的债权数与根据法院裁定批 准的重整计划确认债权数额 及偿债率计算的应支付的债 权金额的差额确认为债务重 </w:t>
            </w:r>
            <w:r>
              <w:rPr>
                <w:rFonts w:ascii="宋体" w:hAnsi="宋体" w:cs="宋体" w:eastAsia="宋体" w:hint="default"/>
                <w:sz w:val="18"/>
                <w:szCs w:val="18"/>
              </w:rPr>
              <w:t>组利得。</w:t>
            </w:r>
          </w:p>
        </w:tc>
      </w:tr>
    </w:tbl>
    <w:p>
      <w:pPr>
        <w:spacing w:after="0" w:line="242" w:lineRule="auto"/>
        <w:jc w:val="both"/>
        <w:rPr>
          <w:rFonts w:ascii="宋体" w:hAnsi="宋体" w:cs="宋体" w:eastAsia="宋体" w:hint="default"/>
          <w:sz w:val="18"/>
          <w:szCs w:val="18"/>
        </w:rPr>
        <w:sectPr>
          <w:footerReference w:type="default" r:id="rId49"/>
          <w:pgSz w:w="11910" w:h="16840"/>
          <w:pgMar w:footer="833" w:header="877" w:top="1100" w:bottom="1020" w:left="800" w:right="98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1"/>
        <w:ind w:left="106"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rFonts w:ascii="黑体" w:hAnsi="黑体" w:cs="黑体" w:eastAsia="黑体" w:hint="default"/>
        </w:rPr>
        <w:t>此页无正文</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11"/>
        <w:rPr>
          <w:rFonts w:ascii="Times New Roman" w:hAnsi="Times New Roman" w:cs="Times New Roman" w:eastAsia="Times New Roman" w:hint="default"/>
          <w:sz w:val="32"/>
          <w:szCs w:val="32"/>
        </w:rPr>
      </w:pPr>
    </w:p>
    <w:p>
      <w:pPr>
        <w:pStyle w:val="BodyText"/>
        <w:tabs>
          <w:tab w:pos="3046" w:val="left" w:leader="none"/>
          <w:tab w:pos="6406" w:val="left" w:leader="none"/>
          <w:tab w:pos="8770" w:val="left" w:leader="none"/>
        </w:tabs>
        <w:spacing w:line="240" w:lineRule="auto"/>
        <w:ind w:left="106" w:right="0"/>
        <w:jc w:val="left"/>
        <w:rPr>
          <w:rFonts w:ascii="Times New Roman" w:hAnsi="Times New Roman" w:cs="Times New Roman" w:eastAsia="Times New Roman" w:hint="default"/>
        </w:rPr>
      </w:pPr>
      <w:r>
        <w:rPr>
          <w:rFonts w:ascii="黑体" w:hAnsi="黑体" w:cs="黑体" w:eastAsia="黑体" w:hint="default"/>
        </w:rPr>
        <w:t>公司法定代表人：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rFonts w:ascii="黑体" w:hAnsi="黑体" w:cs="黑体" w:eastAsia="黑体" w:hint="default"/>
          <w:spacing w:val="-1"/>
        </w:rPr>
        <w:t>主管会计工作负责人：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r>
        <w:rPr>
          <w:rFonts w:ascii="黑体" w:hAnsi="黑体" w:cs="黑体" w:eastAsia="黑体" w:hint="default"/>
          <w:spacing w:val="-1"/>
        </w:rPr>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BodyText"/>
        <w:tabs>
          <w:tab w:pos="1156" w:val="left" w:leader="none"/>
          <w:tab w:pos="2730" w:val="left" w:leader="none"/>
          <w:tab w:pos="3151" w:val="left" w:leader="none"/>
          <w:tab w:pos="4200" w:val="left" w:leader="none"/>
          <w:tab w:pos="6089" w:val="left" w:leader="none"/>
          <w:tab w:pos="6405" w:val="left" w:leader="none"/>
          <w:tab w:pos="7559" w:val="left" w:leader="none"/>
          <w:tab w:pos="8770" w:val="left" w:leader="none"/>
        </w:tabs>
        <w:spacing w:line="240" w:lineRule="auto" w:before="35"/>
        <w:ind w:left="106" w:right="0"/>
        <w:jc w:val="left"/>
        <w:rPr>
          <w:rFonts w:ascii="Times New Roman" w:hAnsi="Times New Roman" w:cs="Times New Roman" w:eastAsia="Times New Roman" w:hint="default"/>
        </w:rPr>
      </w:pPr>
      <w:r>
        <w:rPr>
          <w:rFonts w:ascii="黑体" w:hAnsi="黑体" w:cs="黑体" w:eastAsia="黑体" w:hint="default"/>
        </w:rPr>
        <w:t>日</w:t>
        <w:tab/>
      </w:r>
      <w:r>
        <w:rPr>
          <w:rFonts w:ascii="黑体" w:hAnsi="黑体" w:cs="黑体" w:eastAsia="黑体" w:hint="default"/>
          <w:spacing w:val="-1"/>
        </w:rPr>
        <w:t>期：</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黑体" w:hAnsi="黑体" w:cs="黑体" w:eastAsia="黑体" w:hint="default"/>
        </w:rPr>
        <w:t>日</w:t>
        <w:tab/>
      </w:r>
      <w:r>
        <w:rPr>
          <w:rFonts w:ascii="黑体" w:hAnsi="黑体" w:cs="黑体" w:eastAsia="黑体" w:hint="default"/>
          <w:spacing w:val="-1"/>
        </w:rPr>
        <w:t>期：</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黑体" w:hAnsi="黑体" w:cs="黑体" w:eastAsia="黑体" w:hint="default"/>
        </w:rPr>
        <w:t>日</w:t>
        <w:tab/>
      </w:r>
      <w:r>
        <w:rPr>
          <w:rFonts w:ascii="黑体" w:hAnsi="黑体" w:cs="黑体" w:eastAsia="黑体" w:hint="default"/>
          <w:spacing w:val="-1"/>
        </w:rPr>
        <w:t>期：</w:t>
      </w:r>
      <w:r>
        <w:rPr>
          <w:rFonts w:ascii="Times New Roman" w:hAnsi="Times New Roman" w:cs="Times New Roman" w:eastAsia="Times New Roman" w:hint="default"/>
          <w:spacing w:val="-1"/>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877" w:footer="833" w:top="1100" w:bottom="1020" w:left="16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tabs>
          <w:tab w:pos="4293" w:val="left" w:leader="none"/>
        </w:tabs>
        <w:spacing w:before="13"/>
        <w:ind w:left="2607" w:right="367" w:firstLine="0"/>
        <w:jc w:val="left"/>
        <w:rPr>
          <w:rFonts w:ascii="宋体" w:hAnsi="宋体" w:cs="宋体" w:eastAsia="宋体" w:hint="default"/>
          <w:sz w:val="28"/>
          <w:szCs w:val="28"/>
        </w:rPr>
      </w:pPr>
      <w:r>
        <w:rPr>
          <w:rFonts w:ascii="宋体" w:hAnsi="宋体" w:cs="宋体" w:eastAsia="宋体" w:hint="default"/>
          <w:b/>
          <w:bCs/>
          <w:w w:val="95"/>
          <w:sz w:val="28"/>
          <w:szCs w:val="28"/>
        </w:rPr>
        <w:t>第十一部分</w:t>
        <w:tab/>
      </w:r>
      <w:r>
        <w:rPr>
          <w:rFonts w:ascii="宋体" w:hAnsi="宋体" w:cs="宋体" w:eastAsia="宋体" w:hint="default"/>
          <w:b/>
          <w:bCs/>
          <w:sz w:val="28"/>
          <w:szCs w:val="28"/>
        </w:rPr>
        <w:t>备查文件目录</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3"/>
          <w:szCs w:val="33"/>
        </w:rPr>
      </w:pPr>
    </w:p>
    <w:p>
      <w:pPr>
        <w:pStyle w:val="BodyText"/>
        <w:spacing w:line="355" w:lineRule="auto"/>
        <w:ind w:left="557" w:right="87"/>
        <w:jc w:val="left"/>
      </w:pPr>
      <w:r>
        <w:rPr/>
        <w:t>一、载有法定代表人、主管会计工作负责人、会计机构负责人签名并盖章的财务报表。 二、载有会计师事务所盖章、注册会计师签名并盖章的审计报告原件。 </w:t>
      </w:r>
      <w:r>
        <w:rPr>
          <w:spacing w:val="2"/>
        </w:rPr>
        <w:t>三、报告期内在中国证监会指定报纸上公开披露过的所有公司文件的正本及公告的原</w:t>
      </w:r>
      <w:r>
        <w:rPr/>
      </w:r>
    </w:p>
    <w:p>
      <w:pPr>
        <w:pStyle w:val="BodyText"/>
        <w:spacing w:line="240" w:lineRule="auto" w:before="33"/>
        <w:ind w:left="137" w:right="367"/>
        <w:jc w:val="left"/>
      </w:pPr>
      <w:r>
        <w:rPr/>
        <w:t>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5764" w:val="left" w:leader="none"/>
          <w:tab w:pos="6497" w:val="left" w:leader="none"/>
        </w:tabs>
        <w:spacing w:line="355" w:lineRule="auto"/>
        <w:ind w:left="5134" w:right="989" w:hanging="1050"/>
        <w:jc w:val="left"/>
      </w:pPr>
      <w:r>
        <w:rPr/>
        <w:t>深圳市深信泰丰（集团）股份有限公司 董</w:t>
        <w:tab/>
        <w:t>事</w:t>
        <w:tab/>
        <w:t>会</w:t>
      </w:r>
    </w:p>
    <w:p>
      <w:pPr>
        <w:pStyle w:val="BodyText"/>
        <w:spacing w:line="240" w:lineRule="auto" w:before="33"/>
        <w:ind w:left="4818" w:right="367"/>
        <w:jc w:val="left"/>
      </w:pPr>
      <w:r>
        <w:rPr/>
        <w:t>二〇一一年二月二十四日</w:t>
      </w:r>
    </w:p>
    <w:sectPr>
      <w:pgSz w:w="11910" w:h="16840"/>
      <w:pgMar w:header="877" w:footer="833" w:top="1100" w:bottom="1020" w:left="16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80005pt;margin-top:780.51062pt;width:12.6pt;height:12.5pt;mso-position-horizontal-relative:page;mso-position-vertical-relative:page;z-index:-729304" type="#_x0000_t202" filled="false" stroked="false">
          <v:textbox inset="0,0,0,0">
            <w:txbxContent>
              <w:p>
                <w:pPr>
                  <w:pStyle w:val="BodyText"/>
                  <w:spacing w:line="234" w:lineRule="exact"/>
                  <w:ind w:left="20" w:right="0"/>
                  <w:jc w:val="left"/>
                  <w:rPr>
                    <w:rFonts w:ascii="Times New Roman" w:hAnsi="Times New Roman" w:cs="Times New Roman" w:eastAsia="Times New Roman" w:hint="default"/>
                  </w:rPr>
                </w:pPr>
                <w:r>
                  <w:rPr>
                    <w:rFonts w:ascii="Times New Roman"/>
                  </w:rPr>
                  <w:t>52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440002pt;margin-top:786.330627pt;width:20.4pt;height:12.5pt;mso-position-horizontal-relative:page;mso-position-vertical-relative:page;z-index:-728848" type="#_x0000_t202" filled="false" stroked="false">
          <v:textbox inset="0,0,0,0">
            <w:txbxContent>
              <w:p>
                <w:pPr>
                  <w:pStyle w:val="BodyText"/>
                  <w:spacing w:line="234" w:lineRule="exact"/>
                  <w:ind w:left="156"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99988pt;margin-top:786.330627pt;width:19.75pt;height:12.5pt;mso-position-horizontal-relative:page;mso-position-vertical-relative:page;z-index:-72882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80011pt;margin-top:786.330627pt;width:19.45pt;height:12.5pt;mso-position-horizontal-relative:page;mso-position-vertical-relative:page;z-index:-72880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270508pt;margin-top:539.670898pt;width:19.45pt;height:12.5pt;mso-position-horizontal-relative:page;mso-position-vertical-relative:page;z-index:-72870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80011pt;margin-top:789.330627pt;width:19.4pt;height:12.5pt;mso-position-horizontal-relative:page;mso-position-vertical-relative:page;z-index:-728608"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39990pt;margin-top:789.330627pt;width:19.75pt;height:12.5pt;mso-position-horizontal-relative:page;mso-position-vertical-relative:page;z-index:-72858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80005pt;margin-top:782.25061pt;width:14.6pt;height:12.5pt;mso-position-horizontal-relative:page;mso-position-vertical-relative:page;z-index:-72928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80005pt;margin-top:782.25061pt;width:14.6pt;height:12.5pt;mso-position-horizontal-relative:page;mso-position-vertical-relative:page;z-index:-729256"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670502pt;margin-top:535.65094pt;width:14.6pt;height:12.5pt;mso-position-horizontal-relative:page;mso-position-vertical-relative:page;z-index:-72916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80005pt;margin-top:782.25061pt;width:14.6pt;height:12.5pt;mso-position-horizontal-relative:page;mso-position-vertical-relative:page;z-index:-729088"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670502pt;margin-top:540.930847pt;width:12.6pt;height:12.5pt;mso-position-horizontal-relative:page;mso-position-vertical-relative:page;z-index:-728992" type="#_x0000_t202" filled="false" stroked="false">
          <v:textbox inset="0,0,0,0">
            <w:txbxContent>
              <w:p>
                <w:pPr>
                  <w:pStyle w:val="BodyText"/>
                  <w:spacing w:line="234" w:lineRule="exact"/>
                  <w:ind w:left="20" w:right="0"/>
                  <w:jc w:val="left"/>
                  <w:rPr>
                    <w:rFonts w:ascii="Times New Roman" w:hAnsi="Times New Roman" w:cs="Times New Roman" w:eastAsia="Times New Roman" w:hint="default"/>
                  </w:rPr>
                </w:pPr>
                <w:r>
                  <w:rPr>
                    <w:rFonts w:ascii="Times New Roman"/>
                  </w:rPr>
                  <w:t>52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670502pt;margin-top:542.730835pt;width:12.6pt;height:12.5pt;mso-position-horizontal-relative:page;mso-position-vertical-relative:page;z-index:-728968" type="#_x0000_t202" filled="false" stroked="false">
          <v:textbox inset="0,0,0,0">
            <w:txbxContent>
              <w:p>
                <w:pPr>
                  <w:pStyle w:val="BodyText"/>
                  <w:spacing w:line="234" w:lineRule="exact"/>
                  <w:ind w:left="20" w:right="0"/>
                  <w:jc w:val="left"/>
                  <w:rPr>
                    <w:rFonts w:ascii="Times New Roman" w:hAnsi="Times New Roman" w:cs="Times New Roman" w:eastAsia="Times New Roman" w:hint="default"/>
                  </w:rPr>
                </w:pPr>
                <w:r>
                  <w:rPr>
                    <w:rFonts w:ascii="Times New Roman"/>
                  </w:rPr>
                  <w:t>54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440002pt;margin-top:786.330627pt;width:14.6pt;height:12.5pt;mso-position-horizontal-relative:page;mso-position-vertical-relative:page;z-index:-728872"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729376"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02.080002pt;margin-top:42.865326pt;width:155pt;height:11pt;mso-position-horizontal-relative:page;mso-position-vertical-relative:page;z-index:-729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0.580017pt;margin-top:42.865326pt;width:67.25pt;height:11.5pt;mso-position-horizontal-relative:page;mso-position-vertical-relative:page;z-index:-729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729232"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225.310501pt;margin-top:42.865623pt;width:155pt;height:11pt;mso-position-horizontal-relative:page;mso-position-vertical-relative:page;z-index:-7292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553.810486pt;margin-top:42.865623pt;width:67.25pt;height:11.5pt;mso-position-horizontal-relative:page;mso-position-vertical-relative:page;z-index:-729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080002pt;margin-top:42.865326pt;width:155pt;height:11pt;mso-position-horizontal-relative:page;mso-position-vertical-relative:page;z-index:-729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0.580017pt;margin-top:42.865326pt;width:67.25pt;height:11.5pt;mso-position-horizontal-relative:page;mso-position-vertical-relative:page;z-index:-729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729064"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223.0905pt;margin-top:42.865623pt;width:155pt;height:11pt;mso-position-horizontal-relative:page;mso-position-vertical-relative:page;z-index:-729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556.090515pt;margin-top:42.865623pt;width:67.25pt;height:11.5pt;mso-position-horizontal-relative:page;mso-position-vertical-relative:page;z-index:-729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3.580002pt;margin-top:59.880001pt;width:428.3pt;height:.1pt;mso-position-horizontal-relative:page;mso-position-vertical-relative:page;z-index:-728944" coordorigin="1672,1198" coordsize="8566,2">
          <v:shape style="position:absolute;left:1672;top:1198;width:8566;height:2" coordorigin="1672,1198" coordsize="8566,0" path="m1672,1198l10237,1198e" filled="false" stroked="true" strokeweight=".72pt" strokecolor="#000000">
            <v:path arrowok="t"/>
          </v:shape>
          <w10:wrap type="none"/>
        </v:group>
      </w:pict>
    </w:r>
    <w:r>
      <w:rPr/>
      <w:pict>
        <v:shape style="position:absolute;margin-left:107.900002pt;margin-top:47.125324pt;width:155pt;height:11pt;mso-position-horizontal-relative:page;mso-position-vertical-relative:page;z-index:-728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6.400024pt;margin-top:47.125324pt;width:67.25pt;height:11.5pt;mso-position-horizontal-relative:page;mso-position-vertical-relative:page;z-index:-728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59.880001pt;width:703.2pt;height:.1pt;mso-position-horizontal-relative:page;mso-position-vertical-relative:page;z-index:-728776" coordorigin="1388,1198" coordsize="14064,2">
          <v:shape style="position:absolute;left:1388;top:1198;width:14064;height:2" coordorigin="1388,1198" coordsize="14064,0" path="m1388,1198l15452,1198e" filled="false" stroked="true" strokeweight=".72pt" strokecolor="#000000">
            <v:path arrowok="t"/>
          </v:shape>
          <w10:wrap type="none"/>
        </v:group>
      </w:pict>
    </w:r>
    <w:r>
      <w:rPr/>
      <w:pict>
        <v:shape style="position:absolute;margin-left:225.370499pt;margin-top:47.125626pt;width:155pt;height:11pt;mso-position-horizontal-relative:page;mso-position-vertical-relative:page;z-index:-728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553.870483pt;margin-top:47.125626pt;width:67.25pt;height:11.5pt;mso-position-horizontal-relative:page;mso-position-vertical-relative:page;z-index:-728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728680"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102.080002pt;margin-top:42.865326pt;width:155pt;height:11pt;mso-position-horizontal-relative:page;mso-position-vertical-relative:page;z-index:-728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0.580017pt;margin-top:42.865326pt;width:67.25pt;height:11.5pt;mso-position-horizontal-relative:page;mso-position-vertical-relative:page;z-index:-728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ind w:left="137"/>
    </w:pPr>
    <w:rPr>
      <w:rFonts w:ascii="宋体" w:hAnsi="宋体" w:eastAsia="宋体"/>
      <w:sz w:val="28"/>
      <w:szCs w:val="28"/>
    </w:rPr>
  </w:style>
  <w:style w:styleId="BodyText" w:type="paragraph">
    <w:name w:val="Body Text"/>
    <w:basedOn w:val="Normal"/>
    <w:uiPriority w:val="1"/>
    <w:qFormat/>
    <w:pPr>
      <w:ind w:left="561"/>
    </w:pPr>
    <w:rPr>
      <w:rFonts w:ascii="宋体" w:hAnsi="宋体" w:eastAsia="宋体"/>
      <w:sz w:val="21"/>
      <w:szCs w:val="21"/>
    </w:rPr>
  </w:style>
  <w:style w:styleId="Heading1" w:type="paragraph">
    <w:name w:val="Heading 1"/>
    <w:basedOn w:val="Normal"/>
    <w:uiPriority w:val="1"/>
    <w:qFormat/>
    <w:pPr>
      <w:spacing w:before="13"/>
      <w:outlineLvl w:val="1"/>
    </w:pPr>
    <w:rPr>
      <w:rFonts w:ascii="宋体" w:hAnsi="宋体" w:eastAsia="宋体"/>
      <w:b/>
      <w:bCs/>
      <w:sz w:val="28"/>
      <w:szCs w:val="28"/>
    </w:rPr>
  </w:style>
  <w:style w:styleId="Heading2" w:type="paragraph">
    <w:name w:val="Heading 2"/>
    <w:basedOn w:val="Normal"/>
    <w:uiPriority w:val="1"/>
    <w:qFormat/>
    <w:pPr>
      <w:spacing w:before="61"/>
      <w:ind w:left="137" w:firstLine="560"/>
      <w:outlineLvl w:val="2"/>
    </w:pPr>
    <w:rPr>
      <w:rFonts w:ascii="宋体" w:hAnsi="宋体" w:eastAsia="宋体"/>
      <w:sz w:val="28"/>
      <w:szCs w:val="28"/>
    </w:rPr>
  </w:style>
  <w:style w:styleId="Heading3" w:type="paragraph">
    <w:name w:val="Heading 3"/>
    <w:basedOn w:val="Normal"/>
    <w:uiPriority w:val="1"/>
    <w:qFormat/>
    <w:pPr>
      <w:ind w:left="559"/>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xlzh1123@126.com" TargetMode="External"/><Relationship Id="rId9" Type="http://schemas.openxmlformats.org/officeDocument/2006/relationships/hyperlink" Target="mailto:coolsunsun@163.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header" Target="header3.xml"/><Relationship Id="rId24" Type="http://schemas.openxmlformats.org/officeDocument/2006/relationships/footer" Target="footer5.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header" Target="header4.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header" Target="header5.xml"/><Relationship Id="rId37" Type="http://schemas.openxmlformats.org/officeDocument/2006/relationships/footer" Target="footer8.xml"/><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header" Target="header6.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header" Target="header7.xml"/><Relationship Id="rId46" Type="http://schemas.openxmlformats.org/officeDocument/2006/relationships/footer" Target="footer13.xml"/><Relationship Id="rId47" Type="http://schemas.openxmlformats.org/officeDocument/2006/relationships/header" Target="header8.xml"/><Relationship Id="rId48" Type="http://schemas.openxmlformats.org/officeDocument/2006/relationships/footer" Target="footer14.xml"/><Relationship Id="rId49"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Chinese User</dc:creator>
  <dc:title>深圳市深信泰丰（集团）股份有限公司</dc:title>
  <dcterms:created xsi:type="dcterms:W3CDTF">2020-04-28T22:53:58Z</dcterms:created>
  <dcterms:modified xsi:type="dcterms:W3CDTF">2020-04-28T22:53:58Z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2011-02-25T00:00:00Z</vt:filetime>
  </property>
  <property fmtid="{D5CDD505-2E9C-101B-9397-08002B2CF9AE}" pid="3" name="Creator">
    <vt:lpwstr>Acrobat PDFMaker 8.1 for Word</vt:lpwstr>
  </property>
  <property fmtid="{D5CDD505-2E9C-101B-9397-08002B2CF9AE}" pid="4" name="LastSaved">
    <vt:filetime>2020-04-28T00:00:00Z</vt:filetime>
  </property>
</Properties>
</file>