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504" w:lineRule="exact" w:before="0"/>
        <w:ind w:left="0" w:right="979" w:firstLine="0"/>
        <w:jc w:val="center"/>
        <w:rPr>
          <w:rFonts w:ascii="微软雅黑" w:hAnsi="微软雅黑" w:cs="微软雅黑" w:eastAsia="微软雅黑"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微软雅黑" w:hAnsi="微软雅黑" w:cs="微软雅黑" w:eastAsia="微软雅黑" w:hint="default"/>
          <w:b/>
          <w:bCs/>
          <w:w w:val="105"/>
          <w:sz w:val="36"/>
          <w:szCs w:val="36"/>
        </w:rPr>
        <w:t>深圳市深信泰丰</w:t>
      </w:r>
      <w:r>
        <w:rPr>
          <w:rFonts w:ascii="Arial" w:hAnsi="Arial" w:cs="Arial" w:eastAsia="Arial" w:hint="default"/>
          <w:b/>
          <w:bCs/>
          <w:w w:val="105"/>
          <w:sz w:val="36"/>
          <w:szCs w:val="36"/>
        </w:rPr>
        <w:t>(</w:t>
      </w:r>
      <w:r>
        <w:rPr>
          <w:rFonts w:ascii="微软雅黑" w:hAnsi="微软雅黑" w:cs="微软雅黑" w:eastAsia="微软雅黑" w:hint="default"/>
          <w:b/>
          <w:bCs/>
          <w:w w:val="105"/>
          <w:sz w:val="36"/>
          <w:szCs w:val="36"/>
        </w:rPr>
        <w:t>集团</w:t>
      </w:r>
      <w:r>
        <w:rPr>
          <w:rFonts w:ascii="Arial" w:hAnsi="Arial" w:cs="Arial" w:eastAsia="Arial" w:hint="default"/>
          <w:b/>
          <w:bCs/>
          <w:w w:val="105"/>
          <w:sz w:val="36"/>
          <w:szCs w:val="36"/>
        </w:rPr>
        <w:t>)</w:t>
      </w:r>
      <w:r>
        <w:rPr>
          <w:rFonts w:ascii="微软雅黑" w:hAnsi="微软雅黑" w:cs="微软雅黑" w:eastAsia="微软雅黑" w:hint="default"/>
          <w:b/>
          <w:bCs/>
          <w:w w:val="105"/>
          <w:sz w:val="36"/>
          <w:szCs w:val="36"/>
        </w:rPr>
        <w:t>股份有限公司</w:t>
      </w:r>
      <w:r>
        <w:rPr>
          <w:rFonts w:ascii="微软雅黑" w:hAnsi="微软雅黑" w:cs="微软雅黑" w:eastAsia="微软雅黑" w:hint="default"/>
          <w:w w:val="105"/>
          <w:sz w:val="36"/>
          <w:szCs w:val="36"/>
        </w:rPr>
      </w:r>
    </w:p>
    <w:p>
      <w:pPr>
        <w:pStyle w:val="Heading1"/>
        <w:spacing w:line="240" w:lineRule="auto" w:before="265"/>
        <w:ind w:right="978"/>
        <w:jc w:val="center"/>
        <w:rPr>
          <w:b w:val="0"/>
          <w:bCs w:val="0"/>
        </w:rPr>
      </w:pPr>
      <w:bookmarkStart w:name="_TOC_250000" w:id="1"/>
      <w:r>
        <w:rPr>
          <w:rFonts w:ascii="Arial" w:hAnsi="Arial" w:cs="Arial" w:eastAsia="Arial" w:hint="default"/>
          <w:w w:val="95"/>
        </w:rPr>
        <w:t>2012</w:t>
      </w:r>
      <w:r>
        <w:rPr>
          <w:rFonts w:ascii="Arial" w:hAnsi="Arial" w:cs="Arial" w:eastAsia="Arial" w:hint="default"/>
          <w:spacing w:val="30"/>
          <w:w w:val="95"/>
        </w:rPr>
        <w:t> </w:t>
      </w:r>
      <w:r>
        <w:rPr>
          <w:w w:val="95"/>
        </w:rPr>
        <w:t>年度报告</w:t>
      </w:r>
      <w:bookmarkEnd w:id="1"/>
      <w:r>
        <w:rPr>
          <w:b w:val="0"/>
          <w:bCs w:val="0"/>
        </w:rPr>
      </w: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6"/>
        <w:rPr>
          <w:rFonts w:ascii="微软雅黑" w:hAnsi="微软雅黑" w:cs="微软雅黑" w:eastAsia="微软雅黑" w:hint="default"/>
          <w:b/>
          <w:bCs/>
          <w:sz w:val="19"/>
          <w:szCs w:val="19"/>
        </w:rPr>
      </w:pPr>
    </w:p>
    <w:p>
      <w:pPr>
        <w:spacing w:before="0"/>
        <w:ind w:left="0" w:right="982" w:firstLine="0"/>
        <w:jc w:val="center"/>
        <w:rPr>
          <w:rFonts w:ascii="微软雅黑" w:hAnsi="微软雅黑" w:cs="微软雅黑" w:eastAsia="微软雅黑" w:hint="default"/>
          <w:sz w:val="32"/>
          <w:szCs w:val="32"/>
        </w:rPr>
      </w:pPr>
      <w:r>
        <w:rPr>
          <w:rFonts w:ascii="Arial" w:hAnsi="Arial" w:cs="Arial" w:eastAsia="Arial" w:hint="default"/>
          <w:b/>
          <w:bCs/>
          <w:sz w:val="32"/>
          <w:szCs w:val="32"/>
        </w:rPr>
        <w:t>2013</w:t>
      </w:r>
      <w:r>
        <w:rPr>
          <w:rFonts w:ascii="Arial" w:hAnsi="Arial" w:cs="Arial" w:eastAsia="Arial" w:hint="default"/>
          <w:b/>
          <w:bCs/>
          <w:spacing w:val="-43"/>
          <w:sz w:val="32"/>
          <w:szCs w:val="32"/>
        </w:rPr>
        <w:t> </w:t>
      </w:r>
      <w:r>
        <w:rPr>
          <w:rFonts w:ascii="微软雅黑" w:hAnsi="微软雅黑" w:cs="微软雅黑" w:eastAsia="微软雅黑" w:hint="default"/>
          <w:b/>
          <w:bCs/>
          <w:sz w:val="32"/>
          <w:szCs w:val="32"/>
        </w:rPr>
        <w:t>年</w:t>
      </w:r>
      <w:r>
        <w:rPr>
          <w:rFonts w:ascii="微软雅黑" w:hAnsi="微软雅黑" w:cs="微软雅黑" w:eastAsia="微软雅黑" w:hint="default"/>
          <w:b/>
          <w:bCs/>
          <w:spacing w:val="-50"/>
          <w:sz w:val="32"/>
          <w:szCs w:val="32"/>
        </w:rPr>
        <w:t> </w:t>
      </w:r>
      <w:r>
        <w:rPr>
          <w:rFonts w:ascii="Arial" w:hAnsi="Arial" w:cs="Arial" w:eastAsia="Arial" w:hint="default"/>
          <w:b/>
          <w:bCs/>
          <w:sz w:val="32"/>
          <w:szCs w:val="32"/>
        </w:rPr>
        <w:t>03</w:t>
      </w:r>
      <w:r>
        <w:rPr>
          <w:rFonts w:ascii="Arial" w:hAnsi="Arial" w:cs="Arial" w:eastAsia="Arial" w:hint="default"/>
          <w:b/>
          <w:bCs/>
          <w:spacing w:val="-45"/>
          <w:sz w:val="32"/>
          <w:szCs w:val="32"/>
        </w:rPr>
        <w:t> </w:t>
      </w:r>
      <w:r>
        <w:rPr>
          <w:rFonts w:ascii="微软雅黑" w:hAnsi="微软雅黑" w:cs="微软雅黑" w:eastAsia="微软雅黑" w:hint="default"/>
          <w:b/>
          <w:bCs/>
          <w:sz w:val="32"/>
          <w:szCs w:val="32"/>
        </w:rPr>
        <w:t>月</w:t>
      </w:r>
      <w:r>
        <w:rPr>
          <w:rFonts w:ascii="微软雅黑" w:hAnsi="微软雅黑" w:cs="微软雅黑" w:eastAsia="微软雅黑" w:hint="default"/>
          <w:sz w:val="32"/>
          <w:szCs w:val="32"/>
        </w:rPr>
      </w:r>
    </w:p>
    <w:p>
      <w:pPr>
        <w:spacing w:after="0"/>
        <w:jc w:val="center"/>
        <w:rPr>
          <w:rFonts w:ascii="微软雅黑" w:hAnsi="微软雅黑" w:cs="微软雅黑" w:eastAsia="微软雅黑"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2"/>
        <w:rPr>
          <w:rFonts w:ascii="微软雅黑" w:hAnsi="微软雅黑" w:cs="微软雅黑" w:eastAsia="微软雅黑" w:hint="default"/>
          <w:b/>
          <w:bCs/>
          <w:sz w:val="2"/>
          <w:szCs w:val="2"/>
        </w:rPr>
      </w:pPr>
    </w:p>
    <w:p>
      <w:pPr>
        <w:spacing w:line="20" w:lineRule="exact"/>
        <w:ind w:left="116" w:right="0" w:firstLine="0"/>
        <w:rPr>
          <w:rFonts w:ascii="微软雅黑" w:hAnsi="微软雅黑" w:cs="微软雅黑" w:eastAsia="微软雅黑" w:hint="default"/>
          <w:sz w:val="2"/>
          <w:szCs w:val="2"/>
        </w:rPr>
      </w:pPr>
      <w:r>
        <w:rPr>
          <w:rFonts w:ascii="微软雅黑" w:hAnsi="微软雅黑" w:cs="微软雅黑" w:eastAsia="微软雅黑"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微软雅黑" w:hAnsi="微软雅黑" w:cs="微软雅黑" w:eastAsia="微软雅黑" w:hint="default"/>
          <w:sz w:val="2"/>
          <w:szCs w:val="2"/>
        </w:rPr>
      </w:r>
    </w:p>
    <w:p>
      <w:pPr>
        <w:spacing w:line="240" w:lineRule="auto" w:before="0"/>
        <w:rPr>
          <w:rFonts w:ascii="微软雅黑" w:hAnsi="微软雅黑" w:cs="微软雅黑" w:eastAsia="微软雅黑" w:hint="default"/>
          <w:b/>
          <w:bCs/>
          <w:sz w:val="20"/>
          <w:szCs w:val="20"/>
        </w:rPr>
      </w:pPr>
    </w:p>
    <w:p>
      <w:pPr>
        <w:spacing w:line="240" w:lineRule="auto" w:before="10"/>
        <w:rPr>
          <w:rFonts w:ascii="微软雅黑" w:hAnsi="微软雅黑" w:cs="微软雅黑" w:eastAsia="微软雅黑" w:hint="default"/>
          <w:b/>
          <w:bCs/>
          <w:sz w:val="24"/>
          <w:szCs w:val="24"/>
        </w:rPr>
      </w:pPr>
    </w:p>
    <w:p>
      <w:pPr>
        <w:pStyle w:val="Heading1"/>
        <w:spacing w:line="458" w:lineRule="exact"/>
        <w:ind w:left="2803" w:right="0"/>
        <w:jc w:val="left"/>
        <w:rPr>
          <w:b w:val="0"/>
          <w:bCs w:val="0"/>
        </w:rPr>
      </w:pPr>
      <w:r>
        <w:rPr/>
        <w:t>第一节</w:t>
      </w:r>
      <w:r>
        <w:rPr>
          <w:spacing w:val="76"/>
        </w:rPr>
        <w:t> </w:t>
      </w:r>
      <w:r>
        <w:rPr/>
        <w:t>重要提示、目录和释义</w:t>
      </w:r>
      <w:r>
        <w:rPr>
          <w:b w:val="0"/>
          <w:bCs w:val="0"/>
        </w:rPr>
      </w:r>
    </w:p>
    <w:p>
      <w:pPr>
        <w:spacing w:line="240" w:lineRule="auto" w:before="11"/>
        <w:rPr>
          <w:rFonts w:ascii="微软雅黑" w:hAnsi="微软雅黑" w:cs="微软雅黑" w:eastAsia="微软雅黑" w:hint="default"/>
          <w:b/>
          <w:bCs/>
          <w:sz w:val="29"/>
          <w:szCs w:val="29"/>
        </w:rPr>
      </w:pPr>
    </w:p>
    <w:p>
      <w:pPr>
        <w:spacing w:line="309" w:lineRule="auto" w:before="0"/>
        <w:ind w:left="152" w:right="1136" w:firstLine="562"/>
        <w:jc w:val="both"/>
        <w:rPr>
          <w:rFonts w:ascii="微软雅黑" w:hAnsi="微软雅黑" w:cs="微软雅黑" w:eastAsia="微软雅黑" w:hint="default"/>
          <w:sz w:val="28"/>
          <w:szCs w:val="28"/>
        </w:rPr>
      </w:pPr>
      <w:r>
        <w:rPr>
          <w:rFonts w:ascii="微软雅黑" w:hAnsi="微软雅黑" w:cs="微软雅黑" w:eastAsia="微软雅黑" w:hint="default"/>
          <w:b/>
          <w:bCs/>
          <w:spacing w:val="2"/>
          <w:sz w:val="28"/>
          <w:szCs w:val="28"/>
        </w:rPr>
        <w:t>本公司董事会、监事会及董事、监事、高级管理人员保证本报告所载资料</w:t>
      </w:r>
      <w:r>
        <w:rPr>
          <w:rFonts w:ascii="微软雅黑" w:hAnsi="微软雅黑" w:cs="微软雅黑" w:eastAsia="微软雅黑" w:hint="default"/>
          <w:b/>
          <w:bCs/>
          <w:w w:val="100"/>
          <w:sz w:val="28"/>
          <w:szCs w:val="28"/>
        </w:rPr>
        <w:t> </w:t>
      </w:r>
      <w:r>
        <w:rPr>
          <w:rFonts w:ascii="微软雅黑" w:hAnsi="微软雅黑" w:cs="微软雅黑" w:eastAsia="微软雅黑" w:hint="default"/>
          <w:b/>
          <w:bCs/>
          <w:spacing w:val="2"/>
          <w:sz w:val="28"/>
          <w:szCs w:val="28"/>
        </w:rPr>
        <w:t>不存在任何虚假记载、误导性陈述或者重大遗漏，并对其内容的真实性、准确</w:t>
      </w:r>
      <w:r>
        <w:rPr>
          <w:rFonts w:ascii="微软雅黑" w:hAnsi="微软雅黑" w:cs="微软雅黑" w:eastAsia="微软雅黑" w:hint="default"/>
          <w:b/>
          <w:bCs/>
          <w:spacing w:val="-51"/>
          <w:sz w:val="28"/>
          <w:szCs w:val="28"/>
        </w:rPr>
        <w:t> </w:t>
      </w:r>
      <w:r>
        <w:rPr>
          <w:rFonts w:ascii="微软雅黑" w:hAnsi="微软雅黑" w:cs="微软雅黑" w:eastAsia="微软雅黑" w:hint="default"/>
          <w:b/>
          <w:bCs/>
          <w:spacing w:val="-51"/>
          <w:sz w:val="28"/>
          <w:szCs w:val="28"/>
        </w:rPr>
      </w:r>
      <w:r>
        <w:rPr>
          <w:rFonts w:ascii="微软雅黑" w:hAnsi="微软雅黑" w:cs="微软雅黑" w:eastAsia="微软雅黑" w:hint="default"/>
          <w:b/>
          <w:bCs/>
          <w:sz w:val="28"/>
          <w:szCs w:val="28"/>
        </w:rPr>
        <w:t>性和完整性承担个别及连带责任。</w:t>
      </w:r>
      <w:r>
        <w:rPr>
          <w:rFonts w:ascii="微软雅黑" w:hAnsi="微软雅黑" w:cs="微软雅黑" w:eastAsia="微软雅黑" w:hint="default"/>
          <w:sz w:val="28"/>
          <w:szCs w:val="28"/>
        </w:rPr>
      </w:r>
    </w:p>
    <w:p>
      <w:pPr>
        <w:spacing w:line="309" w:lineRule="auto" w:before="134"/>
        <w:ind w:left="152" w:right="1131" w:firstLine="562"/>
        <w:jc w:val="both"/>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公司负责人 </w:t>
      </w:r>
      <w:r>
        <w:rPr>
          <w:rFonts w:ascii="Times New Roman" w:hAnsi="Times New Roman" w:cs="Times New Roman" w:eastAsia="Times New Roman" w:hint="default"/>
          <w:b/>
          <w:bCs/>
          <w:sz w:val="28"/>
          <w:szCs w:val="28"/>
        </w:rPr>
      </w:r>
      <w:r>
        <w:rPr>
          <w:rFonts w:ascii="Times New Roman" w:hAnsi="Times New Roman" w:cs="Times New Roman" w:eastAsia="Times New Roman" w:hint="default"/>
          <w:b/>
          <w:bCs/>
          <w:sz w:val="28"/>
          <w:szCs w:val="28"/>
          <w:u w:val="single" w:color="000000"/>
        </w:rPr>
        <w:t> </w:t>
      </w:r>
      <w:r>
        <w:rPr>
          <w:rFonts w:ascii="微软雅黑" w:hAnsi="微软雅黑" w:cs="微软雅黑" w:eastAsia="微软雅黑" w:hint="default"/>
          <w:b/>
          <w:bCs/>
          <w:sz w:val="28"/>
          <w:szCs w:val="28"/>
          <w:u w:val="single" w:color="000000"/>
        </w:rPr>
        <w:t>晏群 </w:t>
      </w:r>
      <w:r>
        <w:rPr>
          <w:rFonts w:ascii="微软雅黑" w:hAnsi="微软雅黑" w:cs="微软雅黑" w:eastAsia="微软雅黑" w:hint="default"/>
          <w:b/>
          <w:bCs/>
          <w:sz w:val="28"/>
          <w:szCs w:val="28"/>
        </w:rPr>
      </w:r>
      <w:r>
        <w:rPr>
          <w:rFonts w:ascii="微软雅黑" w:hAnsi="微软雅黑" w:cs="微软雅黑" w:eastAsia="微软雅黑" w:hint="default"/>
          <w:b/>
          <w:bCs/>
          <w:spacing w:val="-6"/>
          <w:sz w:val="28"/>
          <w:szCs w:val="28"/>
        </w:rPr>
        <w:t>、主管会计工作负责人 </w:t>
      </w:r>
      <w:r>
        <w:rPr>
          <w:rFonts w:ascii="Times New Roman" w:hAnsi="Times New Roman" w:cs="Times New Roman" w:eastAsia="Times New Roman" w:hint="default"/>
          <w:b/>
          <w:bCs/>
          <w:spacing w:val="-6"/>
          <w:sz w:val="28"/>
          <w:szCs w:val="28"/>
        </w:rPr>
      </w:r>
      <w:r>
        <w:rPr>
          <w:rFonts w:ascii="Times New Roman" w:hAnsi="Times New Roman" w:cs="Times New Roman" w:eastAsia="Times New Roman" w:hint="default"/>
          <w:b/>
          <w:bCs/>
          <w:spacing w:val="-6"/>
          <w:sz w:val="28"/>
          <w:szCs w:val="28"/>
          <w:u w:val="single" w:color="000000"/>
        </w:rPr>
        <w:t> </w:t>
      </w:r>
      <w:r>
        <w:rPr>
          <w:rFonts w:ascii="微软雅黑" w:hAnsi="微软雅黑" w:cs="微软雅黑" w:eastAsia="微软雅黑" w:hint="default"/>
          <w:b/>
          <w:bCs/>
          <w:sz w:val="28"/>
          <w:szCs w:val="28"/>
          <w:u w:val="single" w:color="000000"/>
        </w:rPr>
        <w:t>梁侠</w:t>
      </w:r>
      <w:r>
        <w:rPr>
          <w:rFonts w:ascii="微软雅黑" w:hAnsi="微软雅黑" w:cs="微软雅黑" w:eastAsia="微软雅黑" w:hint="default"/>
          <w:b/>
          <w:bCs/>
          <w:spacing w:val="67"/>
          <w:sz w:val="28"/>
          <w:szCs w:val="28"/>
          <w:u w:val="single" w:color="000000"/>
        </w:rPr>
        <w:t> </w:t>
      </w:r>
      <w:r>
        <w:rPr>
          <w:rFonts w:ascii="微软雅黑" w:hAnsi="微软雅黑" w:cs="微软雅黑" w:eastAsia="微软雅黑" w:hint="default"/>
          <w:b/>
          <w:bCs/>
          <w:spacing w:val="67"/>
          <w:sz w:val="28"/>
          <w:szCs w:val="28"/>
        </w:rPr>
      </w:r>
      <w:r>
        <w:rPr>
          <w:rFonts w:ascii="微软雅黑" w:hAnsi="微软雅黑" w:cs="微软雅黑" w:eastAsia="微软雅黑" w:hint="default"/>
          <w:b/>
          <w:bCs/>
          <w:sz w:val="28"/>
          <w:szCs w:val="28"/>
        </w:rPr>
        <w:t>及会计机构负责人</w:t>
      </w:r>
      <w:r>
        <w:rPr>
          <w:rFonts w:ascii="Arial" w:hAnsi="Arial" w:cs="Arial" w:eastAsia="Arial" w:hint="default"/>
          <w:b/>
          <w:bCs/>
          <w:sz w:val="28"/>
          <w:szCs w:val="28"/>
        </w:rPr>
        <w:t>(</w:t>
      </w:r>
      <w:r>
        <w:rPr>
          <w:rFonts w:ascii="微软雅黑" w:hAnsi="微软雅黑" w:cs="微软雅黑" w:eastAsia="微软雅黑" w:hint="default"/>
          <w:b/>
          <w:bCs/>
          <w:sz w:val="28"/>
          <w:szCs w:val="28"/>
        </w:rPr>
        <w:t>会计主</w:t>
      </w:r>
      <w:r>
        <w:rPr>
          <w:rFonts w:ascii="微软雅黑" w:hAnsi="微软雅黑" w:cs="微软雅黑" w:eastAsia="微软雅黑" w:hint="default"/>
          <w:b/>
          <w:bCs/>
          <w:w w:val="100"/>
          <w:sz w:val="28"/>
          <w:szCs w:val="28"/>
        </w:rPr>
        <w:t> </w:t>
      </w:r>
      <w:r>
        <w:rPr>
          <w:rFonts w:ascii="微软雅黑" w:hAnsi="微软雅黑" w:cs="微软雅黑" w:eastAsia="微软雅黑" w:hint="default"/>
          <w:b/>
          <w:bCs/>
          <w:sz w:val="28"/>
          <w:szCs w:val="28"/>
        </w:rPr>
        <w:t>管人员</w:t>
      </w:r>
      <w:r>
        <w:rPr>
          <w:rFonts w:ascii="Arial" w:hAnsi="Arial" w:cs="Arial" w:eastAsia="Arial" w:hint="default"/>
          <w:b/>
          <w:bCs/>
          <w:sz w:val="28"/>
          <w:szCs w:val="28"/>
        </w:rPr>
        <w:t>)  </w:t>
      </w:r>
      <w:r>
        <w:rPr>
          <w:rFonts w:ascii="Times New Roman" w:hAnsi="Times New Roman" w:cs="Times New Roman" w:eastAsia="Times New Roman" w:hint="default"/>
          <w:b/>
          <w:bCs/>
          <w:sz w:val="28"/>
          <w:szCs w:val="28"/>
        </w:rPr>
      </w:r>
      <w:r>
        <w:rPr>
          <w:rFonts w:ascii="Times New Roman" w:hAnsi="Times New Roman" w:cs="Times New Roman" w:eastAsia="Times New Roman" w:hint="default"/>
          <w:b/>
          <w:bCs/>
          <w:sz w:val="28"/>
          <w:szCs w:val="28"/>
          <w:u w:val="single" w:color="000000"/>
        </w:rPr>
        <w:t> </w:t>
      </w:r>
      <w:r>
        <w:rPr>
          <w:rFonts w:ascii="微软雅黑" w:hAnsi="微软雅黑" w:cs="微软雅黑" w:eastAsia="微软雅黑" w:hint="default"/>
          <w:b/>
          <w:bCs/>
          <w:sz w:val="28"/>
          <w:szCs w:val="28"/>
          <w:u w:val="single" w:color="000000"/>
        </w:rPr>
        <w:t>林小浓 </w:t>
      </w:r>
      <w:r>
        <w:rPr>
          <w:rFonts w:ascii="微软雅黑" w:hAnsi="微软雅黑" w:cs="微软雅黑" w:eastAsia="微软雅黑" w:hint="default"/>
          <w:b/>
          <w:bCs/>
          <w:spacing w:val="37"/>
          <w:sz w:val="28"/>
          <w:szCs w:val="28"/>
          <w:u w:val="single" w:color="000000"/>
        </w:rPr>
        <w:t> </w:t>
      </w:r>
      <w:r>
        <w:rPr>
          <w:rFonts w:ascii="微软雅黑" w:hAnsi="微软雅黑" w:cs="微软雅黑" w:eastAsia="微软雅黑" w:hint="default"/>
          <w:b/>
          <w:bCs/>
          <w:spacing w:val="37"/>
          <w:sz w:val="28"/>
          <w:szCs w:val="28"/>
        </w:rPr>
      </w:r>
      <w:r>
        <w:rPr>
          <w:rFonts w:ascii="微软雅黑" w:hAnsi="微软雅黑" w:cs="微软雅黑" w:eastAsia="微软雅黑" w:hint="default"/>
          <w:b/>
          <w:bCs/>
          <w:sz w:val="28"/>
          <w:szCs w:val="28"/>
        </w:rPr>
        <w:t>声明：保证年度报告中财务报告的真实、准确、完整。</w:t>
      </w:r>
      <w:r>
        <w:rPr>
          <w:rFonts w:ascii="微软雅黑" w:hAnsi="微软雅黑" w:cs="微软雅黑" w:eastAsia="微软雅黑" w:hint="default"/>
          <w:sz w:val="28"/>
          <w:szCs w:val="28"/>
        </w:rPr>
      </w:r>
    </w:p>
    <w:p>
      <w:pPr>
        <w:spacing w:line="309" w:lineRule="auto" w:before="134"/>
        <w:ind w:left="152" w:right="1136" w:firstLine="562"/>
        <w:jc w:val="both"/>
        <w:rPr>
          <w:rFonts w:ascii="微软雅黑" w:hAnsi="微软雅黑" w:cs="微软雅黑" w:eastAsia="微软雅黑" w:hint="default"/>
          <w:sz w:val="28"/>
          <w:szCs w:val="28"/>
        </w:rPr>
      </w:pPr>
      <w:r>
        <w:rPr>
          <w:rFonts w:ascii="微软雅黑" w:hAnsi="微软雅黑" w:cs="微软雅黑" w:eastAsia="微软雅黑" w:hint="default"/>
          <w:b/>
          <w:bCs/>
          <w:spacing w:val="2"/>
          <w:sz w:val="28"/>
          <w:szCs w:val="28"/>
        </w:rPr>
        <w:t>本公司董事会、监事会及其董事、监事、高级管理人员保证本报告所载资</w:t>
      </w:r>
      <w:r>
        <w:rPr>
          <w:rFonts w:ascii="微软雅黑" w:hAnsi="微软雅黑" w:cs="微软雅黑" w:eastAsia="微软雅黑" w:hint="default"/>
          <w:b/>
          <w:bCs/>
          <w:w w:val="100"/>
          <w:sz w:val="28"/>
          <w:szCs w:val="28"/>
        </w:rPr>
        <w:t> </w:t>
      </w:r>
      <w:r>
        <w:rPr>
          <w:rFonts w:ascii="微软雅黑" w:hAnsi="微软雅黑" w:cs="微软雅黑" w:eastAsia="微软雅黑" w:hint="default"/>
          <w:b/>
          <w:bCs/>
          <w:spacing w:val="2"/>
          <w:sz w:val="28"/>
          <w:szCs w:val="28"/>
        </w:rPr>
        <w:t>料不存在任何虚假记载、误导性陈述或者重大遗漏，并对其内容的真实性、准</w:t>
      </w:r>
      <w:r>
        <w:rPr>
          <w:rFonts w:ascii="微软雅黑" w:hAnsi="微软雅黑" w:cs="微软雅黑" w:eastAsia="微软雅黑" w:hint="default"/>
          <w:b/>
          <w:bCs/>
          <w:spacing w:val="-46"/>
          <w:sz w:val="28"/>
          <w:szCs w:val="28"/>
        </w:rPr>
        <w:t> </w:t>
      </w:r>
      <w:r>
        <w:rPr>
          <w:rFonts w:ascii="微软雅黑" w:hAnsi="微软雅黑" w:cs="微软雅黑" w:eastAsia="微软雅黑" w:hint="default"/>
          <w:b/>
          <w:bCs/>
          <w:spacing w:val="-46"/>
          <w:sz w:val="28"/>
          <w:szCs w:val="28"/>
        </w:rPr>
      </w:r>
      <w:r>
        <w:rPr>
          <w:rFonts w:ascii="微软雅黑" w:hAnsi="微软雅黑" w:cs="微软雅黑" w:eastAsia="微软雅黑" w:hint="default"/>
          <w:b/>
          <w:bCs/>
          <w:spacing w:val="2"/>
          <w:sz w:val="28"/>
          <w:szCs w:val="28"/>
        </w:rPr>
        <w:t>确性和完整性负个别及连带责任。本年度报告摘要摘自年度报告全文，报告全</w:t>
      </w:r>
      <w:r>
        <w:rPr>
          <w:rFonts w:ascii="微软雅黑" w:hAnsi="微软雅黑" w:cs="微软雅黑" w:eastAsia="微软雅黑" w:hint="default"/>
          <w:b/>
          <w:bCs/>
          <w:spacing w:val="-51"/>
          <w:sz w:val="28"/>
          <w:szCs w:val="28"/>
        </w:rPr>
        <w:t> </w:t>
      </w:r>
      <w:r>
        <w:rPr>
          <w:rFonts w:ascii="微软雅黑" w:hAnsi="微软雅黑" w:cs="微软雅黑" w:eastAsia="微软雅黑" w:hint="default"/>
          <w:b/>
          <w:bCs/>
          <w:spacing w:val="-51"/>
          <w:sz w:val="28"/>
          <w:szCs w:val="28"/>
        </w:rPr>
      </w:r>
      <w:r>
        <w:rPr>
          <w:rFonts w:ascii="微软雅黑" w:hAnsi="微软雅黑" w:cs="微软雅黑" w:eastAsia="微软雅黑" w:hint="default"/>
          <w:b/>
          <w:bCs/>
          <w:spacing w:val="4"/>
          <w:w w:val="100"/>
          <w:sz w:val="28"/>
          <w:szCs w:val="28"/>
        </w:rPr>
        <w:t>文</w:t>
      </w:r>
      <w:r>
        <w:rPr>
          <w:rFonts w:ascii="微软雅黑" w:hAnsi="微软雅黑" w:cs="微软雅黑" w:eastAsia="微软雅黑" w:hint="default"/>
          <w:b/>
          <w:bCs/>
          <w:spacing w:val="2"/>
          <w:w w:val="100"/>
          <w:sz w:val="28"/>
          <w:szCs w:val="28"/>
        </w:rPr>
        <w:t>同时刊</w:t>
      </w:r>
      <w:r>
        <w:rPr>
          <w:rFonts w:ascii="微软雅黑" w:hAnsi="微软雅黑" w:cs="微软雅黑" w:eastAsia="微软雅黑" w:hint="default"/>
          <w:b/>
          <w:bCs/>
          <w:spacing w:val="4"/>
          <w:w w:val="100"/>
          <w:sz w:val="28"/>
          <w:szCs w:val="28"/>
        </w:rPr>
        <w:t>载</w:t>
      </w:r>
      <w:r>
        <w:rPr>
          <w:rFonts w:ascii="微软雅黑" w:hAnsi="微软雅黑" w:cs="微软雅黑" w:eastAsia="微软雅黑" w:hint="default"/>
          <w:b/>
          <w:bCs/>
          <w:spacing w:val="2"/>
          <w:w w:val="100"/>
          <w:sz w:val="28"/>
          <w:szCs w:val="28"/>
        </w:rPr>
        <w:t>于巨潮</w:t>
      </w:r>
      <w:r>
        <w:rPr>
          <w:rFonts w:ascii="微软雅黑" w:hAnsi="微软雅黑" w:cs="微软雅黑" w:eastAsia="微软雅黑" w:hint="default"/>
          <w:b/>
          <w:bCs/>
          <w:spacing w:val="4"/>
          <w:w w:val="100"/>
          <w:sz w:val="28"/>
          <w:szCs w:val="28"/>
        </w:rPr>
        <w:t>资</w:t>
      </w:r>
      <w:r>
        <w:rPr>
          <w:rFonts w:ascii="微软雅黑" w:hAnsi="微软雅黑" w:cs="微软雅黑" w:eastAsia="微软雅黑" w:hint="default"/>
          <w:b/>
          <w:bCs/>
          <w:spacing w:val="2"/>
          <w:w w:val="100"/>
          <w:sz w:val="28"/>
          <w:szCs w:val="28"/>
        </w:rPr>
        <w:t>讯网</w:t>
      </w:r>
      <w:r>
        <w:rPr>
          <w:rFonts w:ascii="微软雅黑" w:hAnsi="微软雅黑" w:cs="微软雅黑" w:eastAsia="微软雅黑" w:hint="default"/>
          <w:b/>
          <w:bCs/>
          <w:spacing w:val="7"/>
          <w:w w:val="100"/>
          <w:sz w:val="28"/>
          <w:szCs w:val="28"/>
        </w:rPr>
        <w:t>（</w:t>
      </w:r>
      <w:hyperlink r:id="rId8">
        <w:r>
          <w:rPr>
            <w:rFonts w:ascii="Arial" w:hAnsi="Arial" w:cs="Arial" w:eastAsia="Arial" w:hint="default"/>
            <w:b/>
            <w:bCs/>
            <w:w w:val="64"/>
            <w:sz w:val="28"/>
            <w:szCs w:val="28"/>
          </w:rPr>
          <w:t>w</w:t>
        </w:r>
        <w:r>
          <w:rPr>
            <w:rFonts w:ascii="Arial" w:hAnsi="Arial" w:cs="Arial" w:eastAsia="Arial" w:hint="default"/>
            <w:b/>
            <w:bCs/>
            <w:spacing w:val="-2"/>
            <w:w w:val="64"/>
            <w:sz w:val="28"/>
            <w:szCs w:val="28"/>
          </w:rPr>
          <w:t>w</w:t>
        </w:r>
        <w:r>
          <w:rPr>
            <w:rFonts w:ascii="Arial" w:hAnsi="Arial" w:cs="Arial" w:eastAsia="Arial" w:hint="default"/>
            <w:b/>
            <w:bCs/>
            <w:w w:val="64"/>
            <w:sz w:val="28"/>
            <w:szCs w:val="28"/>
          </w:rPr>
          <w:t>w</w:t>
        </w:r>
        <w:r>
          <w:rPr>
            <w:rFonts w:ascii="Arial" w:hAnsi="Arial" w:cs="Arial" w:eastAsia="Arial" w:hint="default"/>
            <w:b/>
            <w:bCs/>
            <w:w w:val="180"/>
            <w:sz w:val="28"/>
            <w:szCs w:val="28"/>
          </w:rPr>
          <w:t>.</w:t>
        </w:r>
        <w:r>
          <w:rPr>
            <w:rFonts w:ascii="Arial" w:hAnsi="Arial" w:cs="Arial" w:eastAsia="Arial" w:hint="default"/>
            <w:b/>
            <w:bCs/>
            <w:w w:val="90"/>
            <w:sz w:val="28"/>
            <w:szCs w:val="28"/>
          </w:rPr>
          <w:t>c</w:t>
        </w:r>
        <w:r>
          <w:rPr>
            <w:rFonts w:ascii="Arial" w:hAnsi="Arial" w:cs="Arial" w:eastAsia="Arial" w:hint="default"/>
            <w:b/>
            <w:bCs/>
            <w:w w:val="82"/>
            <w:sz w:val="28"/>
            <w:szCs w:val="28"/>
          </w:rPr>
          <w:t>n</w:t>
        </w:r>
        <w:r>
          <w:rPr>
            <w:rFonts w:ascii="Arial" w:hAnsi="Arial" w:cs="Arial" w:eastAsia="Arial" w:hint="default"/>
            <w:b/>
            <w:bCs/>
            <w:spacing w:val="-2"/>
            <w:w w:val="180"/>
            <w:sz w:val="28"/>
            <w:szCs w:val="28"/>
          </w:rPr>
          <w:t>i</w:t>
        </w:r>
        <w:r>
          <w:rPr>
            <w:rFonts w:ascii="Arial" w:hAnsi="Arial" w:cs="Arial" w:eastAsia="Arial" w:hint="default"/>
            <w:b/>
            <w:bCs/>
            <w:w w:val="82"/>
            <w:sz w:val="28"/>
            <w:szCs w:val="28"/>
          </w:rPr>
          <w:t>n</w:t>
        </w:r>
        <w:r>
          <w:rPr>
            <w:rFonts w:ascii="Arial" w:hAnsi="Arial" w:cs="Arial" w:eastAsia="Arial" w:hint="default"/>
            <w:b/>
            <w:bCs/>
            <w:spacing w:val="-2"/>
            <w:w w:val="150"/>
            <w:sz w:val="28"/>
            <w:szCs w:val="28"/>
          </w:rPr>
          <w:t>f</w:t>
        </w:r>
        <w:r>
          <w:rPr>
            <w:rFonts w:ascii="Arial" w:hAnsi="Arial" w:cs="Arial" w:eastAsia="Arial" w:hint="default"/>
            <w:b/>
            <w:bCs/>
            <w:w w:val="82"/>
            <w:sz w:val="28"/>
            <w:szCs w:val="28"/>
          </w:rPr>
          <w:t>o</w:t>
        </w:r>
        <w:r>
          <w:rPr>
            <w:rFonts w:ascii="Arial" w:hAnsi="Arial" w:cs="Arial" w:eastAsia="Arial" w:hint="default"/>
            <w:b/>
            <w:bCs/>
            <w:w w:val="180"/>
            <w:sz w:val="28"/>
            <w:szCs w:val="28"/>
          </w:rPr>
          <w:t>.</w:t>
        </w:r>
        <w:r>
          <w:rPr>
            <w:rFonts w:ascii="Arial" w:hAnsi="Arial" w:cs="Arial" w:eastAsia="Arial" w:hint="default"/>
            <w:b/>
            <w:bCs/>
            <w:w w:val="90"/>
            <w:sz w:val="28"/>
            <w:szCs w:val="28"/>
          </w:rPr>
          <w:t>c</w:t>
        </w:r>
        <w:r>
          <w:rPr>
            <w:rFonts w:ascii="Arial" w:hAnsi="Arial" w:cs="Arial" w:eastAsia="Arial" w:hint="default"/>
            <w:b/>
            <w:bCs/>
            <w:w w:val="82"/>
            <w:sz w:val="28"/>
            <w:szCs w:val="28"/>
          </w:rPr>
          <w:t>o</w:t>
        </w:r>
        <w:r>
          <w:rPr>
            <w:rFonts w:ascii="Arial" w:hAnsi="Arial" w:cs="Arial" w:eastAsia="Arial" w:hint="default"/>
            <w:b/>
            <w:bCs/>
            <w:w w:val="56"/>
            <w:sz w:val="28"/>
            <w:szCs w:val="28"/>
          </w:rPr>
          <w:t>m</w:t>
        </w:r>
        <w:r>
          <w:rPr>
            <w:rFonts w:ascii="Arial" w:hAnsi="Arial" w:cs="Arial" w:eastAsia="Arial" w:hint="default"/>
            <w:b/>
            <w:bCs/>
            <w:w w:val="180"/>
            <w:sz w:val="28"/>
            <w:szCs w:val="28"/>
          </w:rPr>
          <w:t>.</w:t>
        </w:r>
        <w:r>
          <w:rPr>
            <w:rFonts w:ascii="Arial" w:hAnsi="Arial" w:cs="Arial" w:eastAsia="Arial" w:hint="default"/>
            <w:b/>
            <w:bCs/>
            <w:spacing w:val="-2"/>
            <w:w w:val="90"/>
            <w:sz w:val="28"/>
            <w:szCs w:val="28"/>
          </w:rPr>
          <w:t>c</w:t>
        </w:r>
        <w:r>
          <w:rPr>
            <w:rFonts w:ascii="Arial" w:hAnsi="Arial" w:cs="Arial" w:eastAsia="Arial" w:hint="default"/>
            <w:b/>
            <w:bCs/>
            <w:spacing w:val="5"/>
            <w:w w:val="82"/>
            <w:sz w:val="28"/>
            <w:szCs w:val="28"/>
          </w:rPr>
          <w:t>n</w:t>
        </w:r>
      </w:hyperlink>
      <w:r>
        <w:rPr>
          <w:rFonts w:ascii="微软雅黑" w:hAnsi="微软雅黑" w:cs="微软雅黑" w:eastAsia="微软雅黑" w:hint="default"/>
          <w:b/>
          <w:bCs/>
          <w:spacing w:val="-137"/>
          <w:w w:val="100"/>
          <w:sz w:val="28"/>
          <w:szCs w:val="28"/>
        </w:rPr>
        <w:t>）</w:t>
      </w:r>
      <w:r>
        <w:rPr>
          <w:rFonts w:ascii="微软雅黑" w:hAnsi="微软雅黑" w:cs="微软雅黑" w:eastAsia="微软雅黑" w:hint="default"/>
          <w:b/>
          <w:bCs/>
          <w:spacing w:val="4"/>
          <w:w w:val="100"/>
          <w:sz w:val="28"/>
          <w:szCs w:val="28"/>
        </w:rPr>
        <w:t>。</w:t>
      </w:r>
      <w:r>
        <w:rPr>
          <w:rFonts w:ascii="微软雅黑" w:hAnsi="微软雅黑" w:cs="微软雅黑" w:eastAsia="微软雅黑" w:hint="default"/>
          <w:b/>
          <w:bCs/>
          <w:spacing w:val="2"/>
          <w:w w:val="100"/>
          <w:sz w:val="28"/>
          <w:szCs w:val="28"/>
        </w:rPr>
        <w:t>投资者</w:t>
      </w:r>
      <w:r>
        <w:rPr>
          <w:rFonts w:ascii="微软雅黑" w:hAnsi="微软雅黑" w:cs="微软雅黑" w:eastAsia="微软雅黑" w:hint="default"/>
          <w:b/>
          <w:bCs/>
          <w:spacing w:val="4"/>
          <w:w w:val="100"/>
          <w:sz w:val="28"/>
          <w:szCs w:val="28"/>
        </w:rPr>
        <w:t>欲</w:t>
      </w:r>
      <w:r>
        <w:rPr>
          <w:rFonts w:ascii="微软雅黑" w:hAnsi="微软雅黑" w:cs="微软雅黑" w:eastAsia="微软雅黑" w:hint="default"/>
          <w:b/>
          <w:bCs/>
          <w:spacing w:val="2"/>
          <w:w w:val="100"/>
          <w:sz w:val="28"/>
          <w:szCs w:val="28"/>
        </w:rPr>
        <w:t>了解详</w:t>
      </w:r>
      <w:r>
        <w:rPr>
          <w:rFonts w:ascii="微软雅黑" w:hAnsi="微软雅黑" w:cs="微软雅黑" w:eastAsia="微软雅黑" w:hint="default"/>
          <w:b/>
          <w:bCs/>
          <w:spacing w:val="4"/>
          <w:w w:val="100"/>
          <w:sz w:val="28"/>
          <w:szCs w:val="28"/>
        </w:rPr>
        <w:t>细</w:t>
      </w:r>
      <w:r>
        <w:rPr>
          <w:rFonts w:ascii="微软雅黑" w:hAnsi="微软雅黑" w:cs="微软雅黑" w:eastAsia="微软雅黑" w:hint="default"/>
          <w:b/>
          <w:bCs/>
          <w:spacing w:val="2"/>
          <w:w w:val="100"/>
          <w:sz w:val="28"/>
          <w:szCs w:val="28"/>
        </w:rPr>
        <w:t>内容，</w:t>
      </w:r>
      <w:r>
        <w:rPr>
          <w:rFonts w:ascii="微软雅黑" w:hAnsi="微软雅黑" w:cs="微软雅黑" w:eastAsia="微软雅黑" w:hint="default"/>
          <w:b/>
          <w:bCs/>
          <w:w w:val="100"/>
          <w:sz w:val="28"/>
          <w:szCs w:val="28"/>
        </w:rPr>
        <w:t>应</w:t>
      </w:r>
      <w:r>
        <w:rPr>
          <w:rFonts w:ascii="微软雅黑" w:hAnsi="微软雅黑" w:cs="微软雅黑" w:eastAsia="微软雅黑" w:hint="default"/>
          <w:b/>
          <w:bCs/>
          <w:w w:val="100"/>
          <w:sz w:val="28"/>
          <w:szCs w:val="28"/>
        </w:rPr>
        <w:t> </w:t>
      </w:r>
      <w:r>
        <w:rPr>
          <w:rFonts w:ascii="微软雅黑" w:hAnsi="微软雅黑" w:cs="微软雅黑" w:eastAsia="微软雅黑" w:hint="default"/>
          <w:b/>
          <w:bCs/>
          <w:sz w:val="28"/>
          <w:szCs w:val="28"/>
        </w:rPr>
        <w:t>当仔细阅读年度报告全文。</w:t>
      </w:r>
      <w:r>
        <w:rPr>
          <w:rFonts w:ascii="微软雅黑" w:hAnsi="微软雅黑" w:cs="微软雅黑" w:eastAsia="微软雅黑" w:hint="default"/>
          <w:sz w:val="28"/>
          <w:szCs w:val="28"/>
        </w:rPr>
      </w:r>
    </w:p>
    <w:p>
      <w:pPr>
        <w:spacing w:before="131"/>
        <w:ind w:left="714"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除下列董事外，其他董事亲自出席了审议本次年报的董事会会议</w:t>
      </w:r>
      <w:r>
        <w:rPr>
          <w:rFonts w:ascii="微软雅黑" w:hAnsi="微软雅黑" w:cs="微软雅黑" w:eastAsia="微软雅黑" w:hint="default"/>
          <w:sz w:val="28"/>
          <w:szCs w:val="28"/>
        </w:rPr>
      </w:r>
    </w:p>
    <w:p>
      <w:pPr>
        <w:spacing w:line="240" w:lineRule="auto" w:before="14"/>
        <w:rPr>
          <w:rFonts w:ascii="微软雅黑" w:hAnsi="微软雅黑" w:cs="微软雅黑" w:eastAsia="微软雅黑"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7"/>
        <w:rPr>
          <w:rFonts w:ascii="微软雅黑" w:hAnsi="微软雅黑" w:cs="微软雅黑" w:eastAsia="微软雅黑" w:hint="default"/>
          <w:b/>
          <w:bCs/>
          <w:sz w:val="9"/>
          <w:szCs w:val="9"/>
        </w:rPr>
      </w:pPr>
    </w:p>
    <w:p>
      <w:pPr>
        <w:spacing w:line="415" w:lineRule="exact" w:before="0"/>
        <w:ind w:left="714"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公司计划不派发现金红利，不送红股，不以公积金转增股本。</w:t>
      </w:r>
      <w:r>
        <w:rPr>
          <w:rFonts w:ascii="微软雅黑" w:hAnsi="微软雅黑" w:cs="微软雅黑" w:eastAsia="微软雅黑" w:hint="default"/>
          <w:sz w:val="28"/>
          <w:szCs w:val="28"/>
        </w:rPr>
      </w:r>
    </w:p>
    <w:p>
      <w:pPr>
        <w:spacing w:line="309" w:lineRule="auto" w:before="239"/>
        <w:ind w:left="152" w:right="0" w:firstLine="562"/>
        <w:jc w:val="left"/>
        <w:rPr>
          <w:rFonts w:ascii="微软雅黑" w:hAnsi="微软雅黑" w:cs="微软雅黑" w:eastAsia="微软雅黑" w:hint="default"/>
          <w:sz w:val="28"/>
          <w:szCs w:val="28"/>
        </w:rPr>
      </w:pPr>
      <w:r>
        <w:rPr>
          <w:rFonts w:ascii="微软雅黑" w:hAnsi="微软雅黑" w:cs="微软雅黑" w:eastAsia="微软雅黑" w:hint="default"/>
          <w:b/>
          <w:bCs/>
          <w:spacing w:val="-2"/>
          <w:sz w:val="28"/>
          <w:szCs w:val="28"/>
        </w:rPr>
        <w:t>本年度报告涉及未来计划等前瞻性陈述，不构成公司对投资者的实质承诺，</w:t>
      </w:r>
      <w:r>
        <w:rPr>
          <w:rFonts w:ascii="微软雅黑" w:hAnsi="微软雅黑" w:cs="微软雅黑" w:eastAsia="微软雅黑" w:hint="default"/>
          <w:b/>
          <w:bCs/>
          <w:w w:val="100"/>
          <w:sz w:val="28"/>
          <w:szCs w:val="28"/>
        </w:rPr>
        <w:t> </w:t>
      </w:r>
      <w:r>
        <w:rPr>
          <w:rFonts w:ascii="微软雅黑" w:hAnsi="微软雅黑" w:cs="微软雅黑" w:eastAsia="微软雅黑" w:hint="default"/>
          <w:b/>
          <w:bCs/>
          <w:sz w:val="28"/>
          <w:szCs w:val="28"/>
        </w:rPr>
        <w:t>请投资者注意投资风险。</w:t>
      </w:r>
      <w:r>
        <w:rPr>
          <w:rFonts w:ascii="微软雅黑" w:hAnsi="微软雅黑" w:cs="微软雅黑" w:eastAsia="微软雅黑" w:hint="default"/>
          <w:sz w:val="28"/>
          <w:szCs w:val="28"/>
        </w:rPr>
      </w:r>
    </w:p>
    <w:p>
      <w:pPr>
        <w:spacing w:after="0" w:line="309" w:lineRule="auto"/>
        <w:jc w:val="left"/>
        <w:rPr>
          <w:rFonts w:ascii="微软雅黑" w:hAnsi="微软雅黑" w:cs="微软雅黑" w:eastAsia="微软雅黑" w:hint="default"/>
          <w:sz w:val="28"/>
          <w:szCs w:val="28"/>
        </w:rPr>
        <w:sectPr>
          <w:footerReference w:type="default" r:id="rId7"/>
          <w:pgSz w:w="11910" w:h="16840"/>
          <w:pgMar w:footer="1340" w:header="745" w:top="1060" w:bottom="1540" w:left="980" w:right="0"/>
          <w:pgNumType w:start="2"/>
        </w:sectPr>
      </w:pPr>
    </w:p>
    <w:p>
      <w:pPr>
        <w:spacing w:line="240" w:lineRule="auto" w:before="2"/>
        <w:rPr>
          <w:rFonts w:ascii="微软雅黑" w:hAnsi="微软雅黑" w:cs="微软雅黑" w:eastAsia="微软雅黑" w:hint="default"/>
          <w:b/>
          <w:bCs/>
          <w:sz w:val="2"/>
          <w:szCs w:val="2"/>
        </w:rPr>
      </w:pPr>
    </w:p>
    <w:p>
      <w:pPr>
        <w:spacing w:line="20" w:lineRule="exact"/>
        <w:ind w:left="116" w:right="0" w:firstLine="0"/>
        <w:rPr>
          <w:rFonts w:ascii="微软雅黑" w:hAnsi="微软雅黑" w:cs="微软雅黑" w:eastAsia="微软雅黑" w:hint="default"/>
          <w:sz w:val="2"/>
          <w:szCs w:val="2"/>
        </w:rPr>
      </w:pPr>
      <w:r>
        <w:rPr>
          <w:rFonts w:ascii="微软雅黑" w:hAnsi="微软雅黑" w:cs="微软雅黑" w:eastAsia="微软雅黑"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微软雅黑" w:hAnsi="微软雅黑" w:cs="微软雅黑" w:eastAsia="微软雅黑" w:hint="default"/>
          <w:sz w:val="2"/>
          <w:szCs w:val="2"/>
        </w:rPr>
      </w: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9"/>
        <w:rPr>
          <w:rFonts w:ascii="微软雅黑" w:hAnsi="微软雅黑" w:cs="微软雅黑" w:eastAsia="微软雅黑" w:hint="default"/>
          <w:b/>
          <w:bCs/>
          <w:sz w:val="15"/>
          <w:szCs w:val="15"/>
        </w:rPr>
      </w:pPr>
    </w:p>
    <w:p>
      <w:pPr>
        <w:tabs>
          <w:tab w:pos="904" w:val="left" w:leader="none"/>
        </w:tabs>
        <w:spacing w:line="504" w:lineRule="exact" w:before="0"/>
        <w:ind w:left="0" w:right="980" w:firstLine="0"/>
        <w:jc w:val="center"/>
        <w:rPr>
          <w:rFonts w:ascii="微软雅黑" w:hAnsi="微软雅黑" w:cs="微软雅黑" w:eastAsia="微软雅黑" w:hint="default"/>
          <w:sz w:val="36"/>
          <w:szCs w:val="36"/>
        </w:rPr>
      </w:pPr>
      <w:r>
        <w:rPr>
          <w:rFonts w:ascii="微软雅黑" w:hAnsi="微软雅黑" w:cs="微软雅黑" w:eastAsia="微软雅黑" w:hint="default"/>
          <w:b/>
          <w:bCs/>
          <w:sz w:val="36"/>
          <w:szCs w:val="36"/>
        </w:rPr>
        <w:t>目</w:t>
        <w:tab/>
        <w:t>录</w:t>
      </w:r>
      <w:r>
        <w:rPr>
          <w:rFonts w:ascii="微软雅黑" w:hAnsi="微软雅黑" w:cs="微软雅黑" w:eastAsia="微软雅黑" w:hint="default"/>
          <w:sz w:val="36"/>
          <w:szCs w:val="36"/>
        </w:rPr>
      </w:r>
    </w:p>
    <w:p>
      <w:pPr>
        <w:spacing w:line="240" w:lineRule="auto" w:before="0"/>
        <w:rPr>
          <w:rFonts w:ascii="微软雅黑" w:hAnsi="微软雅黑" w:cs="微软雅黑" w:eastAsia="微软雅黑" w:hint="default"/>
          <w:b/>
          <w:bCs/>
          <w:sz w:val="36"/>
          <w:szCs w:val="36"/>
        </w:rPr>
      </w:pPr>
    </w:p>
    <w:p>
      <w:pPr>
        <w:spacing w:line="240" w:lineRule="auto" w:before="14"/>
        <w:rPr>
          <w:rFonts w:ascii="微软雅黑" w:hAnsi="微软雅黑" w:cs="微软雅黑" w:eastAsia="微软雅黑" w:hint="default"/>
          <w:b/>
          <w:bCs/>
          <w:sz w:val="53"/>
          <w:szCs w:val="53"/>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Arial" w:hAnsi="Arial" w:cs="Arial" w:eastAsia="Arial" w:hint="default"/>
              <w:b w:val="0"/>
              <w:bCs w:val="0"/>
            </w:rPr>
          </w:pPr>
          <w:hyperlink w:history="true" w:anchor="_TOC_250000">
            <w:r>
              <w:rPr>
                <w:rFonts w:ascii="Arial" w:hAnsi="Arial" w:cs="Arial" w:eastAsia="Arial" w:hint="default"/>
              </w:rPr>
              <w:t>2012</w:t>
            </w:r>
            <w:r>
              <w:rPr>
                <w:rFonts w:ascii="Arial" w:hAnsi="Arial" w:cs="Arial" w:eastAsia="Arial" w:hint="default"/>
                <w:spacing w:val="-7"/>
              </w:rPr>
              <w:t> </w:t>
            </w:r>
            <w:r>
              <w:rPr/>
              <w:t>年度报告</w:t>
            </w:r>
            <w:r>
              <w:rPr>
                <w:rFonts w:ascii="Arial" w:hAnsi="Arial" w:cs="Arial" w:eastAsia="Arial" w:hint="default"/>
              </w:rPr>
              <w:tab/>
              <w:t>2</w:t>
            </w:r>
            <w:r>
              <w:rPr>
                <w:rFonts w:ascii="Arial" w:hAnsi="Arial" w:cs="Arial" w:eastAsia="Arial" w:hint="default"/>
                <w:b w:val="0"/>
                <w:bCs w:val="0"/>
              </w:rPr>
            </w:r>
          </w:hyperlink>
        </w:p>
        <w:p>
          <w:pPr>
            <w:pStyle w:val="TOC1"/>
            <w:tabs>
              <w:tab w:pos="9783" w:val="right" w:leader="dot"/>
            </w:tabs>
            <w:spacing w:line="240" w:lineRule="auto" w:before="287"/>
            <w:ind w:right="0"/>
            <w:jc w:val="left"/>
            <w:rPr>
              <w:rFonts w:ascii="Arial" w:hAnsi="Arial" w:cs="Arial" w:eastAsia="Arial" w:hint="default"/>
              <w:b w:val="0"/>
              <w:bCs w:val="0"/>
            </w:rPr>
          </w:pPr>
          <w:r>
            <w:rPr/>
            <w:t>一、重要提示、目录和释义</w:t>
          </w:r>
          <w:r>
            <w:rPr>
              <w:rFonts w:ascii="Arial" w:hAnsi="Arial" w:cs="Arial" w:eastAsia="Arial" w:hint="default"/>
            </w:rPr>
            <w:tab/>
            <w:t>4</w:t>
          </w:r>
          <w:r>
            <w:rPr>
              <w:rFonts w:ascii="Arial" w:hAnsi="Arial" w:cs="Arial" w:eastAsia="Arial" w:hint="default"/>
              <w:b w:val="0"/>
              <w:bCs w:val="0"/>
            </w:rPr>
          </w:r>
        </w:p>
        <w:p>
          <w:pPr>
            <w:pStyle w:val="TOC1"/>
            <w:tabs>
              <w:tab w:pos="9783" w:val="right" w:leader="dot"/>
            </w:tabs>
            <w:spacing w:line="240" w:lineRule="auto" w:before="284"/>
            <w:ind w:right="0"/>
            <w:jc w:val="left"/>
            <w:rPr>
              <w:rFonts w:ascii="Arial" w:hAnsi="Arial" w:cs="Arial" w:eastAsia="Arial" w:hint="default"/>
              <w:b w:val="0"/>
              <w:bCs w:val="0"/>
            </w:rPr>
          </w:pPr>
          <w:r>
            <w:rPr/>
            <w:t>二、公司简介</w:t>
          </w:r>
          <w:r>
            <w:rPr>
              <w:rFonts w:ascii="Arial" w:hAnsi="Arial" w:cs="Arial" w:eastAsia="Arial" w:hint="default"/>
            </w:rPr>
            <w:tab/>
            <w:t>5</w:t>
          </w:r>
          <w:r>
            <w:rPr>
              <w:rFonts w:ascii="Arial" w:hAnsi="Arial" w:cs="Arial" w:eastAsia="Arial" w:hint="default"/>
              <w:b w:val="0"/>
              <w:bCs w:val="0"/>
            </w:rPr>
          </w:r>
        </w:p>
        <w:p>
          <w:pPr>
            <w:pStyle w:val="TOC1"/>
            <w:tabs>
              <w:tab w:pos="9783" w:val="right" w:leader="dot"/>
            </w:tabs>
            <w:spacing w:line="240" w:lineRule="auto"/>
            <w:ind w:right="0"/>
            <w:jc w:val="left"/>
            <w:rPr>
              <w:rFonts w:ascii="Arial" w:hAnsi="Arial" w:cs="Arial" w:eastAsia="Arial" w:hint="default"/>
              <w:b w:val="0"/>
              <w:bCs w:val="0"/>
            </w:rPr>
          </w:pPr>
          <w:r>
            <w:rPr/>
            <w:t>三、会计数据和财务指标摘要</w:t>
          </w:r>
          <w:r>
            <w:rPr>
              <w:rFonts w:ascii="Arial" w:hAnsi="Arial" w:cs="Arial" w:eastAsia="Arial" w:hint="default"/>
            </w:rPr>
            <w:tab/>
            <w:t>7</w:t>
          </w:r>
          <w:r>
            <w:rPr>
              <w:rFonts w:ascii="Arial" w:hAnsi="Arial" w:cs="Arial" w:eastAsia="Arial" w:hint="default"/>
              <w:b w:val="0"/>
              <w:bCs w:val="0"/>
            </w:rPr>
          </w:r>
        </w:p>
        <w:p>
          <w:pPr>
            <w:pStyle w:val="TOC1"/>
            <w:tabs>
              <w:tab w:pos="9783" w:val="right" w:leader="dot"/>
            </w:tabs>
            <w:spacing w:line="240" w:lineRule="auto"/>
            <w:ind w:right="0"/>
            <w:jc w:val="left"/>
            <w:rPr>
              <w:rFonts w:ascii="Arial" w:hAnsi="Arial" w:cs="Arial" w:eastAsia="Arial" w:hint="default"/>
              <w:b w:val="0"/>
              <w:bCs w:val="0"/>
            </w:rPr>
          </w:pPr>
          <w:r>
            <w:rPr/>
            <w:t>四、董事会报告</w:t>
          </w:r>
          <w:r>
            <w:rPr>
              <w:rFonts w:ascii="Arial" w:hAnsi="Arial" w:cs="Arial" w:eastAsia="Arial" w:hint="default"/>
            </w:rPr>
            <w:tab/>
            <w:t>9</w:t>
          </w:r>
          <w:r>
            <w:rPr>
              <w:rFonts w:ascii="Arial" w:hAnsi="Arial" w:cs="Arial" w:eastAsia="Arial" w:hint="default"/>
              <w:b w:val="0"/>
              <w:bCs w:val="0"/>
            </w:rPr>
          </w:r>
        </w:p>
        <w:p>
          <w:pPr>
            <w:pStyle w:val="TOC1"/>
            <w:tabs>
              <w:tab w:pos="9785" w:val="right" w:leader="dot"/>
            </w:tabs>
            <w:spacing w:line="240" w:lineRule="auto" w:before="284"/>
            <w:ind w:right="0"/>
            <w:jc w:val="left"/>
            <w:rPr>
              <w:rFonts w:ascii="Arial" w:hAnsi="Arial" w:cs="Arial" w:eastAsia="Arial" w:hint="default"/>
              <w:b w:val="0"/>
              <w:bCs w:val="0"/>
            </w:rPr>
          </w:pPr>
          <w:r>
            <w:rPr/>
            <w:t>五、重要事项</w:t>
          </w:r>
          <w:r>
            <w:rPr>
              <w:rFonts w:ascii="Arial" w:hAnsi="Arial" w:cs="Arial" w:eastAsia="Arial" w:hint="default"/>
            </w:rPr>
            <w:tab/>
            <w:t>27</w:t>
          </w:r>
          <w:r>
            <w:rPr>
              <w:rFonts w:ascii="Arial" w:hAnsi="Arial" w:cs="Arial" w:eastAsia="Arial" w:hint="default"/>
              <w:b w:val="0"/>
              <w:bCs w:val="0"/>
            </w:rPr>
          </w:r>
        </w:p>
        <w:p>
          <w:pPr>
            <w:pStyle w:val="TOC1"/>
            <w:tabs>
              <w:tab w:pos="9785" w:val="right" w:leader="dot"/>
            </w:tabs>
            <w:spacing w:line="240" w:lineRule="auto"/>
            <w:ind w:right="0"/>
            <w:jc w:val="left"/>
            <w:rPr>
              <w:rFonts w:ascii="Arial" w:hAnsi="Arial" w:cs="Arial" w:eastAsia="Arial" w:hint="default"/>
              <w:b w:val="0"/>
              <w:bCs w:val="0"/>
            </w:rPr>
          </w:pPr>
          <w:r>
            <w:rPr/>
            <w:t>六、股份变动及股东情况</w:t>
          </w:r>
          <w:r>
            <w:rPr>
              <w:rFonts w:ascii="Arial" w:hAnsi="Arial" w:cs="Arial" w:eastAsia="Arial" w:hint="default"/>
            </w:rPr>
            <w:tab/>
            <w:t>27</w:t>
          </w:r>
          <w:r>
            <w:rPr>
              <w:rFonts w:ascii="Arial" w:hAnsi="Arial" w:cs="Arial" w:eastAsia="Arial" w:hint="default"/>
              <w:b w:val="0"/>
              <w:bCs w:val="0"/>
            </w:rPr>
          </w:r>
        </w:p>
        <w:p>
          <w:pPr>
            <w:pStyle w:val="TOC1"/>
            <w:tabs>
              <w:tab w:pos="9785" w:val="right" w:leader="dot"/>
            </w:tabs>
            <w:spacing w:line="240" w:lineRule="auto"/>
            <w:ind w:right="0"/>
            <w:jc w:val="left"/>
            <w:rPr>
              <w:rFonts w:ascii="Arial" w:hAnsi="Arial" w:cs="Arial" w:eastAsia="Arial" w:hint="default"/>
              <w:b w:val="0"/>
              <w:bCs w:val="0"/>
            </w:rPr>
          </w:pPr>
          <w:r>
            <w:rPr/>
            <w:t>七、董事、监事、高级管理人员和员工情况</w:t>
          </w:r>
          <w:r>
            <w:rPr>
              <w:rFonts w:ascii="Arial" w:hAnsi="Arial" w:cs="Arial" w:eastAsia="Arial" w:hint="default"/>
            </w:rPr>
            <w:tab/>
            <w:t>37</w:t>
          </w:r>
          <w:r>
            <w:rPr>
              <w:rFonts w:ascii="Arial" w:hAnsi="Arial" w:cs="Arial" w:eastAsia="Arial" w:hint="default"/>
              <w:b w:val="0"/>
              <w:bCs w:val="0"/>
            </w:rPr>
          </w:r>
        </w:p>
        <w:p>
          <w:pPr>
            <w:pStyle w:val="TOC1"/>
            <w:tabs>
              <w:tab w:pos="9785" w:val="right" w:leader="dot"/>
            </w:tabs>
            <w:spacing w:line="240" w:lineRule="auto" w:before="284"/>
            <w:ind w:right="0"/>
            <w:jc w:val="left"/>
            <w:rPr>
              <w:rFonts w:ascii="Arial" w:hAnsi="Arial" w:cs="Arial" w:eastAsia="Arial" w:hint="default"/>
              <w:b w:val="0"/>
              <w:bCs w:val="0"/>
            </w:rPr>
          </w:pPr>
          <w:r>
            <w:rPr/>
            <w:t>八、公司治理</w:t>
          </w:r>
          <w:r>
            <w:rPr>
              <w:rFonts w:ascii="Arial" w:hAnsi="Arial" w:cs="Arial" w:eastAsia="Arial" w:hint="default"/>
            </w:rPr>
            <w:tab/>
            <w:t>37</w:t>
          </w:r>
          <w:r>
            <w:rPr>
              <w:rFonts w:ascii="Arial" w:hAnsi="Arial" w:cs="Arial" w:eastAsia="Arial" w:hint="default"/>
              <w:b w:val="0"/>
              <w:bCs w:val="0"/>
            </w:rPr>
          </w:r>
        </w:p>
        <w:p>
          <w:pPr>
            <w:pStyle w:val="TOC1"/>
            <w:tabs>
              <w:tab w:pos="9783" w:val="right" w:leader="dot"/>
            </w:tabs>
            <w:spacing w:line="240" w:lineRule="auto"/>
            <w:ind w:right="0"/>
            <w:jc w:val="left"/>
            <w:rPr>
              <w:rFonts w:ascii="Arial" w:hAnsi="Arial" w:cs="Arial" w:eastAsia="Arial" w:hint="default"/>
              <w:b w:val="0"/>
              <w:bCs w:val="0"/>
            </w:rPr>
          </w:pPr>
          <w:r>
            <w:rPr/>
            <w:t>九、内部控制</w:t>
          </w:r>
          <w:r>
            <w:rPr>
              <w:rFonts w:ascii="Arial" w:hAnsi="Arial" w:cs="Arial" w:eastAsia="Arial" w:hint="default"/>
            </w:rPr>
            <w:tab/>
            <w:t>43</w:t>
          </w:r>
          <w:r>
            <w:rPr>
              <w:rFonts w:ascii="Arial" w:hAnsi="Arial" w:cs="Arial" w:eastAsia="Arial" w:hint="default"/>
              <w:b w:val="0"/>
              <w:bCs w:val="0"/>
            </w:rPr>
          </w:r>
        </w:p>
        <w:p>
          <w:pPr>
            <w:pStyle w:val="TOC1"/>
            <w:tabs>
              <w:tab w:pos="9783" w:val="right" w:leader="dot"/>
            </w:tabs>
            <w:spacing w:line="240" w:lineRule="auto"/>
            <w:ind w:right="0"/>
            <w:jc w:val="left"/>
            <w:rPr>
              <w:rFonts w:ascii="Arial" w:hAnsi="Arial" w:cs="Arial" w:eastAsia="Arial" w:hint="default"/>
              <w:b w:val="0"/>
              <w:bCs w:val="0"/>
            </w:rPr>
          </w:pPr>
          <w:r>
            <w:rPr/>
            <w:t>十、财务报告</w:t>
          </w:r>
          <w:r>
            <w:rPr>
              <w:rFonts w:ascii="Arial" w:hAnsi="Arial" w:cs="Arial" w:eastAsia="Arial" w:hint="default"/>
            </w:rPr>
            <w:tab/>
            <w:t>45</w:t>
          </w:r>
          <w:r>
            <w:rPr>
              <w:rFonts w:ascii="Arial" w:hAnsi="Arial" w:cs="Arial" w:eastAsia="Arial" w:hint="default"/>
              <w:b w:val="0"/>
              <w:bCs w:val="0"/>
            </w:rPr>
          </w:r>
        </w:p>
        <w:p>
          <w:pPr>
            <w:pStyle w:val="TOC1"/>
            <w:tabs>
              <w:tab w:pos="9783" w:val="right" w:leader="dot"/>
            </w:tabs>
            <w:spacing w:line="240" w:lineRule="auto" w:before="284"/>
            <w:ind w:right="0"/>
            <w:jc w:val="left"/>
            <w:rPr>
              <w:rFonts w:ascii="Arial" w:hAnsi="Arial" w:cs="Arial" w:eastAsia="Arial" w:hint="default"/>
              <w:b w:val="0"/>
              <w:bCs w:val="0"/>
            </w:rPr>
          </w:pPr>
          <w:r>
            <w:rPr/>
            <w:t>十一、备查文件目录</w:t>
          </w:r>
          <w:r>
            <w:rPr>
              <w:rFonts w:ascii="Arial" w:hAnsi="Arial" w:cs="Arial" w:eastAsia="Arial" w:hint="default"/>
            </w:rPr>
            <w:tab/>
            <w:t>144</w:t>
          </w:r>
          <w:r>
            <w:rPr>
              <w:rFonts w:ascii="Arial" w:hAnsi="Arial" w:cs="Arial" w:eastAsia="Arial" w:hint="default"/>
              <w:b w:val="0"/>
              <w:bCs w:val="0"/>
            </w:rPr>
          </w:r>
        </w:p>
      </w:sdtContent>
    </w:sdt>
    <w:p>
      <w:pPr>
        <w:spacing w:after="0" w:line="240" w:lineRule="auto"/>
        <w:jc w:val="left"/>
        <w:rPr>
          <w:rFonts w:ascii="Arial" w:hAnsi="Arial" w:cs="Arial" w:eastAsia="Arial" w:hint="default"/>
        </w:rPr>
        <w:sectPr>
          <w:pgSz w:w="11910" w:h="16840"/>
          <w:pgMar w:header="745" w:footer="1340" w:top="1060" w:bottom="1540" w:left="980" w:right="0"/>
        </w:sectPr>
      </w:pPr>
    </w:p>
    <w:p>
      <w:pPr>
        <w:pStyle w:val="Heading1"/>
        <w:spacing w:line="240" w:lineRule="auto" w:before="850"/>
        <w:ind w:right="978"/>
        <w:jc w:val="center"/>
        <w:rPr>
          <w:b w:val="0"/>
          <w:bCs w:val="0"/>
        </w:rPr>
      </w:pPr>
      <w:r>
        <w:rPr/>
        <w:t>释义</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2"/>
        <w:rPr>
          <w:rFonts w:ascii="微软雅黑" w:hAnsi="微软雅黑" w:cs="微软雅黑" w:eastAsia="微软雅黑"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集团公司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泰丰科技公司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深圳市泰丰科技有限公司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汇德祥公司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深圳市汇德祥贸易有限公司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深圳饲料公司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深圳市华宝（集团）饲料有限公司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惠州饲料公司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惠州市华宝饲料有限公司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泰丰投资公司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华宝实业公司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深圳市宝安华宝实业有限公司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华宝物业公司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深圳市华宝西部物业管理有限公司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西部公司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深圳市深信西部房地产有限公司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华宝经发公司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深圳市龙岗区华宝经济发展有限公司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中委公司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希格玛公司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深圳市宝安区投资管理有限公司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重庆润江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重庆润江基础设施投资有限公司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深国投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华润深国投信托有限公司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sz w:val="18"/>
              </w:rPr>
              <w:t>IMS</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35"/>
              <w:jc w:val="left"/>
              <w:rPr>
                <w:rFonts w:ascii="宋体" w:hAnsi="宋体" w:cs="宋体" w:eastAsia="宋体" w:hint="default"/>
                <w:sz w:val="18"/>
                <w:szCs w:val="18"/>
              </w:rPr>
            </w:pPr>
            <w:r>
              <w:rPr>
                <w:rFonts w:ascii="宋体" w:hAnsi="宋体" w:cs="宋体" w:eastAsia="宋体" w:hint="default"/>
                <w:sz w:val="18"/>
                <w:szCs w:val="18"/>
              </w:rPr>
              <w:t>IP Multimedia Subsystem</w:t>
            </w:r>
            <w:r>
              <w:rPr>
                <w:rFonts w:ascii="宋体" w:hAnsi="宋体" w:cs="宋体" w:eastAsia="宋体" w:hint="default"/>
                <w:spacing w:val="-54"/>
                <w:sz w:val="18"/>
                <w:szCs w:val="18"/>
              </w:rPr>
              <w:t> </w:t>
            </w:r>
            <w:r>
              <w:rPr>
                <w:rFonts w:ascii="宋体" w:hAnsi="宋体" w:cs="宋体" w:eastAsia="宋体" w:hint="default"/>
                <w:sz w:val="18"/>
                <w:szCs w:val="18"/>
              </w:rPr>
              <w:t>的简称。本报告专指基于光纤线路实现语 音、图像、数据传输的多媒体固话终端</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line="240" w:lineRule="auto" w:before="11"/>
        <w:rPr>
          <w:rFonts w:ascii="微软雅黑" w:hAnsi="微软雅黑" w:cs="微软雅黑" w:eastAsia="微软雅黑" w:hint="default"/>
          <w:b/>
          <w:bCs/>
          <w:sz w:val="20"/>
          <w:szCs w:val="20"/>
        </w:rPr>
      </w:pPr>
    </w:p>
    <w:p>
      <w:pPr>
        <w:spacing w:before="0"/>
        <w:ind w:left="0" w:right="978" w:firstLine="0"/>
        <w:jc w:val="center"/>
        <w:rPr>
          <w:rFonts w:ascii="微软雅黑" w:hAnsi="微软雅黑" w:cs="微软雅黑" w:eastAsia="微软雅黑" w:hint="default"/>
          <w:sz w:val="32"/>
          <w:szCs w:val="32"/>
        </w:rPr>
      </w:pPr>
      <w:r>
        <w:rPr>
          <w:rFonts w:ascii="微软雅黑" w:hAnsi="微软雅黑" w:cs="微软雅黑" w:eastAsia="微软雅黑" w:hint="default"/>
          <w:b/>
          <w:bCs/>
          <w:spacing w:val="2"/>
          <w:sz w:val="32"/>
          <w:szCs w:val="32"/>
        </w:rPr>
        <w:t>重大风险提示</w:t>
      </w:r>
      <w:r>
        <w:rPr>
          <w:rFonts w:ascii="微软雅黑" w:hAnsi="微软雅黑" w:cs="微软雅黑" w:eastAsia="微软雅黑" w:hint="default"/>
          <w:sz w:val="32"/>
          <w:szCs w:val="32"/>
        </w:rPr>
      </w:r>
    </w:p>
    <w:p>
      <w:pPr>
        <w:spacing w:line="309" w:lineRule="auto" w:before="219"/>
        <w:ind w:left="152" w:right="1131" w:firstLine="562"/>
        <w:jc w:val="both"/>
        <w:rPr>
          <w:rFonts w:ascii="微软雅黑" w:hAnsi="微软雅黑" w:cs="微软雅黑" w:eastAsia="微软雅黑" w:hint="default"/>
          <w:sz w:val="28"/>
          <w:szCs w:val="28"/>
        </w:rPr>
      </w:pPr>
      <w:r>
        <w:rPr>
          <w:rFonts w:ascii="微软雅黑" w:hAnsi="微软雅黑" w:cs="微软雅黑" w:eastAsia="微软雅黑" w:hint="default"/>
          <w:b/>
          <w:bCs/>
          <w:w w:val="100"/>
          <w:sz w:val="28"/>
          <w:szCs w:val="28"/>
        </w:rPr>
        <w:t>《证</w:t>
      </w:r>
      <w:r>
        <w:rPr>
          <w:rFonts w:ascii="微软雅黑" w:hAnsi="微软雅黑" w:cs="微软雅黑" w:eastAsia="微软雅黑" w:hint="default"/>
          <w:b/>
          <w:bCs/>
          <w:spacing w:val="2"/>
          <w:w w:val="100"/>
          <w:sz w:val="28"/>
          <w:szCs w:val="28"/>
        </w:rPr>
        <w:t>券</w:t>
      </w:r>
      <w:r>
        <w:rPr>
          <w:rFonts w:ascii="微软雅黑" w:hAnsi="微软雅黑" w:cs="微软雅黑" w:eastAsia="微软雅黑" w:hint="default"/>
          <w:b/>
          <w:bCs/>
          <w:w w:val="100"/>
          <w:sz w:val="28"/>
          <w:szCs w:val="28"/>
        </w:rPr>
        <w:t>时报</w:t>
      </w:r>
      <w:r>
        <w:rPr>
          <w:rFonts w:ascii="微软雅黑" w:hAnsi="微软雅黑" w:cs="微软雅黑" w:eastAsia="微软雅黑" w:hint="default"/>
          <w:b/>
          <w:bCs/>
          <w:spacing w:val="-24"/>
          <w:w w:val="100"/>
          <w:sz w:val="28"/>
          <w:szCs w:val="28"/>
        </w:rPr>
        <w:t>》</w:t>
      </w:r>
      <w:r>
        <w:rPr>
          <w:rFonts w:ascii="微软雅黑" w:hAnsi="微软雅黑" w:cs="微软雅黑" w:eastAsia="微软雅黑" w:hint="default"/>
          <w:b/>
          <w:bCs/>
          <w:w w:val="100"/>
          <w:sz w:val="28"/>
          <w:szCs w:val="28"/>
        </w:rPr>
        <w:t>和巨潮资</w:t>
      </w:r>
      <w:r>
        <w:rPr>
          <w:rFonts w:ascii="微软雅黑" w:hAnsi="微软雅黑" w:cs="微软雅黑" w:eastAsia="微软雅黑" w:hint="default"/>
          <w:b/>
          <w:bCs/>
          <w:spacing w:val="2"/>
          <w:w w:val="100"/>
          <w:sz w:val="28"/>
          <w:szCs w:val="28"/>
        </w:rPr>
        <w:t>讯</w:t>
      </w:r>
      <w:r>
        <w:rPr>
          <w:rFonts w:ascii="微软雅黑" w:hAnsi="微软雅黑" w:cs="微软雅黑" w:eastAsia="微软雅黑" w:hint="default"/>
          <w:b/>
          <w:bCs/>
          <w:spacing w:val="-24"/>
          <w:w w:val="100"/>
          <w:sz w:val="28"/>
          <w:szCs w:val="28"/>
        </w:rPr>
        <w:t>网</w:t>
      </w:r>
      <w:r>
        <w:rPr>
          <w:rFonts w:ascii="微软雅黑" w:hAnsi="微软雅黑" w:cs="微软雅黑" w:eastAsia="微软雅黑" w:hint="default"/>
          <w:b/>
          <w:bCs/>
          <w:spacing w:val="2"/>
          <w:w w:val="100"/>
          <w:sz w:val="28"/>
          <w:szCs w:val="28"/>
        </w:rPr>
        <w:t>（</w:t>
      </w:r>
      <w:hyperlink r:id="rId8">
        <w:r>
          <w:rPr>
            <w:rFonts w:ascii="Arial" w:hAnsi="Arial" w:cs="Arial" w:eastAsia="Arial" w:hint="default"/>
            <w:b/>
            <w:bCs/>
            <w:w w:val="64"/>
            <w:sz w:val="28"/>
            <w:szCs w:val="28"/>
          </w:rPr>
          <w:t>w</w:t>
        </w:r>
        <w:r>
          <w:rPr>
            <w:rFonts w:ascii="Arial" w:hAnsi="Arial" w:cs="Arial" w:eastAsia="Arial" w:hint="default"/>
            <w:b/>
            <w:bCs/>
            <w:spacing w:val="-2"/>
            <w:w w:val="64"/>
            <w:sz w:val="28"/>
            <w:szCs w:val="28"/>
          </w:rPr>
          <w:t>w</w:t>
        </w:r>
        <w:r>
          <w:rPr>
            <w:rFonts w:ascii="Arial" w:hAnsi="Arial" w:cs="Arial" w:eastAsia="Arial" w:hint="default"/>
            <w:b/>
            <w:bCs/>
            <w:w w:val="64"/>
            <w:sz w:val="28"/>
            <w:szCs w:val="28"/>
          </w:rPr>
          <w:t>w</w:t>
        </w:r>
        <w:r>
          <w:rPr>
            <w:rFonts w:ascii="Arial" w:hAnsi="Arial" w:cs="Arial" w:eastAsia="Arial" w:hint="default"/>
            <w:b/>
            <w:bCs/>
            <w:w w:val="180"/>
            <w:sz w:val="28"/>
            <w:szCs w:val="28"/>
          </w:rPr>
          <w:t>.</w:t>
        </w:r>
        <w:r>
          <w:rPr>
            <w:rFonts w:ascii="Arial" w:hAnsi="Arial" w:cs="Arial" w:eastAsia="Arial" w:hint="default"/>
            <w:b/>
            <w:bCs/>
            <w:w w:val="90"/>
            <w:sz w:val="28"/>
            <w:szCs w:val="28"/>
          </w:rPr>
          <w:t>c</w:t>
        </w:r>
        <w:r>
          <w:rPr>
            <w:rFonts w:ascii="Arial" w:hAnsi="Arial" w:cs="Arial" w:eastAsia="Arial" w:hint="default"/>
            <w:b/>
            <w:bCs/>
            <w:w w:val="82"/>
            <w:sz w:val="28"/>
            <w:szCs w:val="28"/>
          </w:rPr>
          <w:t>n</w:t>
        </w:r>
        <w:r>
          <w:rPr>
            <w:rFonts w:ascii="Arial" w:hAnsi="Arial" w:cs="Arial" w:eastAsia="Arial" w:hint="default"/>
            <w:b/>
            <w:bCs/>
            <w:spacing w:val="-2"/>
            <w:w w:val="180"/>
            <w:sz w:val="28"/>
            <w:szCs w:val="28"/>
          </w:rPr>
          <w:t>i</w:t>
        </w:r>
        <w:r>
          <w:rPr>
            <w:rFonts w:ascii="Arial" w:hAnsi="Arial" w:cs="Arial" w:eastAsia="Arial" w:hint="default"/>
            <w:b/>
            <w:bCs/>
            <w:w w:val="82"/>
            <w:sz w:val="28"/>
            <w:szCs w:val="28"/>
          </w:rPr>
          <w:t>n</w:t>
        </w:r>
        <w:r>
          <w:rPr>
            <w:rFonts w:ascii="Arial" w:hAnsi="Arial" w:cs="Arial" w:eastAsia="Arial" w:hint="default"/>
            <w:b/>
            <w:bCs/>
            <w:w w:val="150"/>
            <w:sz w:val="28"/>
            <w:szCs w:val="28"/>
          </w:rPr>
          <w:t>f</w:t>
        </w:r>
        <w:r>
          <w:rPr>
            <w:rFonts w:ascii="Arial" w:hAnsi="Arial" w:cs="Arial" w:eastAsia="Arial" w:hint="default"/>
            <w:b/>
            <w:bCs/>
            <w:w w:val="82"/>
            <w:sz w:val="28"/>
            <w:szCs w:val="28"/>
          </w:rPr>
          <w:t>o</w:t>
        </w:r>
        <w:r>
          <w:rPr>
            <w:rFonts w:ascii="Arial" w:hAnsi="Arial" w:cs="Arial" w:eastAsia="Arial" w:hint="default"/>
            <w:b/>
            <w:bCs/>
            <w:w w:val="180"/>
            <w:sz w:val="28"/>
            <w:szCs w:val="28"/>
          </w:rPr>
          <w:t>.</w:t>
        </w:r>
        <w:r>
          <w:rPr>
            <w:rFonts w:ascii="Arial" w:hAnsi="Arial" w:cs="Arial" w:eastAsia="Arial" w:hint="default"/>
            <w:b/>
            <w:bCs/>
            <w:w w:val="90"/>
            <w:sz w:val="28"/>
            <w:szCs w:val="28"/>
          </w:rPr>
          <w:t>c</w:t>
        </w:r>
        <w:r>
          <w:rPr>
            <w:rFonts w:ascii="Arial" w:hAnsi="Arial" w:cs="Arial" w:eastAsia="Arial" w:hint="default"/>
            <w:b/>
            <w:bCs/>
            <w:w w:val="82"/>
            <w:sz w:val="28"/>
            <w:szCs w:val="28"/>
          </w:rPr>
          <w:t>o</w:t>
        </w:r>
        <w:r>
          <w:rPr>
            <w:rFonts w:ascii="Arial" w:hAnsi="Arial" w:cs="Arial" w:eastAsia="Arial" w:hint="default"/>
            <w:b/>
            <w:bCs/>
            <w:spacing w:val="-2"/>
            <w:w w:val="56"/>
            <w:sz w:val="28"/>
            <w:szCs w:val="28"/>
          </w:rPr>
          <w:t>m</w:t>
        </w:r>
        <w:r>
          <w:rPr>
            <w:rFonts w:ascii="Arial" w:hAnsi="Arial" w:cs="Arial" w:eastAsia="Arial" w:hint="default"/>
            <w:b/>
            <w:bCs/>
            <w:w w:val="180"/>
            <w:sz w:val="28"/>
            <w:szCs w:val="28"/>
          </w:rPr>
          <w:t>.</w:t>
        </w:r>
        <w:r>
          <w:rPr>
            <w:rFonts w:ascii="Arial" w:hAnsi="Arial" w:cs="Arial" w:eastAsia="Arial" w:hint="default"/>
            <w:b/>
            <w:bCs/>
            <w:w w:val="90"/>
            <w:sz w:val="28"/>
            <w:szCs w:val="28"/>
          </w:rPr>
          <w:t>c</w:t>
        </w:r>
        <w:r>
          <w:rPr>
            <w:rFonts w:ascii="Arial" w:hAnsi="Arial" w:cs="Arial" w:eastAsia="Arial" w:hint="default"/>
            <w:b/>
            <w:bCs/>
            <w:spacing w:val="6"/>
            <w:w w:val="82"/>
            <w:sz w:val="28"/>
            <w:szCs w:val="28"/>
          </w:rPr>
          <w:t>n</w:t>
        </w:r>
      </w:hyperlink>
      <w:r>
        <w:rPr>
          <w:rFonts w:ascii="微软雅黑" w:hAnsi="微软雅黑" w:cs="微软雅黑" w:eastAsia="微软雅黑" w:hint="default"/>
          <w:b/>
          <w:bCs/>
          <w:spacing w:val="-24"/>
          <w:w w:val="100"/>
          <w:sz w:val="28"/>
          <w:szCs w:val="28"/>
        </w:rPr>
        <w:t>）</w:t>
      </w:r>
      <w:r>
        <w:rPr>
          <w:rFonts w:ascii="微软雅黑" w:hAnsi="微软雅黑" w:cs="微软雅黑" w:eastAsia="微软雅黑" w:hint="default"/>
          <w:b/>
          <w:bCs/>
          <w:w w:val="100"/>
          <w:sz w:val="28"/>
          <w:szCs w:val="28"/>
        </w:rPr>
        <w:t>为本公司</w:t>
      </w:r>
      <w:r>
        <w:rPr>
          <w:rFonts w:ascii="微软雅黑" w:hAnsi="微软雅黑" w:cs="微软雅黑" w:eastAsia="微软雅黑" w:hint="default"/>
          <w:b/>
          <w:bCs/>
          <w:spacing w:val="2"/>
          <w:w w:val="100"/>
          <w:sz w:val="28"/>
          <w:szCs w:val="28"/>
        </w:rPr>
        <w:t>选</w:t>
      </w:r>
      <w:r>
        <w:rPr>
          <w:rFonts w:ascii="微软雅黑" w:hAnsi="微软雅黑" w:cs="微软雅黑" w:eastAsia="微软雅黑" w:hint="default"/>
          <w:b/>
          <w:bCs/>
          <w:w w:val="100"/>
          <w:sz w:val="28"/>
          <w:szCs w:val="28"/>
        </w:rPr>
        <w:t>定的信息披</w:t>
      </w:r>
      <w:r>
        <w:rPr>
          <w:rFonts w:ascii="微软雅黑" w:hAnsi="微软雅黑" w:cs="微软雅黑" w:eastAsia="微软雅黑" w:hint="default"/>
          <w:b/>
          <w:bCs/>
          <w:w w:val="100"/>
          <w:sz w:val="28"/>
          <w:szCs w:val="28"/>
        </w:rPr>
        <w:t> </w:t>
      </w:r>
      <w:r>
        <w:rPr>
          <w:rFonts w:ascii="微软雅黑" w:hAnsi="微软雅黑" w:cs="微软雅黑" w:eastAsia="微软雅黑" w:hint="default"/>
          <w:b/>
          <w:bCs/>
          <w:spacing w:val="2"/>
          <w:sz w:val="28"/>
          <w:szCs w:val="28"/>
        </w:rPr>
        <w:t>露媒体，本公司所有信息均以在上述选定媒体刊登的信息为准，敬请投资者注</w:t>
      </w:r>
      <w:r>
        <w:rPr>
          <w:rFonts w:ascii="微软雅黑" w:hAnsi="微软雅黑" w:cs="微软雅黑" w:eastAsia="微软雅黑" w:hint="default"/>
          <w:b/>
          <w:bCs/>
          <w:spacing w:val="-51"/>
          <w:sz w:val="28"/>
          <w:szCs w:val="28"/>
        </w:rPr>
        <w:t> </w:t>
      </w:r>
      <w:r>
        <w:rPr>
          <w:rFonts w:ascii="微软雅黑" w:hAnsi="微软雅黑" w:cs="微软雅黑" w:eastAsia="微软雅黑" w:hint="default"/>
          <w:b/>
          <w:bCs/>
          <w:spacing w:val="-51"/>
          <w:sz w:val="28"/>
          <w:szCs w:val="28"/>
        </w:rPr>
      </w:r>
      <w:r>
        <w:rPr>
          <w:rFonts w:ascii="微软雅黑" w:hAnsi="微软雅黑" w:cs="微软雅黑" w:eastAsia="微软雅黑" w:hint="default"/>
          <w:b/>
          <w:bCs/>
          <w:sz w:val="28"/>
          <w:szCs w:val="28"/>
        </w:rPr>
        <w:t>意投资风险。</w:t>
      </w:r>
      <w:r>
        <w:rPr>
          <w:rFonts w:ascii="微软雅黑" w:hAnsi="微软雅黑" w:cs="微软雅黑" w:eastAsia="微软雅黑" w:hint="default"/>
          <w:sz w:val="28"/>
          <w:szCs w:val="28"/>
        </w:rPr>
      </w:r>
    </w:p>
    <w:p>
      <w:pPr>
        <w:spacing w:after="0" w:line="309" w:lineRule="auto"/>
        <w:jc w:val="both"/>
        <w:rPr>
          <w:rFonts w:ascii="微软雅黑" w:hAnsi="微软雅黑" w:cs="微软雅黑" w:eastAsia="微软雅黑" w:hint="default"/>
          <w:sz w:val="28"/>
          <w:szCs w:val="28"/>
        </w:rPr>
        <w:sectPr>
          <w:pgSz w:w="11910" w:h="16840"/>
          <w:pgMar w:header="745" w:footer="1340" w:top="1060" w:bottom="1540" w:left="980" w:right="0"/>
        </w:sectPr>
      </w:pPr>
    </w:p>
    <w:p>
      <w:pPr>
        <w:spacing w:line="240" w:lineRule="auto" w:before="0"/>
        <w:rPr>
          <w:rFonts w:ascii="微软雅黑" w:hAnsi="微软雅黑" w:cs="微软雅黑" w:eastAsia="微软雅黑" w:hint="default"/>
          <w:b/>
          <w:bCs/>
          <w:sz w:val="20"/>
          <w:szCs w:val="20"/>
        </w:rPr>
      </w:pPr>
      <w:r>
        <w:rPr/>
        <w:pict>
          <v:group style="position:absolute;margin-left:171.020004pt;margin-top:269.209991pt;width:362.85pt;height:20.8pt;mso-position-horizontal-relative:page;mso-position-vertical-relative:page;z-index:-781936"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1"/>
        <w:rPr>
          <w:rFonts w:ascii="微软雅黑" w:hAnsi="微软雅黑" w:cs="微软雅黑" w:eastAsia="微软雅黑" w:hint="default"/>
          <w:b/>
          <w:bCs/>
          <w:sz w:val="22"/>
          <w:szCs w:val="22"/>
        </w:rPr>
      </w:pPr>
    </w:p>
    <w:p>
      <w:pPr>
        <w:pStyle w:val="Heading1"/>
        <w:spacing w:line="458" w:lineRule="exact"/>
        <w:ind w:right="976"/>
        <w:jc w:val="center"/>
        <w:rPr>
          <w:b w:val="0"/>
          <w:bCs w:val="0"/>
        </w:rPr>
      </w:pPr>
      <w:r>
        <w:rPr/>
        <w:t>第二节</w:t>
      </w:r>
      <w:r>
        <w:rPr>
          <w:spacing w:val="73"/>
        </w:rPr>
        <w:t> </w:t>
      </w:r>
      <w:r>
        <w:rPr/>
        <w:t>公司简介</w:t>
      </w:r>
      <w:r>
        <w:rPr>
          <w:b w:val="0"/>
          <w:bCs w:val="0"/>
        </w:rPr>
      </w:r>
    </w:p>
    <w:p>
      <w:pPr>
        <w:spacing w:line="240" w:lineRule="auto" w:before="16"/>
        <w:rPr>
          <w:rFonts w:ascii="微软雅黑" w:hAnsi="微软雅黑" w:cs="微软雅黑" w:eastAsia="微软雅黑" w:hint="default"/>
          <w:b/>
          <w:bCs/>
          <w:sz w:val="25"/>
          <w:szCs w:val="25"/>
        </w:rPr>
      </w:pPr>
    </w:p>
    <w:p>
      <w:pPr>
        <w:pStyle w:val="Heading2"/>
        <w:spacing w:line="369" w:lineRule="exact"/>
        <w:ind w:right="0"/>
        <w:jc w:val="left"/>
        <w:rPr>
          <w:b w:val="0"/>
          <w:bCs w:val="0"/>
        </w:rPr>
      </w:pPr>
      <w:r>
        <w:rPr/>
        <w:t>一、公司信息</w:t>
      </w:r>
      <w:r>
        <w:rPr>
          <w:b w:val="0"/>
          <w:bCs w:val="0"/>
        </w:rPr>
      </w:r>
    </w:p>
    <w:p>
      <w:pPr>
        <w:spacing w:line="240" w:lineRule="auto" w:before="13"/>
        <w:rPr>
          <w:rFonts w:ascii="微软雅黑" w:hAnsi="微软雅黑" w:cs="微软雅黑" w:eastAsia="微软雅黑"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深信泰丰</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000034</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深圳市深信泰丰</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深信泰丰集团</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Shenzhen Shenxin Taifeng Group Co.,</w:t>
            </w:r>
            <w:r>
              <w:rPr>
                <w:rFonts w:ascii="宋体"/>
                <w:spacing w:val="-15"/>
                <w:sz w:val="18"/>
              </w:rPr>
              <w:t> </w:t>
            </w:r>
            <w:r>
              <w:rPr>
                <w:rFonts w:ascii="宋体"/>
                <w:sz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Shenxin</w:t>
            </w:r>
            <w:r>
              <w:rPr>
                <w:rFonts w:ascii="宋体"/>
                <w:spacing w:val="-4"/>
                <w:sz w:val="18"/>
              </w:rPr>
              <w:t> </w:t>
            </w:r>
            <w:r>
              <w:rPr>
                <w:rFonts w:ascii="宋体"/>
                <w:sz w:val="18"/>
              </w:rPr>
              <w:t>Taifeng</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晏群</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区华宝新苑（风采轩）</w:t>
            </w:r>
            <w:r>
              <w:rPr>
                <w:rFonts w:ascii="宋体" w:hAnsi="宋体" w:cs="宋体" w:eastAsia="宋体" w:hint="default"/>
                <w:sz w:val="18"/>
                <w:szCs w:val="18"/>
              </w:rPr>
              <w:t>5</w:t>
            </w:r>
            <w:r>
              <w:rPr>
                <w:rFonts w:ascii="宋体" w:hAnsi="宋体" w:cs="宋体" w:eastAsia="宋体" w:hint="default"/>
                <w:spacing w:val="-49"/>
                <w:sz w:val="18"/>
                <w:szCs w:val="18"/>
              </w:rPr>
              <w:t> </w:t>
            </w:r>
            <w:r>
              <w:rPr>
                <w:rFonts w:ascii="宋体" w:hAnsi="宋体" w:cs="宋体" w:eastAsia="宋体" w:hint="default"/>
                <w:sz w:val="18"/>
                <w:szCs w:val="18"/>
              </w:rPr>
              <w:t>号楼社区服务中心三楼</w:t>
            </w:r>
            <w:r>
              <w:rPr>
                <w:rFonts w:ascii="宋体" w:hAnsi="宋体" w:cs="宋体" w:eastAsia="宋体" w:hint="default"/>
                <w:spacing w:val="-47"/>
                <w:sz w:val="18"/>
                <w:szCs w:val="18"/>
              </w:rPr>
              <w:t> </w:t>
            </w:r>
            <w:r>
              <w:rPr>
                <w:rFonts w:ascii="宋体" w:hAnsi="宋体" w:cs="宋体" w:eastAsia="宋体" w:hint="default"/>
                <w:sz w:val="18"/>
                <w:szCs w:val="18"/>
              </w:rPr>
              <w:t>301</w:t>
            </w:r>
            <w:r>
              <w:rPr>
                <w:rFonts w:ascii="宋体" w:hAnsi="宋体" w:cs="宋体" w:eastAsia="宋体" w:hint="default"/>
                <w:spacing w:val="-49"/>
                <w:sz w:val="18"/>
                <w:szCs w:val="18"/>
              </w:rPr>
              <w:t> </w:t>
            </w:r>
            <w:r>
              <w:rPr>
                <w:rFonts w:ascii="宋体" w:hAnsi="宋体" w:cs="宋体" w:eastAsia="宋体" w:hint="default"/>
                <w:sz w:val="18"/>
                <w:szCs w:val="18"/>
              </w:rPr>
              <w:t>房及</w:t>
            </w:r>
            <w:r>
              <w:rPr>
                <w:rFonts w:ascii="宋体" w:hAnsi="宋体" w:cs="宋体" w:eastAsia="宋体" w:hint="default"/>
                <w:spacing w:val="-48"/>
                <w:sz w:val="18"/>
                <w:szCs w:val="18"/>
              </w:rPr>
              <w:t> </w:t>
            </w:r>
            <w:r>
              <w:rPr>
                <w:rFonts w:ascii="宋体" w:hAnsi="宋体" w:cs="宋体" w:eastAsia="宋体" w:hint="default"/>
                <w:sz w:val="18"/>
                <w:szCs w:val="18"/>
              </w:rPr>
              <w:t>303</w:t>
            </w:r>
            <w:r>
              <w:rPr>
                <w:rFonts w:ascii="宋体" w:hAnsi="宋体" w:cs="宋体" w:eastAsia="宋体" w:hint="default"/>
                <w:spacing w:val="-49"/>
                <w:sz w:val="18"/>
                <w:szCs w:val="18"/>
              </w:rPr>
              <w:t> </w:t>
            </w:r>
            <w:r>
              <w:rPr>
                <w:rFonts w:ascii="宋体" w:hAnsi="宋体" w:cs="宋体" w:eastAsia="宋体" w:hint="default"/>
                <w:sz w:val="18"/>
                <w:szCs w:val="18"/>
              </w:rPr>
              <w:t>房</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518101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区华宝新苑（风采轩）</w:t>
            </w:r>
            <w:r>
              <w:rPr>
                <w:rFonts w:ascii="宋体" w:hAnsi="宋体" w:cs="宋体" w:eastAsia="宋体" w:hint="default"/>
                <w:sz w:val="18"/>
                <w:szCs w:val="18"/>
              </w:rPr>
              <w:t>5</w:t>
            </w:r>
            <w:r>
              <w:rPr>
                <w:rFonts w:ascii="宋体" w:hAnsi="宋体" w:cs="宋体" w:eastAsia="宋体" w:hint="default"/>
                <w:spacing w:val="-49"/>
                <w:sz w:val="18"/>
                <w:szCs w:val="18"/>
              </w:rPr>
              <w:t> </w:t>
            </w:r>
            <w:r>
              <w:rPr>
                <w:rFonts w:ascii="宋体" w:hAnsi="宋体" w:cs="宋体" w:eastAsia="宋体" w:hint="default"/>
                <w:sz w:val="18"/>
                <w:szCs w:val="18"/>
              </w:rPr>
              <w:t>号楼社区服务中心三楼</w:t>
            </w:r>
            <w:r>
              <w:rPr>
                <w:rFonts w:ascii="宋体" w:hAnsi="宋体" w:cs="宋体" w:eastAsia="宋体" w:hint="default"/>
                <w:spacing w:val="-47"/>
                <w:sz w:val="18"/>
                <w:szCs w:val="18"/>
              </w:rPr>
              <w:t> </w:t>
            </w:r>
            <w:r>
              <w:rPr>
                <w:rFonts w:ascii="宋体" w:hAnsi="宋体" w:cs="宋体" w:eastAsia="宋体" w:hint="default"/>
                <w:sz w:val="18"/>
                <w:szCs w:val="18"/>
              </w:rPr>
              <w:t>301</w:t>
            </w:r>
            <w:r>
              <w:rPr>
                <w:rFonts w:ascii="宋体" w:hAnsi="宋体" w:cs="宋体" w:eastAsia="宋体" w:hint="default"/>
                <w:spacing w:val="-49"/>
                <w:sz w:val="18"/>
                <w:szCs w:val="18"/>
              </w:rPr>
              <w:t> </w:t>
            </w:r>
            <w:r>
              <w:rPr>
                <w:rFonts w:ascii="宋体" w:hAnsi="宋体" w:cs="宋体" w:eastAsia="宋体" w:hint="default"/>
                <w:sz w:val="18"/>
                <w:szCs w:val="18"/>
              </w:rPr>
              <w:t>房及</w:t>
            </w:r>
            <w:r>
              <w:rPr>
                <w:rFonts w:ascii="宋体" w:hAnsi="宋体" w:cs="宋体" w:eastAsia="宋体" w:hint="default"/>
                <w:spacing w:val="-48"/>
                <w:sz w:val="18"/>
                <w:szCs w:val="18"/>
              </w:rPr>
              <w:t> </w:t>
            </w:r>
            <w:r>
              <w:rPr>
                <w:rFonts w:ascii="宋体" w:hAnsi="宋体" w:cs="宋体" w:eastAsia="宋体" w:hint="default"/>
                <w:sz w:val="18"/>
                <w:szCs w:val="18"/>
              </w:rPr>
              <w:t>303</w:t>
            </w:r>
            <w:r>
              <w:rPr>
                <w:rFonts w:ascii="宋体" w:hAnsi="宋体" w:cs="宋体" w:eastAsia="宋体" w:hint="default"/>
                <w:spacing w:val="-49"/>
                <w:sz w:val="18"/>
                <w:szCs w:val="18"/>
              </w:rPr>
              <w:t> </w:t>
            </w:r>
            <w:r>
              <w:rPr>
                <w:rFonts w:ascii="宋体" w:hAnsi="宋体" w:cs="宋体" w:eastAsia="宋体" w:hint="default"/>
                <w:sz w:val="18"/>
                <w:szCs w:val="18"/>
              </w:rPr>
              <w:t>房</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518101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9">
              <w:r>
                <w:rPr>
                  <w:rFonts w:ascii="宋体"/>
                  <w:sz w:val="18"/>
                </w:rPr>
                <w:t>shenxintaifeng@126.com</w:t>
              </w:r>
            </w:hyperlink>
          </w:p>
        </w:tc>
      </w:tr>
    </w:tbl>
    <w:p>
      <w:pPr>
        <w:spacing w:line="240" w:lineRule="auto" w:before="12"/>
        <w:rPr>
          <w:rFonts w:ascii="微软雅黑" w:hAnsi="微软雅黑" w:cs="微软雅黑" w:eastAsia="微软雅黑" w:hint="default"/>
          <w:b/>
          <w:bCs/>
          <w:sz w:val="13"/>
          <w:szCs w:val="13"/>
        </w:rPr>
      </w:pPr>
    </w:p>
    <w:p>
      <w:pPr>
        <w:spacing w:line="369" w:lineRule="exact"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二、联系人和联系方式</w:t>
      </w:r>
      <w:r>
        <w:rPr>
          <w:rFonts w:ascii="微软雅黑" w:hAnsi="微软雅黑" w:cs="微软雅黑" w:eastAsia="微软雅黑" w:hint="default"/>
          <w:sz w:val="24"/>
          <w:szCs w:val="24"/>
        </w:rPr>
      </w:r>
    </w:p>
    <w:p>
      <w:pPr>
        <w:spacing w:line="240" w:lineRule="auto" w:before="13"/>
        <w:rPr>
          <w:rFonts w:ascii="微软雅黑" w:hAnsi="微软雅黑" w:cs="微软雅黑" w:eastAsia="微软雅黑"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张小立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刘敏</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深圳市宝安区宝城</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区大宝路风采轩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深圳市宝安区宝城</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区大宝路风采轩</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0755--27596453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0755--27596453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0755--27596456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0755--27596456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xlzh1123@126.com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ratius@163.com</w:t>
              </w:r>
            </w:hyperlink>
          </w:p>
        </w:tc>
      </w:tr>
    </w:tbl>
    <w:p>
      <w:pPr>
        <w:spacing w:line="240" w:lineRule="auto" w:before="12"/>
        <w:rPr>
          <w:rFonts w:ascii="微软雅黑" w:hAnsi="微软雅黑" w:cs="微软雅黑" w:eastAsia="微软雅黑" w:hint="default"/>
          <w:b/>
          <w:bCs/>
          <w:sz w:val="13"/>
          <w:szCs w:val="13"/>
        </w:rPr>
      </w:pPr>
    </w:p>
    <w:p>
      <w:pPr>
        <w:spacing w:line="369" w:lineRule="exact"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三、信息披露及备臵地点</w:t>
      </w:r>
      <w:r>
        <w:rPr>
          <w:rFonts w:ascii="微软雅黑" w:hAnsi="微软雅黑" w:cs="微软雅黑" w:eastAsia="微软雅黑" w:hint="default"/>
          <w:sz w:val="24"/>
          <w:szCs w:val="24"/>
        </w:rPr>
      </w:r>
    </w:p>
    <w:p>
      <w:pPr>
        <w:spacing w:line="240" w:lineRule="auto" w:before="16"/>
        <w:rPr>
          <w:rFonts w:ascii="微软雅黑" w:hAnsi="微软雅黑" w:cs="微软雅黑" w:eastAsia="微软雅黑"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8">
              <w:r>
                <w:rPr>
                  <w:rFonts w:ascii="宋体"/>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公司年度报告备臵地点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公司董秘处</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15"/>
        <w:rPr>
          <w:rFonts w:ascii="微软雅黑" w:hAnsi="微软雅黑" w:cs="微软雅黑" w:eastAsia="微软雅黑" w:hint="default"/>
          <w:b/>
          <w:bCs/>
          <w:sz w:val="17"/>
          <w:szCs w:val="17"/>
        </w:rPr>
      </w:pPr>
    </w:p>
    <w:p>
      <w:pPr>
        <w:spacing w:line="369" w:lineRule="exact"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四、注册变更情况</w:t>
      </w:r>
      <w:r>
        <w:rPr>
          <w:rFonts w:ascii="微软雅黑" w:hAnsi="微软雅黑" w:cs="微软雅黑" w:eastAsia="微软雅黑" w:hint="default"/>
          <w:sz w:val="24"/>
          <w:szCs w:val="24"/>
        </w:rPr>
      </w:r>
    </w:p>
    <w:p>
      <w:pPr>
        <w:spacing w:line="240" w:lineRule="auto" w:before="16"/>
        <w:rPr>
          <w:rFonts w:ascii="微软雅黑" w:hAnsi="微软雅黑" w:cs="微软雅黑" w:eastAsia="微软雅黑"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4"/>
              <w:jc w:val="center"/>
              <w:rPr>
                <w:rFonts w:ascii="宋体" w:hAnsi="宋体" w:cs="宋体" w:eastAsia="宋体" w:hint="default"/>
                <w:sz w:val="18"/>
                <w:szCs w:val="18"/>
              </w:rPr>
            </w:pPr>
            <w:r>
              <w:rPr>
                <w:rFonts w:ascii="宋体" w:hAnsi="宋体" w:cs="宋体" w:eastAsia="宋体" w:hint="default"/>
                <w:sz w:val="18"/>
                <w:szCs w:val="18"/>
              </w:rPr>
              <w:t>1982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19218259-X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深圳市宝安区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440301103553063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44030619218259X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19218259-X</w:t>
            </w:r>
          </w:p>
        </w:tc>
      </w:tr>
      <w:tr>
        <w:trPr>
          <w:trHeight w:val="941"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16" w:lineRule="auto" w:before="49"/>
              <w:ind w:left="16" w:right="-49"/>
              <w:jc w:val="left"/>
              <w:rPr>
                <w:rFonts w:ascii="宋体" w:hAnsi="宋体" w:cs="宋体" w:eastAsia="宋体" w:hint="default"/>
                <w:sz w:val="18"/>
                <w:szCs w:val="18"/>
              </w:rPr>
            </w:pPr>
            <w:r>
              <w:rPr>
                <w:rFonts w:ascii="宋体" w:hAnsi="宋体" w:cs="宋体" w:eastAsia="宋体" w:hint="default"/>
                <w:sz w:val="18"/>
                <w:szCs w:val="18"/>
              </w:rPr>
              <w:t>公司工商登记注册关于经营范围的变更情况为：</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1982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月，经营范围为： 食用动物，肉类加工，饲料。畜用药，畜禽医疗器械。</w:t>
            </w:r>
            <w:r>
              <w:rPr>
                <w:rFonts w:ascii="宋体" w:hAnsi="宋体" w:cs="宋体" w:eastAsia="宋体" w:hint="default"/>
                <w:sz w:val="18"/>
                <w:szCs w:val="18"/>
              </w:rPr>
              <w:t>1990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50"/>
                <w:sz w:val="18"/>
                <w:szCs w:val="18"/>
              </w:rPr>
              <w:t> </w:t>
            </w:r>
            <w:r>
              <w:rPr>
                <w:rFonts w:ascii="宋体" w:hAnsi="宋体" w:cs="宋体" w:eastAsia="宋体" w:hint="default"/>
                <w:sz w:val="18"/>
                <w:szCs w:val="18"/>
              </w:rPr>
              <w:t>日，经营范 围变更为：食用动物，肉类加工，饲料，果树种植。畜用药，畜禽医疗器械。</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t>1994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9"/>
                <w:sz w:val="18"/>
                <w:szCs w:val="18"/>
              </w:rPr>
              <w:t> </w:t>
            </w:r>
            <w:r>
              <w:rPr>
                <w:rFonts w:ascii="宋体" w:hAnsi="宋体" w:cs="宋体" w:eastAsia="宋体" w:hint="default"/>
                <w:sz w:val="18"/>
                <w:szCs w:val="18"/>
              </w:rPr>
              <w:t>日，经营范围变更为：经营国内商业、物资供销业</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z w:val="18"/>
                <w:szCs w:val="18"/>
              </w:rPr>
              <w:t>不含专营、专 卖、专控商品 </w:t>
            </w:r>
            <w:r>
              <w:rPr>
                <w:rFonts w:ascii="宋体" w:hAnsi="宋体" w:cs="宋体" w:eastAsia="宋体" w:hint="default"/>
                <w:sz w:val="18"/>
                <w:szCs w:val="18"/>
              </w:rPr>
              <w:t>)</w:t>
            </w:r>
            <w:r>
              <w:rPr>
                <w:rFonts w:ascii="宋体" w:hAnsi="宋体" w:cs="宋体" w:eastAsia="宋体" w:hint="default"/>
                <w:sz w:val="18"/>
                <w:szCs w:val="18"/>
              </w:rPr>
              <w:t>；进出口业务按深贸管审证字 </w:t>
            </w:r>
            <w:r>
              <w:rPr>
                <w:rFonts w:ascii="宋体" w:hAnsi="宋体" w:cs="宋体" w:eastAsia="宋体" w:hint="default"/>
                <w:sz w:val="18"/>
                <w:szCs w:val="18"/>
              </w:rPr>
              <w:t>056</w:t>
            </w:r>
            <w:r>
              <w:rPr>
                <w:rFonts w:ascii="宋体" w:hAnsi="宋体" w:cs="宋体" w:eastAsia="宋体" w:hint="default"/>
                <w:spacing w:val="-66"/>
                <w:sz w:val="18"/>
                <w:szCs w:val="18"/>
              </w:rPr>
              <w:t> </w:t>
            </w:r>
            <w:r>
              <w:rPr>
                <w:rFonts w:ascii="宋体" w:hAnsi="宋体" w:cs="宋体" w:eastAsia="宋体" w:hint="default"/>
                <w:sz w:val="18"/>
                <w:szCs w:val="18"/>
              </w:rPr>
              <w:t>号文办理；食用动物、肉类加 工，饲料，果树种植。畜用药，畜禽医疗器械。</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1997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日，经营范围 </w:t>
            </w:r>
            <w:r>
              <w:rPr>
                <w:rFonts w:ascii="宋体" w:hAnsi="宋体" w:cs="宋体" w:eastAsia="宋体" w:hint="default"/>
                <w:spacing w:val="-5"/>
                <w:sz w:val="18"/>
                <w:szCs w:val="18"/>
              </w:rPr>
              <w:t>变更为：国内商业、物资供销业（不含专营、专控、专卖商品）。进出口业务（按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深贸管审证字０５６号文办理）；食用动物、肉类加工、果树种植；畜用药。</w:t>
            </w:r>
          </w:p>
        </w:tc>
      </w:tr>
      <w:tr>
        <w:trPr>
          <w:trHeight w:val="706"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10" w:space="0" w:color="D2D2D2"/>
              <w:right w:val="single" w:sz="4" w:space="0" w:color="000000"/>
            </w:tcBorders>
          </w:tcPr>
          <w:p>
            <w:pPr/>
          </w:p>
        </w:tc>
      </w:tr>
      <w:tr>
        <w:trPr>
          <w:trHeight w:val="941"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r>
        <w:trPr>
          <w:trHeight w:val="492"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14" w:lineRule="auto" w:before="49"/>
              <w:ind w:left="16" w:right="24"/>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1999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月，公司控股股东由深圳市宝安区投资管理公司变更为深圳国际信 托投资公司；</w:t>
            </w:r>
          </w:p>
          <w:p>
            <w:pPr>
              <w:pStyle w:val="TableParagraph"/>
              <w:spacing w:line="316" w:lineRule="auto" w:before="61"/>
              <w:ind w:left="16" w:right="8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月，公司控股股东由深圳国际信托投资有限责任公司变更为中国希 格玛有限公司。</w:t>
            </w:r>
          </w:p>
        </w:tc>
      </w:tr>
      <w:tr>
        <w:trPr>
          <w:trHeight w:val="391"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10" w:space="0" w:color="D2D2D2"/>
              <w:right w:val="single" w:sz="4" w:space="0" w:color="000000"/>
            </w:tcBorders>
          </w:tcPr>
          <w:p>
            <w:pPr/>
          </w:p>
        </w:tc>
      </w:tr>
      <w:tr>
        <w:trPr>
          <w:trHeight w:val="494"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spacing w:line="240" w:lineRule="auto" w:before="12"/>
        <w:rPr>
          <w:rFonts w:ascii="微软雅黑" w:hAnsi="微软雅黑" w:cs="微软雅黑" w:eastAsia="微软雅黑" w:hint="default"/>
          <w:b/>
          <w:bCs/>
          <w:sz w:val="13"/>
          <w:szCs w:val="13"/>
        </w:rPr>
      </w:pPr>
    </w:p>
    <w:p>
      <w:pPr>
        <w:spacing w:line="369" w:lineRule="exact"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五、其他有关资料</w:t>
      </w:r>
      <w:r>
        <w:rPr>
          <w:rFonts w:ascii="微软雅黑" w:hAnsi="微软雅黑" w:cs="微软雅黑" w:eastAsia="微软雅黑" w:hint="default"/>
          <w:sz w:val="24"/>
          <w:szCs w:val="24"/>
        </w:rPr>
      </w:r>
    </w:p>
    <w:p>
      <w:pPr>
        <w:spacing w:line="240" w:lineRule="auto" w:before="4"/>
        <w:rPr>
          <w:rFonts w:ascii="微软雅黑" w:hAnsi="微软雅黑" w:cs="微软雅黑" w:eastAsia="微软雅黑" w:hint="default"/>
          <w:b/>
          <w:bCs/>
          <w:sz w:val="18"/>
          <w:szCs w:val="18"/>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楼中海地产广场西塔</w:t>
            </w:r>
            <w:r>
              <w:rPr>
                <w:rFonts w:ascii="宋体" w:hAnsi="宋体" w:cs="宋体" w:eastAsia="宋体" w:hint="default"/>
                <w:spacing w:val="-43"/>
                <w:sz w:val="18"/>
                <w:szCs w:val="18"/>
              </w:rPr>
              <w:t> </w:t>
            </w:r>
            <w:r>
              <w:rPr>
                <w:rFonts w:ascii="宋体" w:hAnsi="宋体" w:cs="宋体" w:eastAsia="宋体" w:hint="default"/>
                <w:sz w:val="18"/>
                <w:szCs w:val="18"/>
              </w:rPr>
              <w:t>3-9</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pStyle w:val="BodyText"/>
        <w:spacing w:line="240" w:lineRule="auto" w:before="49"/>
        <w:ind w:right="0"/>
        <w:jc w:val="left"/>
      </w:pPr>
      <w:r>
        <w:rPr/>
        <w:t>公司聘请的报告期内履行持续督导职责的保荐机构</w:t>
      </w:r>
    </w:p>
    <w:p>
      <w:pPr>
        <w:pStyle w:val="BodyText"/>
        <w:spacing w:line="360" w:lineRule="auto" w:before="115"/>
        <w:ind w:right="6794"/>
        <w:jc w:val="left"/>
      </w:pPr>
      <w:r>
        <w:rPr/>
        <w:t>□ 适用 √ 不适用 公司聘请的报告期内履行持续督导职责的财务顾问</w:t>
      </w:r>
    </w:p>
    <w:p>
      <w:pPr>
        <w:pStyle w:val="BodyText"/>
        <w:spacing w:line="240" w:lineRule="auto" w:before="25"/>
        <w:ind w:right="0"/>
        <w:jc w:val="left"/>
      </w:pPr>
      <w:r>
        <w:rPr/>
        <w:t>□ 适用 √ 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8" w:lineRule="exact"/>
        <w:ind w:left="2642" w:right="0"/>
        <w:jc w:val="left"/>
        <w:rPr>
          <w:b w:val="0"/>
          <w:bCs w:val="0"/>
        </w:rPr>
      </w:pPr>
      <w:r>
        <w:rPr/>
        <w:t>第三节</w:t>
      </w:r>
      <w:r>
        <w:rPr>
          <w:spacing w:val="79"/>
        </w:rPr>
        <w:t> </w:t>
      </w:r>
      <w:r>
        <w:rPr/>
        <w:t>会计数据和财务指标摘要</w:t>
      </w:r>
      <w:r>
        <w:rPr>
          <w:b w:val="0"/>
          <w:bCs w:val="0"/>
        </w:rPr>
      </w:r>
    </w:p>
    <w:p>
      <w:pPr>
        <w:spacing w:line="240" w:lineRule="auto" w:before="5"/>
        <w:rPr>
          <w:rFonts w:ascii="微软雅黑" w:hAnsi="微软雅黑" w:cs="微软雅黑" w:eastAsia="微软雅黑" w:hint="default"/>
          <w:b/>
          <w:bCs/>
          <w:sz w:val="23"/>
          <w:szCs w:val="23"/>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微软雅黑" w:hAnsi="微软雅黑" w:cs="微软雅黑" w:eastAsia="微软雅黑" w:hint="default"/>
          <w:b/>
          <w:bCs/>
          <w:sz w:val="18"/>
          <w:szCs w:val="18"/>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t>□ 是 √ 否</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2005"/>
        <w:gridCol w:w="1567"/>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457,288,568.49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433,686,988.99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5.44%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402,162,769.87</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4,014,789.53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16,602,198.93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-75.82%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498,142,241.73</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1,164,058.40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2,727,766.92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-57.33%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4,552,728.00</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-7,974,855.52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8,927,649.08</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-187.42%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40,345,175.96</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1.39</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1.39</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22.33%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-17.73%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134.04%</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本年末比上年末增减</w:t>
            </w:r>
            <w:r>
              <w:rPr>
                <w:rFonts w:ascii="宋体" w:hAnsi="宋体" w:cs="宋体" w:eastAsia="宋体" w:hint="default"/>
                <w:sz w:val="18"/>
                <w:szCs w:val="18"/>
              </w:rPr>
              <w:t>(%)</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193,552,086.24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207,619,257.17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188,887,579.65</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89,319,948.19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85,305,158.66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4.71%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66,057,111.65</w:t>
            </w:r>
          </w:p>
        </w:tc>
      </w:tr>
    </w:tbl>
    <w:p>
      <w:pPr>
        <w:spacing w:line="240" w:lineRule="auto" w:before="1"/>
        <w:rPr>
          <w:rFonts w:ascii="宋体" w:hAnsi="宋体" w:cs="宋体" w:eastAsia="宋体" w:hint="default"/>
          <w:sz w:val="18"/>
          <w:szCs w:val="18"/>
        </w:rPr>
      </w:pPr>
    </w:p>
    <w:p>
      <w:pPr>
        <w:pStyle w:val="Heading2"/>
        <w:spacing w:line="369" w:lineRule="exact"/>
        <w:ind w:right="0"/>
        <w:jc w:val="left"/>
        <w:rPr>
          <w:b w:val="0"/>
          <w:bCs w:val="0"/>
        </w:rPr>
      </w:pPr>
      <w:r>
        <w:rPr/>
        <w:t>二、境内外会计准则下会计数据差异</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、同时按照国际会计准则与按中国会计准则披露的财务报告中净利润和净资产差异情况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22" w:right="0"/>
              <w:jc w:val="left"/>
              <w:rPr>
                <w:rFonts w:ascii="宋体" w:hAnsi="宋体" w:cs="宋体" w:eastAsia="宋体" w:hint="default"/>
                <w:sz w:val="18"/>
                <w:szCs w:val="18"/>
              </w:rPr>
            </w:pPr>
            <w:r>
              <w:rPr>
                <w:rFonts w:ascii="宋体"/>
                <w:sz w:val="18"/>
              </w:rPr>
              <w:t>4,014,789.53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9" w:right="0"/>
              <w:jc w:val="left"/>
              <w:rPr>
                <w:rFonts w:ascii="宋体" w:hAnsi="宋体" w:cs="宋体" w:eastAsia="宋体" w:hint="default"/>
                <w:sz w:val="18"/>
                <w:szCs w:val="18"/>
              </w:rPr>
            </w:pPr>
            <w:r>
              <w:rPr>
                <w:rFonts w:ascii="宋体"/>
                <w:sz w:val="18"/>
              </w:rPr>
              <w:t>16,602,198.93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sz w:val="18"/>
              </w:rPr>
              <w:t>89,319,948.19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sz w:val="18"/>
              </w:rPr>
              <w:t>85,305,158.66</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2</w:t>
      </w:r>
      <w:r>
        <w:rPr/>
        <w:t>、同时按照境外会计准则与按中国会计准则披露的财务报告中净利润和净资产差异情况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610" w:right="0"/>
              <w:jc w:val="left"/>
              <w:rPr>
                <w:rFonts w:ascii="宋体" w:hAnsi="宋体" w:cs="宋体" w:eastAsia="宋体" w:hint="default"/>
                <w:sz w:val="18"/>
                <w:szCs w:val="18"/>
              </w:rPr>
            </w:pPr>
            <w:r>
              <w:rPr>
                <w:rFonts w:ascii="宋体"/>
                <w:sz w:val="18"/>
              </w:rPr>
              <w:t>4,014,789.53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9" w:right="0"/>
              <w:jc w:val="left"/>
              <w:rPr>
                <w:rFonts w:ascii="宋体" w:hAnsi="宋体" w:cs="宋体" w:eastAsia="宋体" w:hint="default"/>
                <w:sz w:val="18"/>
                <w:szCs w:val="18"/>
              </w:rPr>
            </w:pPr>
            <w:r>
              <w:rPr>
                <w:rFonts w:ascii="宋体"/>
                <w:sz w:val="18"/>
              </w:rPr>
              <w:t>16,602,198.93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sz w:val="18"/>
              </w:rPr>
              <w:t>89,319,948.19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sz w:val="18"/>
              </w:rPr>
              <w:t>85,305,158.66</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3</w:t>
      </w:r>
      <w:r>
        <w:rPr/>
        <w:t>、境内外会计准则下会计数据差异原因说明</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无</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三、非经常性损益项目及金额</w:t>
      </w:r>
      <w:r>
        <w:rPr>
          <w:b w:val="0"/>
          <w:bCs w:val="0"/>
        </w:rPr>
      </w:r>
    </w:p>
    <w:p>
      <w:pPr>
        <w:spacing w:line="240" w:lineRule="auto" w:before="11"/>
        <w:rPr>
          <w:rFonts w:ascii="微软雅黑" w:hAnsi="微软雅黑" w:cs="微软雅黑" w:eastAsia="微软雅黑" w:hint="default"/>
          <w:b/>
          <w:bCs/>
          <w:sz w:val="15"/>
          <w:szCs w:val="1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非流动资产处臵损益（包括已计提资产减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-575,682.36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-195,631.51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-1,005,753.07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510,000.00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1,120,000.00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488,916,069.84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处臵交易性金融资产、交易性金融负债和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70,032.81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5,256,610.26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-3,876,112.18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34,465.95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352,553.89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6,152,533.62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13,881,419.30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-639,992.05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965,821.73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2,850,731.13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13,874,432.01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493,589,513.73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69"/>
        </w:rPr>
        <w:t> </w:t>
      </w:r>
      <w:r>
        <w:rPr>
          <w:spacing w:val="-7"/>
        </w:rPr>
        <w:t>号——非经常性损益》定义界定的非经常性损益项目，以及把《公</w:t>
      </w:r>
    </w:p>
    <w:p>
      <w:pPr>
        <w:pStyle w:val="BodyText"/>
        <w:spacing w:line="316" w:lineRule="auto" w:before="74"/>
        <w:ind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69"/>
        </w:rPr>
        <w:t> </w:t>
      </w:r>
      <w:r>
        <w:rPr>
          <w:spacing w:val="-3"/>
        </w:rPr>
        <w:t>号——非经常性损益》中列举的非经常性损益项目界定为经常性损益的项目，应</w:t>
      </w:r>
      <w:r>
        <w:rPr/>
        <w:t> 说明原因</w:t>
      </w:r>
    </w:p>
    <w:p>
      <w:pPr>
        <w:pStyle w:val="BodyText"/>
        <w:spacing w:line="240" w:lineRule="auto" w:before="59"/>
        <w:ind w:right="0"/>
        <w:jc w:val="left"/>
      </w:pPr>
      <w:r>
        <w:rPr/>
        <w:t>□ 适用 √ 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781912" type="#_x0000_t75" stroked="false">
            <v:imagedata r:id="rId13" o:titl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8" w:lineRule="exact"/>
        <w:ind w:left="3607" w:right="0"/>
        <w:jc w:val="left"/>
        <w:rPr>
          <w:b w:val="0"/>
          <w:bCs w:val="0"/>
        </w:rPr>
      </w:pPr>
      <w:r>
        <w:rPr/>
        <w:t>第四节</w:t>
      </w:r>
      <w:r>
        <w:rPr>
          <w:spacing w:val="70"/>
        </w:rPr>
        <w:t> </w:t>
      </w:r>
      <w:r>
        <w:rPr/>
        <w:t>董事会报告</w:t>
      </w:r>
      <w:r>
        <w:rPr>
          <w:b w:val="0"/>
          <w:bCs w:val="0"/>
        </w:rPr>
      </w:r>
    </w:p>
    <w:p>
      <w:pPr>
        <w:spacing w:line="240" w:lineRule="auto" w:before="16"/>
        <w:rPr>
          <w:rFonts w:ascii="微软雅黑" w:hAnsi="微软雅黑" w:cs="微软雅黑" w:eastAsia="微软雅黑" w:hint="default"/>
          <w:b/>
          <w:bCs/>
          <w:sz w:val="25"/>
          <w:szCs w:val="25"/>
        </w:rPr>
      </w:pPr>
    </w:p>
    <w:p>
      <w:pPr>
        <w:pStyle w:val="Heading2"/>
        <w:spacing w:line="369" w:lineRule="exact"/>
        <w:ind w:right="0"/>
        <w:jc w:val="left"/>
        <w:rPr>
          <w:b w:val="0"/>
          <w:bCs w:val="0"/>
        </w:rPr>
      </w:pPr>
      <w:r>
        <w:rPr/>
        <w:t>一、概述</w:t>
      </w:r>
      <w:r>
        <w:rPr>
          <w:b w:val="0"/>
          <w:bCs w:val="0"/>
        </w:rPr>
      </w:r>
    </w:p>
    <w:p>
      <w:pPr>
        <w:spacing w:line="240" w:lineRule="auto" w:before="14"/>
        <w:rPr>
          <w:rFonts w:ascii="微软雅黑" w:hAnsi="微软雅黑" w:cs="微软雅黑" w:eastAsia="微软雅黑" w:hint="default"/>
          <w:b/>
          <w:bCs/>
          <w:sz w:val="27"/>
          <w:szCs w:val="27"/>
        </w:rPr>
      </w:pPr>
    </w:p>
    <w:p>
      <w:pPr>
        <w:pStyle w:val="BodyText"/>
        <w:spacing w:line="489" w:lineRule="auto"/>
        <w:ind w:right="1130" w:firstLine="482"/>
        <w:jc w:val="both"/>
      </w:pPr>
      <w:r>
        <w:rPr>
          <w:rFonts w:ascii="宋体" w:hAnsi="宋体" w:cs="宋体" w:eastAsia="宋体" w:hint="default"/>
          <w:spacing w:val="-1"/>
        </w:rPr>
        <w:t>2012</w:t>
      </w:r>
      <w:r>
        <w:rPr>
          <w:spacing w:val="-1"/>
        </w:rPr>
        <w:t>年，公司围绕现有产业开展各项工作。通讯产业方面，下属的泰丰科技公司生产效率得以提升，新品制造能力有</w:t>
      </w:r>
      <w:r>
        <w:rPr/>
        <w:t> </w:t>
      </w:r>
      <w:r>
        <w:rPr>
          <w:spacing w:val="-2"/>
        </w:rPr>
        <w:t>所提高，并获得飞利浦全球供应商资格，取得了国家高新技术企业资质，汇德祥公司飞利浦电话机的国内市场占有率进一步</w:t>
      </w:r>
      <w:r>
        <w:rPr>
          <w:spacing w:val="-63"/>
        </w:rPr>
        <w:t> </w:t>
      </w:r>
      <w:r>
        <w:rPr>
          <w:spacing w:val="-63"/>
        </w:rPr>
      </w:r>
      <w:r>
        <w:rPr>
          <w:spacing w:val="-2"/>
        </w:rPr>
        <w:t>提高；农业产业方面，惠州饲料公司新厂建成投产并完成搬迁，维持了全集团主营业务的稳定；内控建设方面，公司上半年</w:t>
      </w:r>
      <w:r>
        <w:rPr>
          <w:spacing w:val="-67"/>
        </w:rPr>
        <w:t> </w:t>
      </w:r>
      <w:r>
        <w:rPr>
          <w:spacing w:val="-67"/>
        </w:rPr>
      </w:r>
      <w:r>
        <w:rPr/>
        <w:t>集中力量对内控制度体系进行了多轮次的修订完善，经批准后汇编成册，成为公司日常经营管理的操作指引。</w:t>
      </w:r>
    </w:p>
    <w:p>
      <w:pPr>
        <w:pStyle w:val="BodyText"/>
        <w:spacing w:line="489" w:lineRule="auto" w:before="58"/>
        <w:ind w:right="1129" w:firstLine="482"/>
        <w:jc w:val="both"/>
      </w:pPr>
      <w:r>
        <w:rPr>
          <w:spacing w:val="-1"/>
        </w:rPr>
        <w:t>报告期内，受国内原材料价格上涨、电话机市场持续萎缩、最低工资提高和饲料公司搬迁、养殖业务缩减发生的员工</w:t>
      </w:r>
      <w:r>
        <w:rPr/>
        <w:t> </w:t>
      </w:r>
      <w:r>
        <w:rPr>
          <w:spacing w:val="-2"/>
        </w:rPr>
        <w:t>补偿等因素的影响，公司经营业绩不甚理想，增长要素的积累进展缓慢。未来，公司面临的经营压力依然较大，尚需要付出</w:t>
      </w:r>
      <w:r>
        <w:rPr>
          <w:spacing w:val="-67"/>
        </w:rPr>
        <w:t> </w:t>
      </w:r>
      <w:r>
        <w:rPr>
          <w:spacing w:val="-67"/>
        </w:rPr>
      </w:r>
      <w:r>
        <w:rPr/>
        <w:t>更多的努力，改善经营现状、提升经营业绩。</w:t>
      </w:r>
    </w:p>
    <w:p>
      <w:pPr>
        <w:pStyle w:val="Heading2"/>
        <w:spacing w:line="240" w:lineRule="auto" w:before="74"/>
        <w:ind w:right="0"/>
        <w:jc w:val="left"/>
        <w:rPr>
          <w:b w:val="0"/>
          <w:bCs w:val="0"/>
        </w:rPr>
      </w:pPr>
      <w:r>
        <w:rPr/>
        <w:t>二、主营业务分析</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、概述</w:t>
      </w:r>
      <w:r>
        <w:rPr>
          <w:b w:val="0"/>
          <w:bCs w:val="0"/>
        </w:rPr>
      </w:r>
    </w:p>
    <w:p>
      <w:pPr>
        <w:spacing w:line="240" w:lineRule="auto" w:before="14"/>
        <w:rPr>
          <w:rFonts w:ascii="微软雅黑" w:hAnsi="微软雅黑" w:cs="微软雅黑" w:eastAsia="微软雅黑" w:hint="default"/>
          <w:b/>
          <w:bCs/>
          <w:sz w:val="28"/>
          <w:szCs w:val="28"/>
        </w:rPr>
      </w:pPr>
    </w:p>
    <w:p>
      <w:pPr>
        <w:pStyle w:val="BodyText"/>
        <w:spacing w:line="489" w:lineRule="auto"/>
        <w:ind w:right="0" w:firstLine="482"/>
        <w:jc w:val="left"/>
      </w:pPr>
      <w:r>
        <w:rPr/>
        <w:t>公司属于综合型上市公司，主要从事电话机产品的开发、生产与销售，饲料产品的开发、生产及销售，禽类饲养及销 </w:t>
      </w:r>
      <w:r>
        <w:rPr>
          <w:spacing w:val="-7"/>
        </w:rPr>
        <w:t>售，房地产经营开发，物业出租及管理等业务。</w:t>
      </w:r>
      <w:r>
        <w:rPr>
          <w:rFonts w:ascii="宋体" w:hAnsi="宋体" w:cs="宋体" w:eastAsia="宋体" w:hint="default"/>
          <w:spacing w:val="-7"/>
        </w:rPr>
        <w:t>2012</w:t>
      </w:r>
      <w:r>
        <w:rPr>
          <w:spacing w:val="-7"/>
        </w:rPr>
        <w:t>年，公司实现销售收入</w:t>
      </w:r>
      <w:r>
        <w:rPr>
          <w:rFonts w:ascii="宋体" w:hAnsi="宋体" w:cs="宋体" w:eastAsia="宋体" w:hint="default"/>
          <w:spacing w:val="-7"/>
        </w:rPr>
        <w:t>45,729</w:t>
      </w:r>
      <w:r>
        <w:rPr>
          <w:spacing w:val="-7"/>
        </w:rPr>
        <w:t>万元，上年同期</w:t>
      </w:r>
      <w:r>
        <w:rPr>
          <w:rFonts w:ascii="宋体" w:hAnsi="宋体" w:cs="宋体" w:eastAsia="宋体" w:hint="default"/>
          <w:spacing w:val="-7"/>
        </w:rPr>
        <w:t>43,369</w:t>
      </w:r>
      <w:r>
        <w:rPr>
          <w:spacing w:val="-7"/>
        </w:rPr>
        <w:t>万元，同比增长</w:t>
      </w:r>
      <w:r>
        <w:rPr>
          <w:rFonts w:ascii="宋体" w:hAnsi="宋体" w:cs="宋体" w:eastAsia="宋体" w:hint="default"/>
          <w:spacing w:val="-7"/>
        </w:rPr>
        <w:t>5.44%</w:t>
      </w:r>
      <w:r>
        <w:rPr>
          <w:spacing w:val="-7"/>
        </w:rPr>
        <w:t>。</w:t>
      </w:r>
      <w:r>
        <w:rPr>
          <w:spacing w:val="-74"/>
        </w:rPr>
        <w:t> </w:t>
      </w:r>
      <w:r>
        <w:rPr/>
        <w:t>其中，饲料产业同比增加</w:t>
      </w:r>
      <w:r>
        <w:rPr>
          <w:rFonts w:ascii="宋体" w:hAnsi="宋体" w:cs="宋体" w:eastAsia="宋体" w:hint="default"/>
        </w:rPr>
        <w:t>11.43%</w:t>
      </w:r>
      <w:r>
        <w:rPr/>
        <w:t>，电话机产业同比下降</w:t>
      </w:r>
      <w:r>
        <w:rPr>
          <w:rFonts w:ascii="宋体" w:hAnsi="宋体" w:cs="宋体" w:eastAsia="宋体" w:hint="default"/>
        </w:rPr>
        <w:t>2.85%</w:t>
      </w:r>
      <w:r>
        <w:rPr/>
        <w:t>。</w:t>
      </w:r>
      <w:r>
        <w:rPr>
          <w:spacing w:val="-47"/>
        </w:rPr>
        <w:t> </w:t>
      </w:r>
      <w:r>
        <w:rPr>
          <w:rFonts w:ascii="宋体" w:hAnsi="宋体" w:cs="宋体" w:eastAsia="宋体" w:hint="default"/>
        </w:rPr>
        <w:t>2012</w:t>
      </w:r>
      <w:r>
        <w:rPr/>
        <w:t>年，公司实现主营业务利润</w:t>
      </w:r>
      <w:r>
        <w:rPr>
          <w:rFonts w:ascii="宋体" w:hAnsi="宋体" w:cs="宋体" w:eastAsia="宋体" w:hint="default"/>
        </w:rPr>
        <w:t>5,850</w:t>
      </w:r>
      <w:r>
        <w:rPr/>
        <w:t>万元，上年同期</w:t>
      </w:r>
      <w:r>
        <w:rPr>
          <w:rFonts w:ascii="宋体" w:hAnsi="宋体" w:cs="宋体" w:eastAsia="宋体" w:hint="default"/>
        </w:rPr>
        <w:t>6,321 </w:t>
      </w:r>
      <w:r>
        <w:rPr>
          <w:spacing w:val="-2"/>
        </w:rPr>
        <w:t>万元，同比减少</w:t>
      </w:r>
      <w:r>
        <w:rPr>
          <w:rFonts w:ascii="宋体" w:hAnsi="宋体" w:cs="宋体" w:eastAsia="宋体" w:hint="default"/>
          <w:spacing w:val="-2"/>
        </w:rPr>
        <w:t>471</w:t>
      </w:r>
      <w:r>
        <w:rPr>
          <w:spacing w:val="-2"/>
        </w:rPr>
        <w:t>万元，下降</w:t>
      </w:r>
      <w:r>
        <w:rPr>
          <w:rFonts w:ascii="宋体" w:hAnsi="宋体" w:cs="宋体" w:eastAsia="宋体" w:hint="default"/>
          <w:spacing w:val="-2"/>
        </w:rPr>
        <w:t>7.45%</w:t>
      </w:r>
      <w:r>
        <w:rPr>
          <w:spacing w:val="-2"/>
        </w:rPr>
        <w:t>。</w:t>
      </w:r>
      <w:r>
        <w:rPr>
          <w:spacing w:val="32"/>
        </w:rPr>
        <w:t> </w:t>
      </w:r>
      <w:r>
        <w:rPr>
          <w:rFonts w:ascii="宋体" w:hAnsi="宋体" w:cs="宋体" w:eastAsia="宋体" w:hint="default"/>
          <w:spacing w:val="-2"/>
        </w:rPr>
        <w:t>2012</w:t>
      </w:r>
      <w:r>
        <w:rPr>
          <w:spacing w:val="-2"/>
        </w:rPr>
        <w:t>年度，公司营业利润为</w:t>
      </w:r>
      <w:r>
        <w:rPr>
          <w:rFonts w:ascii="宋体" w:hAnsi="宋体" w:cs="宋体" w:eastAsia="宋体" w:hint="default"/>
          <w:spacing w:val="-2"/>
        </w:rPr>
        <w:t>71</w:t>
      </w:r>
      <w:r>
        <w:rPr>
          <w:spacing w:val="-2"/>
        </w:rPr>
        <w:t>万元，上年度营业利润为</w:t>
      </w:r>
      <w:r>
        <w:rPr>
          <w:rFonts w:ascii="宋体" w:hAnsi="宋体" w:cs="宋体" w:eastAsia="宋体" w:hint="default"/>
          <w:spacing w:val="-2"/>
        </w:rPr>
        <w:t>422</w:t>
      </w:r>
      <w:r>
        <w:rPr>
          <w:spacing w:val="-2"/>
        </w:rPr>
        <w:t>万元，同比减少</w:t>
      </w:r>
      <w:r>
        <w:rPr>
          <w:rFonts w:ascii="宋体" w:hAnsi="宋体" w:cs="宋体" w:eastAsia="宋体" w:hint="default"/>
          <w:spacing w:val="-2"/>
        </w:rPr>
        <w:t>351</w:t>
      </w:r>
      <w:r>
        <w:rPr>
          <w:spacing w:val="-2"/>
        </w:rPr>
        <w:t>万元。</w:t>
      </w:r>
    </w:p>
    <w:p>
      <w:pPr>
        <w:spacing w:line="240" w:lineRule="auto" w:before="10"/>
        <w:rPr>
          <w:rFonts w:ascii="宋体" w:hAnsi="宋体" w:cs="宋体" w:eastAsia="宋体" w:hint="default"/>
          <w:sz w:val="21"/>
          <w:szCs w:val="21"/>
        </w:rPr>
      </w:pPr>
    </w:p>
    <w:p>
      <w:pPr>
        <w:pStyle w:val="BodyText"/>
        <w:spacing w:line="240" w:lineRule="auto"/>
        <w:ind w:right="0"/>
        <w:jc w:val="left"/>
      </w:pPr>
      <w:r>
        <w:rPr/>
        <w:t>公司实际经营业绩较曾公开披露过的本年度盈利预测低于或高于</w:t>
      </w:r>
      <w:r>
        <w:rPr>
          <w:spacing w:val="-46"/>
        </w:rPr>
        <w:t> </w:t>
      </w:r>
      <w:r>
        <w:rPr>
          <w:rFonts w:ascii="宋体" w:hAnsi="宋体" w:cs="宋体" w:eastAsia="宋体" w:hint="default"/>
        </w:rPr>
        <w:t>20%</w:t>
      </w:r>
      <w:r>
        <w:rPr/>
        <w:t>以上的差异原因</w:t>
      </w:r>
    </w:p>
    <w:p>
      <w:pPr>
        <w:pStyle w:val="BodyText"/>
        <w:spacing w:line="240" w:lineRule="auto" w:before="115"/>
        <w:ind w:right="0"/>
        <w:jc w:val="left"/>
      </w:pPr>
      <w:r>
        <w:rPr/>
        <w:t>□ 适用 √ 不适用</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w:t>
      </w:r>
      <w:r>
        <w:rPr/>
        <w:t>、收入</w:t>
      </w:r>
      <w:r>
        <w:rPr>
          <w:b w:val="0"/>
          <w:bCs w:val="0"/>
        </w:rPr>
      </w:r>
    </w:p>
    <w:p>
      <w:pPr>
        <w:spacing w:line="240" w:lineRule="auto" w:before="0"/>
        <w:rPr>
          <w:rFonts w:ascii="微软雅黑" w:hAnsi="微软雅黑" w:cs="微软雅黑" w:eastAsia="微软雅黑" w:hint="default"/>
          <w:b/>
          <w:bCs/>
          <w:sz w:val="29"/>
          <w:szCs w:val="29"/>
        </w:rPr>
      </w:pPr>
    </w:p>
    <w:p>
      <w:pPr>
        <w:pStyle w:val="BodyText"/>
        <w:spacing w:line="489" w:lineRule="auto"/>
        <w:ind w:right="1124" w:firstLine="360"/>
        <w:jc w:val="left"/>
      </w:pPr>
      <w:r>
        <w:rPr/>
        <w:t>本年销售收入为</w:t>
      </w:r>
      <w:r>
        <w:rPr>
          <w:rFonts w:ascii="宋体" w:hAnsi="宋体" w:cs="宋体" w:eastAsia="宋体" w:hint="default"/>
        </w:rPr>
        <w:t>45,728.86</w:t>
      </w:r>
      <w:r>
        <w:rPr/>
        <w:t>万元，上年销售收入为</w:t>
      </w:r>
      <w:r>
        <w:rPr>
          <w:rFonts w:ascii="宋体" w:hAnsi="宋体" w:cs="宋体" w:eastAsia="宋体" w:hint="default"/>
        </w:rPr>
        <w:t>43,368.70</w:t>
      </w:r>
      <w:r>
        <w:rPr/>
        <w:t>万元，本年比上年增加</w:t>
      </w:r>
      <w:r>
        <w:rPr>
          <w:rFonts w:ascii="宋体" w:hAnsi="宋体" w:cs="宋体" w:eastAsia="宋体" w:hint="default"/>
        </w:rPr>
        <w:t>2,360.16</w:t>
      </w:r>
      <w:r>
        <w:rPr/>
        <w:t>万元，增幅为</w:t>
      </w:r>
      <w:r>
        <w:rPr>
          <w:rFonts w:ascii="宋体" w:hAnsi="宋体" w:cs="宋体" w:eastAsia="宋体" w:hint="default"/>
        </w:rPr>
        <w:t>5.44%</w:t>
      </w:r>
      <w:r>
        <w:rPr/>
        <w:t>。主要 系饲料业的产销量上升所致。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公司实物销售收入是否大于劳务收入</w:t>
      </w:r>
    </w:p>
    <w:p>
      <w:pPr>
        <w:pStyle w:val="BodyText"/>
        <w:spacing w:line="240" w:lineRule="auto" w:before="117"/>
        <w:ind w:right="0"/>
        <w:jc w:val="left"/>
      </w:pPr>
      <w:r>
        <w:rPr/>
        <w:t>√ 是 □ 否</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12"/>
          <w:pgSz w:w="11910" w:h="16840"/>
          <w:pgMar w:footer="980" w:header="745" w:top="1060" w:bottom="1160" w:left="980" w:right="0"/>
          <w:pgNumType w:start="9"/>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144" type="#_x0000_t75" stroked="false">
            <v:imagedata r:id="rId13" o:title=""/>
          </v:shape>
        </w:pict>
      </w: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4,006,422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3,860,367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3.78%</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4,338,774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3,899,114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11.28%</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152,955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129,673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17.95%</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饲料业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83,288.93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78,322.89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6.34%</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83,681.58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78,896.53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6.06%</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1,100.17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养殖业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238,340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309,711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-23.04%</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238,340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-23.04%</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91,483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-9.3%</w:t>
            </w:r>
          </w:p>
        </w:tc>
      </w:tr>
    </w:tbl>
    <w:p>
      <w:pPr>
        <w:pStyle w:val="BodyText"/>
        <w:spacing w:line="240" w:lineRule="auto" w:before="49"/>
        <w:ind w:right="0"/>
        <w:jc w:val="left"/>
      </w:pPr>
      <w:r>
        <w:rPr/>
        <w:t>相关数据同比发生变动</w:t>
      </w:r>
      <w:r>
        <w:rPr>
          <w:spacing w:val="-47"/>
        </w:rPr>
        <w:t> </w:t>
      </w:r>
      <w:r>
        <w:rPr>
          <w:rFonts w:ascii="宋体" w:hAnsi="宋体" w:cs="宋体" w:eastAsia="宋体" w:hint="default"/>
        </w:rPr>
        <w:t>30%</w:t>
      </w:r>
      <w:r>
        <w:rPr/>
        <w:t>以上的原因说明</w:t>
      </w:r>
    </w:p>
    <w:p>
      <w:pPr>
        <w:pStyle w:val="BodyText"/>
        <w:spacing w:line="360" w:lineRule="auto" w:before="115"/>
        <w:ind w:right="8774"/>
        <w:jc w:val="left"/>
      </w:pPr>
      <w:r>
        <w:rPr/>
        <w:t>□ 适用 √ 不适用 公司重大的在手订单情况</w:t>
      </w:r>
    </w:p>
    <w:p>
      <w:pPr>
        <w:pStyle w:val="BodyText"/>
        <w:spacing w:line="360" w:lineRule="auto" w:before="25"/>
        <w:ind w:right="6434"/>
        <w:jc w:val="left"/>
      </w:pPr>
      <w:r>
        <w:rPr/>
        <w:t>□ 适用 √ 不适用 公司报告期内产品或服务发生重大变化或调整有关情况</w:t>
      </w:r>
    </w:p>
    <w:p>
      <w:pPr>
        <w:pStyle w:val="BodyText"/>
        <w:spacing w:line="357" w:lineRule="auto" w:before="27"/>
        <w:ind w:right="8954"/>
        <w:jc w:val="left"/>
      </w:pPr>
      <w:r>
        <w:rPr/>
        <w:t>□ 适用 √ 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98,580,704.12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21.56%</w:t>
            </w:r>
          </w:p>
        </w:tc>
      </w:tr>
    </w:tbl>
    <w:p>
      <w:pPr>
        <w:pStyle w:val="BodyText"/>
        <w:spacing w:line="240" w:lineRule="auto" w:before="70"/>
        <w:ind w:right="0"/>
        <w:jc w:val="left"/>
      </w:pPr>
      <w:r>
        <w:rPr/>
        <w:t>公司前</w:t>
      </w:r>
      <w:r>
        <w:rPr>
          <w:spacing w:val="-44"/>
        </w:rPr>
        <w:t> </w:t>
      </w:r>
      <w:r>
        <w:rPr>
          <w:rFonts w:ascii="宋体" w:hAnsi="宋体" w:cs="宋体" w:eastAsia="宋体" w:hint="default"/>
        </w:rPr>
        <w:t>5</w:t>
      </w:r>
      <w:r>
        <w:rPr>
          <w:rFonts w:ascii="宋体" w:hAnsi="宋体" w:cs="宋体" w:eastAsia="宋体" w:hint="default"/>
          <w:spacing w:val="-46"/>
        </w:rPr>
        <w:t> </w:t>
      </w:r>
      <w:r>
        <w:rPr/>
        <w:t>大客户资料</w:t>
      </w:r>
    </w:p>
    <w:p>
      <w:pPr>
        <w:pStyle w:val="BodyText"/>
        <w:spacing w:line="240" w:lineRule="auto" w:before="115"/>
        <w:ind w:right="0"/>
        <w:jc w:val="left"/>
      </w:pPr>
      <w:r>
        <w:rPr/>
        <w:t>√ 适用 □ 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东莞茶山袁照辉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44,939,177.85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9.83%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北京国顺泰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20,106,020.23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北京星杰生</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14,443,118.31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3.16%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广州康生</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9,794,343.16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阳江信诚饲料经营部</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9,298,044.57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98,580,704.12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21.56%</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781864" type="#_x0000_t75" stroked="false">
            <v:imagedata r:id="rId13" o:title=""/>
          </v:shape>
        </w:pict>
      </w:r>
    </w:p>
    <w:p>
      <w:pPr>
        <w:pStyle w:val="Heading3"/>
        <w:spacing w:line="336" w:lineRule="exact"/>
        <w:ind w:right="0"/>
        <w:jc w:val="left"/>
        <w:rPr>
          <w:b w:val="0"/>
          <w:bCs w:val="0"/>
        </w:rPr>
      </w:pPr>
      <w:r>
        <w:rPr>
          <w:rFonts w:ascii="Arial" w:hAnsi="Arial" w:cs="Arial" w:eastAsia="Arial" w:hint="default"/>
        </w:rPr>
        <w:t>3</w:t>
      </w:r>
      <w:r>
        <w:rPr/>
        <w:t>、成本</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饲料行业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220,286,775.15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192,060,215.15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饲料行业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15,799,549.85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14,034,970.51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饲料行业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763,724.46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881,119.23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-13.32%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饲料行业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1,813,845.60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2,013,986.80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饲料行业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759,301.96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814,800.04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饲料行业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239,423,197.02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209,805,091.73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通讯行业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103,658,953.60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106,203,415.10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通讯行业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17,276,492.26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18,000,569.18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通讯行业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1,328,960.94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1,301,582.24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通讯行业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水电费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2,657,921.89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2,523,164.49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通讯行业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1,063,168.76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1,069,265.80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通讯行业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18,465,591.76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18,242,987.80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通讯行业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144,451,089.20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147,340,984.61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畜牧业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8,970,267.29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8,357,842.14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畜牧业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799,640.06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678,872.47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畜牧业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1,016,565.03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866,706.05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畜牧业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832,659.32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712,675.13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畜牧业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11,619,131.70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10,616,095.79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租赁业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出租成本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826,446.64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721,087.20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466,034.15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产品分类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禽类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10,786,472.38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9,903,420.66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饲料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238,663,895.06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209,790,291.69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通讯产品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125,985,497.45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129,077,996.81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192" type="#_x0000_t75" stroked="false">
            <v:imagedata r:id="rId13" o:title=""/>
          </v:shape>
        </w:pict>
      </w: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21,350,033.82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3" w:right="0"/>
              <w:jc w:val="left"/>
              <w:rPr>
                <w:rFonts w:ascii="宋体" w:hAnsi="宋体" w:cs="宋体" w:eastAsia="宋体" w:hint="default"/>
                <w:sz w:val="18"/>
                <w:szCs w:val="18"/>
              </w:rPr>
            </w:pPr>
            <w:r>
              <w:rPr>
                <w:rFonts w:ascii="宋体"/>
                <w:sz w:val="18"/>
              </w:rPr>
              <w:t>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19,711,550.17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3" w:right="0"/>
              <w:jc w:val="left"/>
              <w:rPr>
                <w:rFonts w:ascii="宋体" w:hAnsi="宋体" w:cs="宋体" w:eastAsia="宋体" w:hint="default"/>
                <w:sz w:val="18"/>
                <w:szCs w:val="18"/>
              </w:rPr>
            </w:pPr>
            <w:r>
              <w:rPr>
                <w:rFonts w:ascii="宋体"/>
                <w:sz w:val="18"/>
              </w:rPr>
              <w:t>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3" w:right="0"/>
              <w:jc w:val="left"/>
              <w:rPr>
                <w:rFonts w:ascii="宋体" w:hAnsi="宋体" w:cs="宋体" w:eastAsia="宋体" w:hint="default"/>
                <w:sz w:val="18"/>
                <w:szCs w:val="18"/>
              </w:rPr>
            </w:pPr>
            <w:r>
              <w:rPr>
                <w:rFonts w:ascii="宋体"/>
                <w:sz w:val="18"/>
              </w:rPr>
              <w:t>8.31%</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64,897,515.17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20.45%</w:t>
            </w:r>
          </w:p>
        </w:tc>
      </w:tr>
    </w:tbl>
    <w:p>
      <w:pPr>
        <w:pStyle w:val="BodyText"/>
        <w:spacing w:line="240" w:lineRule="auto" w:before="49"/>
        <w:ind w:right="0"/>
        <w:jc w:val="left"/>
      </w:pPr>
      <w:r>
        <w:rPr/>
        <w:t>公司前</w:t>
      </w:r>
      <w:r>
        <w:rPr>
          <w:spacing w:val="-44"/>
        </w:rPr>
        <w:t> </w:t>
      </w:r>
      <w:r>
        <w:rPr>
          <w:rFonts w:ascii="宋体" w:hAnsi="宋体" w:cs="宋体" w:eastAsia="宋体" w:hint="default"/>
        </w:rPr>
        <w:t>5</w:t>
      </w:r>
      <w:r>
        <w:rPr>
          <w:rFonts w:ascii="宋体" w:hAnsi="宋体" w:cs="宋体" w:eastAsia="宋体" w:hint="default"/>
          <w:spacing w:val="-46"/>
        </w:rPr>
        <w:t> </w:t>
      </w:r>
      <w:r>
        <w:rPr/>
        <w:t>名供应商资料</w:t>
      </w:r>
    </w:p>
    <w:p>
      <w:pPr>
        <w:pStyle w:val="BodyText"/>
        <w:spacing w:line="240" w:lineRule="auto" w:before="115"/>
        <w:ind w:right="0"/>
        <w:jc w:val="left"/>
      </w:pPr>
      <w:r>
        <w:rPr/>
        <w:t>√ 适用 □ 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中粮新沙粮油工业</w:t>
            </w:r>
            <w:r>
              <w:rPr>
                <w:rFonts w:ascii="宋体" w:hAnsi="宋体" w:cs="宋体" w:eastAsia="宋体" w:hint="default"/>
                <w:sz w:val="18"/>
                <w:szCs w:val="18"/>
              </w:rPr>
              <w:t>(</w:t>
            </w:r>
            <w:r>
              <w:rPr>
                <w:rFonts w:ascii="宋体" w:hAnsi="宋体" w:cs="宋体" w:eastAsia="宋体" w:hint="default"/>
                <w:sz w:val="18"/>
                <w:szCs w:val="18"/>
              </w:rPr>
              <w:t>东莞</w:t>
            </w:r>
            <w:r>
              <w:rPr>
                <w:rFonts w:ascii="宋体" w:hAnsi="宋体" w:cs="宋体" w:eastAsia="宋体" w:hint="default"/>
                <w:sz w:val="18"/>
                <w:szCs w:val="18"/>
              </w:rPr>
              <w:t>)</w:t>
            </w:r>
            <w:r>
              <w:rPr>
                <w:rFonts w:ascii="宋体" w:hAnsi="宋体" w:cs="宋体" w:eastAsia="宋体" w:hint="default"/>
                <w:sz w:val="18"/>
                <w:szCs w:val="18"/>
              </w:rPr>
              <w:t>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27,255,508.51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8.59%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沈阳金海隆兴农牧科技有限公司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14,516,734.05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4.58%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青州市华盛饲料有限公司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10,901,555.83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东莞市新泉塑胶原料有限公司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6,351,980.00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深圳市晶讯软件通讯技术有限公司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5,871,736.78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64,897,515.17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20.45%</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4</w:t>
      </w:r>
      <w:r>
        <w:rPr/>
        <w:t>、费用</w:t>
      </w:r>
      <w:r>
        <w:rPr>
          <w:b w:val="0"/>
          <w:bCs w:val="0"/>
        </w:rPr>
      </w:r>
    </w:p>
    <w:p>
      <w:pPr>
        <w:spacing w:line="240" w:lineRule="auto" w:before="17"/>
        <w:rPr>
          <w:rFonts w:ascii="微软雅黑" w:hAnsi="微软雅黑" w:cs="微软雅黑" w:eastAsia="微软雅黑" w:hint="default"/>
          <w:b/>
          <w:bCs/>
          <w:sz w:val="28"/>
          <w:szCs w:val="28"/>
        </w:rPr>
      </w:pPr>
    </w:p>
    <w:p>
      <w:pPr>
        <w:pStyle w:val="BodyText"/>
        <w:spacing w:line="489" w:lineRule="auto"/>
        <w:ind w:left="513" w:right="2473"/>
        <w:jc w:val="left"/>
      </w:pPr>
      <w:r>
        <w:rPr/>
        <w:t>财务费用同比下降</w:t>
      </w:r>
      <w:r>
        <w:rPr>
          <w:rFonts w:ascii="宋体" w:hAnsi="宋体" w:cs="宋体" w:eastAsia="宋体" w:hint="default"/>
        </w:rPr>
        <w:t>39.8%</w:t>
      </w:r>
      <w:r>
        <w:rPr/>
        <w:t>主要系本年度汇兑损失比上年度大幅减少所致。 所得税费用同比减少</w:t>
      </w:r>
      <w:r>
        <w:rPr>
          <w:rFonts w:ascii="宋体" w:hAnsi="宋体" w:cs="宋体" w:eastAsia="宋体" w:hint="default"/>
        </w:rPr>
        <w:t>66.53%</w:t>
      </w:r>
      <w:r>
        <w:rPr/>
        <w:t>，主要原因系本年度公司利润总额下降，导致当期所得税费用减少所致。</w:t>
      </w:r>
    </w:p>
    <w:p>
      <w:pPr>
        <w:pStyle w:val="Heading3"/>
        <w:spacing w:line="240" w:lineRule="auto" w:before="109"/>
        <w:ind w:right="0"/>
        <w:jc w:val="left"/>
        <w:rPr>
          <w:b w:val="0"/>
          <w:bCs w:val="0"/>
        </w:rPr>
      </w:pPr>
      <w:r>
        <w:rPr>
          <w:rFonts w:ascii="Arial" w:hAnsi="Arial" w:cs="Arial" w:eastAsia="Arial" w:hint="default"/>
        </w:rPr>
        <w:t>5</w:t>
      </w:r>
      <w:r>
        <w:rPr/>
        <w:t>、研发支出</w:t>
      </w:r>
      <w:r>
        <w:rPr>
          <w:b w:val="0"/>
          <w:bCs w:val="0"/>
        </w:rPr>
      </w:r>
    </w:p>
    <w:p>
      <w:pPr>
        <w:spacing w:line="240" w:lineRule="auto" w:before="17"/>
        <w:rPr>
          <w:rFonts w:ascii="微软雅黑" w:hAnsi="微软雅黑" w:cs="微软雅黑" w:eastAsia="微软雅黑" w:hint="default"/>
          <w:b/>
          <w:bCs/>
          <w:sz w:val="28"/>
          <w:szCs w:val="28"/>
        </w:rPr>
      </w:pPr>
    </w:p>
    <w:p>
      <w:pPr>
        <w:pStyle w:val="BodyText"/>
        <w:spacing w:line="489" w:lineRule="auto"/>
        <w:ind w:right="1129" w:firstLine="360"/>
        <w:jc w:val="both"/>
      </w:pPr>
      <w:r>
        <w:rPr/>
        <w:t>本报告期研发支出</w:t>
      </w:r>
      <w:r>
        <w:rPr>
          <w:rFonts w:ascii="宋体" w:hAnsi="宋体" w:cs="宋体" w:eastAsia="宋体" w:hint="default"/>
        </w:rPr>
        <w:t>1,977,082.74</w:t>
      </w:r>
      <w:r>
        <w:rPr/>
        <w:t>元，主要是研发新的电话机机型和应用于</w:t>
      </w:r>
      <w:r>
        <w:rPr>
          <w:rFonts w:ascii="宋体" w:hAnsi="宋体" w:cs="宋体" w:eastAsia="宋体" w:hint="default"/>
        </w:rPr>
        <w:t>IMS</w:t>
      </w:r>
      <w:r>
        <w:rPr/>
        <w:t>产品的通讯技术，电话机机型的研发已经 基本完成，主要是调整公司电话机产品的销售结构，提高公司通讯产品的盈利水平；应用于</w:t>
      </w:r>
      <w:r>
        <w:rPr>
          <w:rFonts w:ascii="宋体" w:hAnsi="宋体" w:cs="宋体" w:eastAsia="宋体" w:hint="default"/>
        </w:rPr>
        <w:t>IMS</w:t>
      </w:r>
      <w:r>
        <w:rPr/>
        <w:t>产品的通讯技术的研发尚处</w:t>
      </w:r>
      <w:r>
        <w:rPr>
          <w:spacing w:val="-85"/>
        </w:rPr>
        <w:t> </w:t>
      </w:r>
      <w:r>
        <w:rPr/>
        <w:t>于起步阶段。</w:t>
      </w:r>
    </w:p>
    <w:p>
      <w:pPr>
        <w:pStyle w:val="BodyText"/>
        <w:spacing w:line="489" w:lineRule="auto" w:before="57"/>
        <w:ind w:left="513" w:right="2293"/>
        <w:jc w:val="left"/>
      </w:pPr>
      <w:r>
        <w:rPr/>
        <w:t>本报告期研发支出占公司最近一期经审计净资产、营业收入的比例分别为</w:t>
      </w:r>
      <w:r>
        <w:rPr>
          <w:rFonts w:ascii="宋体" w:hAnsi="宋体" w:cs="宋体" w:eastAsia="宋体" w:hint="default"/>
        </w:rPr>
        <w:t>2.21%</w:t>
      </w:r>
      <w:r>
        <w:rPr/>
        <w:t>、</w:t>
      </w:r>
      <w:r>
        <w:rPr>
          <w:rFonts w:ascii="宋体" w:hAnsi="宋体" w:cs="宋体" w:eastAsia="宋体" w:hint="default"/>
        </w:rPr>
        <w:t>0.43%</w:t>
      </w:r>
      <w:r>
        <w:rPr/>
        <w:t>。 本报告期研发支出同比下降</w:t>
      </w:r>
      <w:r>
        <w:rPr>
          <w:rFonts w:ascii="宋体" w:hAnsi="宋体" w:cs="宋体" w:eastAsia="宋体" w:hint="default"/>
        </w:rPr>
        <w:t>34.48%</w:t>
      </w:r>
      <w:r>
        <w:rPr/>
        <w:t>，主要是本报告期研发新产品的数量有所减少，研发费用相对降低。</w:t>
      </w:r>
    </w:p>
    <w:p>
      <w:pPr>
        <w:pStyle w:val="Heading3"/>
        <w:spacing w:line="240" w:lineRule="auto" w:before="109"/>
        <w:ind w:right="0"/>
        <w:jc w:val="left"/>
        <w:rPr>
          <w:b w:val="0"/>
          <w:bCs w:val="0"/>
        </w:rPr>
      </w:pPr>
      <w:r>
        <w:rPr>
          <w:rFonts w:ascii="Arial" w:hAnsi="Arial" w:cs="Arial" w:eastAsia="Arial" w:hint="default"/>
        </w:rPr>
        <w:t>6</w:t>
      </w:r>
      <w:r>
        <w:rPr/>
        <w:t>、现金流</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98"/>
        <w:gridCol w:w="2275"/>
        <w:gridCol w:w="2393"/>
        <w:gridCol w:w="2393"/>
      </w:tblGrid>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476,034,012.53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479,607,969.69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-0.75%</w:t>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484,008,868.05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470,680,320.61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2.83%</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-7,974,855.52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8,927,649.08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-189.33%</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781816"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2519"/>
        <w:gridCol w:w="2264"/>
        <w:gridCol w:w="2393"/>
        <w:gridCol w:w="2393"/>
      </w:tblGrid>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-87.02%</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23,473,809.70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23,013,762.73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-23,393,809.70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-22,397,262.73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-4.45%</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12,496,600.00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1,595,453.71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10,901,146.29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-20,467,518.93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-13,469,613.65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-51.95%</w:t>
            </w:r>
          </w:p>
        </w:tc>
      </w:tr>
    </w:tbl>
    <w:p>
      <w:pPr>
        <w:pStyle w:val="BodyText"/>
        <w:spacing w:line="240" w:lineRule="auto" w:before="49"/>
        <w:ind w:right="0"/>
        <w:jc w:val="left"/>
      </w:pPr>
      <w:r>
        <w:rPr/>
        <w:t>相关数据同比发生变动</w:t>
      </w:r>
      <w:r>
        <w:rPr>
          <w:spacing w:val="-48"/>
        </w:rPr>
        <w:t> </w:t>
      </w:r>
      <w:r>
        <w:rPr>
          <w:rFonts w:ascii="宋体" w:hAnsi="宋体" w:cs="宋体" w:eastAsia="宋体" w:hint="default"/>
        </w:rPr>
        <w:t>30%</w:t>
      </w:r>
      <w:r>
        <w:rPr/>
        <w:t>以上的原因说明</w:t>
      </w:r>
    </w:p>
    <w:p>
      <w:pPr>
        <w:pStyle w:val="BodyText"/>
        <w:spacing w:line="508" w:lineRule="auto" w:before="115"/>
        <w:ind w:left="513" w:right="3463" w:hanging="361"/>
        <w:jc w:val="left"/>
      </w:pPr>
      <w:r>
        <w:rPr/>
        <w:t>√ 适用 □ 不适用 本期经营活动产生的现金流量净额减少</w:t>
      </w:r>
      <w:r>
        <w:rPr>
          <w:rFonts w:ascii="宋体" w:hAnsi="宋体" w:cs="宋体" w:eastAsia="宋体" w:hint="default"/>
        </w:rPr>
        <w:t>189.33%</w:t>
      </w:r>
      <w:r>
        <w:rPr/>
        <w:t>主要是上期应付票据在本期兑现引起的； 本期投资活动产生的现金流入量减少</w:t>
      </w:r>
      <w:r>
        <w:rPr>
          <w:rFonts w:ascii="宋体" w:hAnsi="宋体" w:cs="宋体" w:eastAsia="宋体" w:hint="default"/>
        </w:rPr>
        <w:t>87.02%</w:t>
      </w:r>
      <w:r>
        <w:rPr/>
        <w:t>主要是本期处臵固定资产收入减少所致；</w:t>
      </w:r>
    </w:p>
    <w:p>
      <w:pPr>
        <w:pStyle w:val="BodyText"/>
        <w:spacing w:line="362" w:lineRule="auto" w:before="43"/>
        <w:ind w:right="3734" w:firstLine="360"/>
        <w:jc w:val="left"/>
      </w:pPr>
      <w:r>
        <w:rPr/>
        <w:t>本期现金及现金等价物净增加额减少</w:t>
      </w:r>
      <w:r>
        <w:rPr>
          <w:rFonts w:ascii="宋体" w:hAnsi="宋体" w:cs="宋体" w:eastAsia="宋体" w:hint="default"/>
        </w:rPr>
        <w:t>51.95%</w:t>
      </w:r>
      <w:r>
        <w:rPr/>
        <w:t>主要是上期应付票据在本期兑现引起的。 报告期内公司经营活动的现金流量与本年度净利润存在重大差异的原因说明</w:t>
      </w:r>
    </w:p>
    <w:p>
      <w:pPr>
        <w:pStyle w:val="BodyText"/>
        <w:spacing w:line="240" w:lineRule="auto" w:before="23"/>
        <w:ind w:right="0"/>
        <w:jc w:val="left"/>
      </w:pPr>
      <w:r>
        <w:rPr/>
        <w:t>√ 适用 □ 不适用</w:t>
      </w:r>
    </w:p>
    <w:p>
      <w:pPr>
        <w:spacing w:line="240" w:lineRule="auto" w:before="8"/>
        <w:rPr>
          <w:rFonts w:ascii="宋体" w:hAnsi="宋体" w:cs="宋体" w:eastAsia="宋体" w:hint="default"/>
          <w:sz w:val="21"/>
          <w:szCs w:val="21"/>
        </w:rPr>
      </w:pPr>
    </w:p>
    <w:p>
      <w:pPr>
        <w:pStyle w:val="BodyText"/>
        <w:spacing w:line="489" w:lineRule="auto"/>
        <w:ind w:right="1124" w:firstLine="360"/>
        <w:jc w:val="left"/>
      </w:pPr>
      <w:r>
        <w:rPr/>
        <w:t>本年净利润</w:t>
      </w:r>
      <w:r>
        <w:rPr>
          <w:rFonts w:ascii="宋体" w:hAnsi="宋体" w:cs="宋体" w:eastAsia="宋体" w:hint="default"/>
        </w:rPr>
        <w:t>4,014,789.53</w:t>
      </w:r>
      <w:r>
        <w:rPr/>
        <w:t>元，经营活动产生的现金流量净额为</w:t>
      </w:r>
      <w:r>
        <w:rPr>
          <w:rFonts w:ascii="宋体" w:hAnsi="宋体" w:cs="宋体" w:eastAsia="宋体" w:hint="default"/>
        </w:rPr>
        <w:t>-7,974,855.52</w:t>
      </w:r>
      <w:r>
        <w:rPr/>
        <w:t>元，差异</w:t>
      </w:r>
      <w:r>
        <w:rPr>
          <w:rFonts w:ascii="宋体" w:hAnsi="宋体" w:cs="宋体" w:eastAsia="宋体" w:hint="default"/>
        </w:rPr>
        <w:t>-11,989,645.05</w:t>
      </w:r>
      <w:r>
        <w:rPr/>
        <w:t>元。主要是本年 度经营性应付项目减少所致。</w:t>
      </w:r>
    </w:p>
    <w:p>
      <w:pPr>
        <w:pStyle w:val="Heading2"/>
        <w:spacing w:line="240" w:lineRule="auto" w:before="74"/>
        <w:ind w:right="0"/>
        <w:jc w:val="left"/>
        <w:rPr>
          <w:b w:val="0"/>
          <w:bCs w:val="0"/>
        </w:rPr>
      </w:pPr>
      <w:r>
        <w:rPr/>
        <w:t>三、主营业务构成情况</w:t>
      </w:r>
      <w:r>
        <w:rPr>
          <w:b w:val="0"/>
          <w:bCs w:val="0"/>
        </w:rPr>
      </w:r>
    </w:p>
    <w:p>
      <w:pPr>
        <w:spacing w:line="240" w:lineRule="auto" w:before="4"/>
        <w:rPr>
          <w:rFonts w:ascii="微软雅黑" w:hAnsi="微软雅黑" w:cs="微软雅黑" w:eastAsia="微软雅黑" w:hint="default"/>
          <w:b/>
          <w:bCs/>
          <w:sz w:val="18"/>
          <w:szCs w:val="18"/>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47" w:hanging="4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宋体" w:hAnsi="宋体" w:cs="宋体" w:eastAsia="宋体"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50" w:hanging="4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宋体" w:hAnsi="宋体" w:cs="宋体" w:eastAsia="宋体"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48" w:hanging="13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178,707,743.32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137,184,001.09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263,198,978.19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250,119,142.16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物业管理及出租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11,249,883.44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7,491,304.28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1,770,881.00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466,034.15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-26.32%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178,707,743.32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137,184,001.09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252,264,382.89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239,326,457.10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肉鸡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10,934,595.30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10,792,685.06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物业及出租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11,249,883.44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7,491,304.28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1,770,881.00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466,034.15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-26.32%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446,401,206.71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388,451,184.47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-0.87%</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240" type="#_x0000_t75" stroked="false">
            <v:imagedata r:id="rId13" o:title=""/>
          </v:shape>
        </w:pict>
      </w: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sz w:val="18"/>
              </w:rPr>
              <w:t>8,526,279.24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sz w:val="18"/>
              </w:rPr>
              <w:t>6,809,297.21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sz w:val="18"/>
              </w:rPr>
              <w:t>20.14%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3" w:right="0"/>
              <w:jc w:val="left"/>
              <w:rPr>
                <w:rFonts w:ascii="宋体" w:hAnsi="宋体" w:cs="宋体" w:eastAsia="宋体" w:hint="default"/>
                <w:sz w:val="18"/>
                <w:szCs w:val="18"/>
              </w:rPr>
            </w:pPr>
            <w:r>
              <w:rPr>
                <w:rFonts w:ascii="宋体"/>
                <w:sz w:val="18"/>
              </w:rPr>
              <w:t>-58.49%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3" w:right="0"/>
              <w:jc w:val="left"/>
              <w:rPr>
                <w:rFonts w:ascii="宋体" w:hAnsi="宋体" w:cs="宋体" w:eastAsia="宋体" w:hint="default"/>
                <w:sz w:val="18"/>
                <w:szCs w:val="18"/>
              </w:rPr>
            </w:pPr>
            <w:r>
              <w:rPr>
                <w:rFonts w:ascii="宋体"/>
                <w:sz w:val="18"/>
              </w:rPr>
              <w:t>-54.16%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9" w:right="0"/>
              <w:jc w:val="left"/>
              <w:rPr>
                <w:rFonts w:ascii="宋体" w:hAnsi="宋体" w:cs="宋体" w:eastAsia="宋体" w:hint="default"/>
                <w:sz w:val="18"/>
                <w:szCs w:val="18"/>
              </w:rPr>
            </w:pPr>
            <w:r>
              <w:rPr>
                <w:rFonts w:ascii="宋体"/>
                <w:sz w:val="18"/>
              </w:rPr>
              <w:t>-7.53%</w:t>
            </w:r>
          </w:p>
        </w:tc>
      </w:tr>
    </w:tbl>
    <w:p>
      <w:pPr>
        <w:pStyle w:val="BodyText"/>
        <w:spacing w:line="240" w:lineRule="auto" w:before="49"/>
        <w:ind w:right="0"/>
        <w:jc w:val="left"/>
      </w:pPr>
      <w:r>
        <w:rPr/>
        <w:t>公司主营业务数据统计口径在报告期发生调整的情况下，公司最近</w:t>
      </w:r>
      <w:r>
        <w:rPr>
          <w:spacing w:val="-43"/>
        </w:rPr>
        <w:t> </w:t>
      </w:r>
      <w:r>
        <w:rPr>
          <w:rFonts w:ascii="宋体" w:hAnsi="宋体" w:cs="宋体" w:eastAsia="宋体" w:hint="default"/>
        </w:rPr>
        <w:t>1</w:t>
      </w:r>
      <w:r>
        <w:rPr>
          <w:rFonts w:ascii="宋体" w:hAnsi="宋体" w:cs="宋体" w:eastAsia="宋体" w:hint="default"/>
          <w:spacing w:val="-46"/>
        </w:rPr>
        <w:t> </w:t>
      </w:r>
      <w:r>
        <w:rPr/>
        <w:t>年按报告期末口径调整后的主营业务数据</w:t>
      </w:r>
    </w:p>
    <w:p>
      <w:pPr>
        <w:pStyle w:val="BodyText"/>
        <w:spacing w:line="240" w:lineRule="auto" w:before="115"/>
        <w:ind w:right="0"/>
        <w:jc w:val="left"/>
      </w:pPr>
      <w:r>
        <w:rPr/>
        <w:t>□ 适用 √ 不适用</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四、资产、负债状况分析</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、资产项目重大变动情况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8"/>
        <w:gridCol w:w="1272"/>
        <w:gridCol w:w="1064"/>
        <w:gridCol w:w="1265"/>
        <w:gridCol w:w="994"/>
        <w:gridCol w:w="797"/>
        <w:gridCol w:w="2919"/>
      </w:tblGrid>
      <w:tr>
        <w:trPr>
          <w:trHeight w:val="206" w:hRule="exact"/>
        </w:trPr>
        <w:tc>
          <w:tcPr>
            <w:tcW w:w="1248" w:type="dxa"/>
            <w:vMerge w:val="restart"/>
            <w:tcBorders>
              <w:top w:val="single" w:sz="4" w:space="0" w:color="000000"/>
              <w:left w:val="single" w:sz="4" w:space="0" w:color="000000"/>
              <w:right w:val="single" w:sz="4" w:space="0" w:color="000000"/>
            </w:tcBorders>
            <w:shd w:val="clear" w:color="auto" w:fill="D2D2D2"/>
          </w:tcPr>
          <w:p>
            <w:pPr/>
          </w:p>
        </w:tc>
        <w:tc>
          <w:tcPr>
            <w:tcW w:w="23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2336"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0"/>
              <w:ind w:left="211" w:right="75"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0"/>
              <w:ind w:left="175" w:right="41"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2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272"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3" w:right="0"/>
              <w:jc w:val="left"/>
              <w:rPr>
                <w:rFonts w:ascii="宋体" w:hAnsi="宋体" w:cs="宋体" w:eastAsia="宋体" w:hint="default"/>
                <w:sz w:val="18"/>
                <w:szCs w:val="18"/>
              </w:rPr>
            </w:pPr>
            <w:r>
              <w:rPr>
                <w:rFonts w:ascii="宋体"/>
                <w:sz w:val="18"/>
              </w:rPr>
              <w:t>30,629,230.53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2" w:right="0"/>
              <w:jc w:val="left"/>
              <w:rPr>
                <w:rFonts w:ascii="宋体" w:hAnsi="宋体" w:cs="宋体" w:eastAsia="宋体" w:hint="default"/>
                <w:sz w:val="18"/>
                <w:szCs w:val="18"/>
              </w:rPr>
            </w:pPr>
            <w:r>
              <w:rPr>
                <w:rFonts w:ascii="宋体"/>
                <w:sz w:val="18"/>
              </w:rPr>
              <w:t>15.82%</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sz w:val="18"/>
              </w:rPr>
              <w:t>51,096,749.46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20" w:right="0"/>
              <w:jc w:val="left"/>
              <w:rPr>
                <w:rFonts w:ascii="宋体" w:hAnsi="宋体" w:cs="宋体" w:eastAsia="宋体" w:hint="default"/>
                <w:sz w:val="18"/>
                <w:szCs w:val="18"/>
              </w:rPr>
            </w:pPr>
            <w:r>
              <w:rPr>
                <w:rFonts w:ascii="宋体"/>
                <w:sz w:val="18"/>
              </w:rPr>
              <w:t>24.61%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sz w:val="18"/>
              </w:rPr>
              <w:t>-8.79%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货币资金比年初数减少</w:t>
            </w:r>
            <w:r>
              <w:rPr>
                <w:rFonts w:ascii="宋体" w:hAnsi="宋体" w:cs="宋体" w:eastAsia="宋体" w:hint="default"/>
                <w:spacing w:val="-39"/>
                <w:sz w:val="18"/>
                <w:szCs w:val="18"/>
              </w:rPr>
              <w:t> </w:t>
            </w:r>
            <w:r>
              <w:rPr>
                <w:rFonts w:ascii="宋体" w:hAnsi="宋体" w:cs="宋体" w:eastAsia="宋体" w:hint="default"/>
                <w:spacing w:val="-8"/>
                <w:sz w:val="18"/>
                <w:szCs w:val="18"/>
              </w:rPr>
              <w:t>40.06%</w:t>
            </w:r>
            <w:r>
              <w:rPr>
                <w:rFonts w:ascii="宋体" w:hAnsi="宋体" w:cs="宋体" w:eastAsia="宋体" w:hint="default"/>
                <w:spacing w:val="-8"/>
                <w:sz w:val="18"/>
                <w:szCs w:val="18"/>
              </w:rPr>
              <w:t>，主要</w:t>
            </w:r>
            <w:r>
              <w:rPr>
                <w:rFonts w:ascii="宋体" w:hAnsi="宋体" w:cs="宋体" w:eastAsia="宋体" w:hint="default"/>
                <w:sz w:val="18"/>
                <w:szCs w:val="18"/>
              </w:rPr>
              <w:t> 原因系本年度基建支出和设备支出 较多导致。</w:t>
            </w:r>
          </w:p>
        </w:tc>
      </w:tr>
      <w:tr>
        <w:trPr>
          <w:trHeight w:val="391"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2"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3" w:right="0"/>
              <w:jc w:val="left"/>
              <w:rPr>
                <w:rFonts w:ascii="宋体" w:hAnsi="宋体" w:cs="宋体" w:eastAsia="宋体" w:hint="default"/>
                <w:sz w:val="18"/>
                <w:szCs w:val="18"/>
              </w:rPr>
            </w:pPr>
            <w:r>
              <w:rPr>
                <w:rFonts w:ascii="宋体"/>
                <w:sz w:val="18"/>
              </w:rPr>
              <w:t>13,185,304.63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1" w:right="0"/>
              <w:jc w:val="left"/>
              <w:rPr>
                <w:rFonts w:ascii="宋体" w:hAnsi="宋体" w:cs="宋体" w:eastAsia="宋体" w:hint="default"/>
                <w:sz w:val="18"/>
                <w:szCs w:val="18"/>
              </w:rPr>
            </w:pPr>
            <w:r>
              <w:rPr>
                <w:rFonts w:ascii="宋体"/>
                <w:sz w:val="18"/>
              </w:rPr>
              <w:t>6.81%</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sz w:val="18"/>
              </w:rPr>
              <w:t>29,241,604.12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20" w:right="0"/>
              <w:jc w:val="left"/>
              <w:rPr>
                <w:rFonts w:ascii="宋体" w:hAnsi="宋体" w:cs="宋体" w:eastAsia="宋体" w:hint="default"/>
                <w:sz w:val="18"/>
                <w:szCs w:val="18"/>
              </w:rPr>
            </w:pPr>
            <w:r>
              <w:rPr>
                <w:rFonts w:ascii="宋体"/>
                <w:sz w:val="18"/>
              </w:rPr>
              <w:t>14.08%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sz w:val="18"/>
              </w:rPr>
              <w:t>-7.27%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应收账款比年初数减少</w:t>
            </w:r>
            <w:r>
              <w:rPr>
                <w:rFonts w:ascii="宋体" w:hAnsi="宋体" w:cs="宋体" w:eastAsia="宋体" w:hint="default"/>
                <w:spacing w:val="-39"/>
                <w:sz w:val="18"/>
                <w:szCs w:val="18"/>
              </w:rPr>
              <w:t> </w:t>
            </w:r>
            <w:r>
              <w:rPr>
                <w:rFonts w:ascii="宋体" w:hAnsi="宋体" w:cs="宋体" w:eastAsia="宋体" w:hint="default"/>
                <w:spacing w:val="-8"/>
                <w:sz w:val="18"/>
                <w:szCs w:val="18"/>
              </w:rPr>
              <w:t>54.91%</w:t>
            </w:r>
            <w:r>
              <w:rPr>
                <w:rFonts w:ascii="宋体" w:hAnsi="宋体" w:cs="宋体" w:eastAsia="宋体" w:hint="default"/>
                <w:spacing w:val="-8"/>
                <w:sz w:val="18"/>
                <w:szCs w:val="18"/>
              </w:rPr>
              <w:t>，主要</w:t>
            </w:r>
            <w:r>
              <w:rPr>
                <w:rFonts w:ascii="宋体" w:hAnsi="宋体" w:cs="宋体" w:eastAsia="宋体" w:hint="default"/>
                <w:sz w:val="18"/>
                <w:szCs w:val="18"/>
              </w:rPr>
              <w:t> 原因系本年度货款结算方式多用银 行承兑汇票的方式结算所致。</w:t>
            </w:r>
          </w:p>
        </w:tc>
      </w:tr>
      <w:tr>
        <w:trPr>
          <w:trHeight w:val="394"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2"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47,547,870.90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46,066,565.78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2"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3" w:right="0"/>
              <w:jc w:val="left"/>
              <w:rPr>
                <w:rFonts w:ascii="宋体" w:hAnsi="宋体" w:cs="宋体" w:eastAsia="宋体" w:hint="default"/>
                <w:sz w:val="18"/>
                <w:szCs w:val="18"/>
              </w:rPr>
            </w:pPr>
            <w:r>
              <w:rPr>
                <w:rFonts w:ascii="宋体"/>
                <w:sz w:val="18"/>
              </w:rPr>
              <w:t>72,142,264.46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92" w:right="0"/>
              <w:jc w:val="left"/>
              <w:rPr>
                <w:rFonts w:ascii="宋体" w:hAnsi="宋体" w:cs="宋体" w:eastAsia="宋体" w:hint="default"/>
                <w:sz w:val="18"/>
                <w:szCs w:val="18"/>
              </w:rPr>
            </w:pPr>
            <w:r>
              <w:rPr>
                <w:rFonts w:ascii="宋体"/>
                <w:sz w:val="18"/>
              </w:rPr>
              <w:t>37.27%</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 w:right="0"/>
              <w:jc w:val="left"/>
              <w:rPr>
                <w:rFonts w:ascii="宋体" w:hAnsi="宋体" w:cs="宋体" w:eastAsia="宋体" w:hint="default"/>
                <w:sz w:val="18"/>
                <w:szCs w:val="18"/>
              </w:rPr>
            </w:pPr>
            <w:r>
              <w:rPr>
                <w:rFonts w:ascii="宋体"/>
                <w:sz w:val="18"/>
              </w:rPr>
              <w:t>36,809,745.26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20" w:right="0"/>
              <w:jc w:val="left"/>
              <w:rPr>
                <w:rFonts w:ascii="宋体" w:hAnsi="宋体" w:cs="宋体" w:eastAsia="宋体" w:hint="default"/>
                <w:sz w:val="18"/>
                <w:szCs w:val="18"/>
              </w:rPr>
            </w:pPr>
            <w:r>
              <w:rPr>
                <w:rFonts w:ascii="宋体"/>
                <w:sz w:val="18"/>
              </w:rPr>
              <w:t>17.73%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5" w:right="0"/>
              <w:jc w:val="left"/>
              <w:rPr>
                <w:rFonts w:ascii="宋体" w:hAnsi="宋体" w:cs="宋体" w:eastAsia="宋体" w:hint="default"/>
                <w:sz w:val="18"/>
                <w:szCs w:val="18"/>
              </w:rPr>
            </w:pPr>
            <w:r>
              <w:rPr>
                <w:rFonts w:ascii="宋体"/>
                <w:sz w:val="18"/>
              </w:rPr>
              <w:t>19.54%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固定资产比年初数增加</w:t>
            </w:r>
            <w:r>
              <w:rPr>
                <w:rFonts w:ascii="宋体" w:hAnsi="宋体" w:cs="宋体" w:eastAsia="宋体" w:hint="default"/>
                <w:spacing w:val="-39"/>
                <w:sz w:val="18"/>
                <w:szCs w:val="18"/>
              </w:rPr>
              <w:t> </w:t>
            </w:r>
            <w:r>
              <w:rPr>
                <w:rFonts w:ascii="宋体" w:hAnsi="宋体" w:cs="宋体" w:eastAsia="宋体" w:hint="default"/>
                <w:spacing w:val="-8"/>
                <w:sz w:val="18"/>
                <w:szCs w:val="18"/>
              </w:rPr>
              <w:t>95.99%</w:t>
            </w:r>
            <w:r>
              <w:rPr>
                <w:rFonts w:ascii="宋体" w:hAnsi="宋体" w:cs="宋体" w:eastAsia="宋体" w:hint="default"/>
                <w:spacing w:val="-8"/>
                <w:sz w:val="18"/>
                <w:szCs w:val="18"/>
              </w:rPr>
              <w:t>，主要</w:t>
            </w:r>
            <w:r>
              <w:rPr>
                <w:rFonts w:ascii="宋体" w:hAnsi="宋体" w:cs="宋体" w:eastAsia="宋体" w:hint="default"/>
                <w:sz w:val="18"/>
                <w:szCs w:val="18"/>
              </w:rPr>
              <w:t> 原因系惠州饲料公司新建厂房完工 转为固定资产所致。</w:t>
            </w:r>
          </w:p>
        </w:tc>
      </w:tr>
      <w:tr>
        <w:trPr>
          <w:trHeight w:val="394"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2"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9" w:space="0" w:color="D2D2D2"/>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sz w:val="18"/>
              </w:rPr>
              <w:t>11,614,248.50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9" w:right="0"/>
              <w:jc w:val="left"/>
              <w:rPr>
                <w:rFonts w:ascii="宋体" w:hAnsi="宋体" w:cs="宋体" w:eastAsia="宋体" w:hint="default"/>
                <w:sz w:val="18"/>
                <w:szCs w:val="18"/>
              </w:rPr>
            </w:pPr>
            <w:r>
              <w:rPr>
                <w:rFonts w:ascii="宋体"/>
                <w:sz w:val="18"/>
              </w:rPr>
              <w:t>5.59%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sz w:val="18"/>
              </w:rPr>
              <w:t>-5.59%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在建工程比年初数减少</w:t>
            </w:r>
            <w:r>
              <w:rPr>
                <w:rFonts w:ascii="宋体" w:hAnsi="宋体" w:cs="宋体" w:eastAsia="宋体" w:hint="default"/>
                <w:spacing w:val="-44"/>
                <w:sz w:val="18"/>
                <w:szCs w:val="18"/>
              </w:rPr>
              <w:t> </w:t>
            </w:r>
            <w:r>
              <w:rPr>
                <w:rFonts w:ascii="宋体" w:hAnsi="宋体" w:cs="宋体" w:eastAsia="宋体" w:hint="default"/>
                <w:spacing w:val="-8"/>
                <w:sz w:val="18"/>
                <w:szCs w:val="18"/>
              </w:rPr>
              <w:t>100%</w:t>
            </w:r>
            <w:r>
              <w:rPr>
                <w:rFonts w:ascii="宋体" w:hAnsi="宋体" w:cs="宋体" w:eastAsia="宋体" w:hint="default"/>
                <w:spacing w:val="-8"/>
                <w:sz w:val="18"/>
                <w:szCs w:val="18"/>
              </w:rPr>
              <w:t>，主要原</w:t>
            </w:r>
            <w:r>
              <w:rPr>
                <w:rFonts w:ascii="宋体" w:hAnsi="宋体" w:cs="宋体" w:eastAsia="宋体" w:hint="default"/>
                <w:sz w:val="18"/>
                <w:szCs w:val="18"/>
              </w:rPr>
              <w:t> 因系惠州饲料公司新建厂房完工转 为固定资产所致。</w:t>
            </w:r>
          </w:p>
        </w:tc>
      </w:tr>
      <w:tr>
        <w:trPr>
          <w:trHeight w:val="391"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2"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3" w:right="0"/>
              <w:jc w:val="left"/>
              <w:rPr>
                <w:rFonts w:ascii="宋体" w:hAnsi="宋体" w:cs="宋体" w:eastAsia="宋体" w:hint="default"/>
                <w:sz w:val="18"/>
                <w:szCs w:val="18"/>
              </w:rPr>
            </w:pPr>
            <w:r>
              <w:rPr>
                <w:rFonts w:ascii="宋体"/>
                <w:sz w:val="18"/>
              </w:rPr>
              <w:t>12,513,584.15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1" w:right="0"/>
              <w:jc w:val="left"/>
              <w:rPr>
                <w:rFonts w:ascii="宋体" w:hAnsi="宋体" w:cs="宋体" w:eastAsia="宋体" w:hint="default"/>
                <w:sz w:val="18"/>
                <w:szCs w:val="18"/>
              </w:rPr>
            </w:pPr>
            <w:r>
              <w:rPr>
                <w:rFonts w:ascii="宋体"/>
                <w:sz w:val="18"/>
              </w:rPr>
              <w:t>6.47%</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sz w:val="18"/>
              </w:rPr>
              <w:t>2,716,617.18</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9" w:right="0"/>
              <w:jc w:val="left"/>
              <w:rPr>
                <w:rFonts w:ascii="宋体" w:hAnsi="宋体" w:cs="宋体" w:eastAsia="宋体" w:hint="default"/>
                <w:sz w:val="18"/>
                <w:szCs w:val="18"/>
              </w:rPr>
            </w:pPr>
            <w:r>
              <w:rPr>
                <w:rFonts w:ascii="宋体"/>
                <w:sz w:val="18"/>
              </w:rPr>
              <w:t>1.31%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4" w:right="0"/>
              <w:jc w:val="left"/>
              <w:rPr>
                <w:rFonts w:ascii="宋体" w:hAnsi="宋体" w:cs="宋体" w:eastAsia="宋体" w:hint="default"/>
                <w:sz w:val="18"/>
                <w:szCs w:val="18"/>
              </w:rPr>
            </w:pPr>
            <w:r>
              <w:rPr>
                <w:rFonts w:ascii="宋体"/>
                <w:sz w:val="18"/>
              </w:rPr>
              <w:t>5.16%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应收票据比年初数增加</w:t>
            </w:r>
            <w:r>
              <w:rPr>
                <w:rFonts w:ascii="宋体" w:hAnsi="宋体" w:cs="宋体" w:eastAsia="宋体" w:hint="default"/>
                <w:spacing w:val="-46"/>
                <w:sz w:val="18"/>
                <w:szCs w:val="18"/>
              </w:rPr>
              <w:t> </w:t>
            </w:r>
            <w:r>
              <w:rPr>
                <w:rFonts w:ascii="宋体" w:hAnsi="宋体" w:cs="宋体" w:eastAsia="宋体" w:hint="default"/>
                <w:sz w:val="18"/>
                <w:szCs w:val="18"/>
              </w:rPr>
              <w:t>360.63%</w:t>
            </w:r>
            <w:r>
              <w:rPr>
                <w:rFonts w:ascii="宋体" w:hAnsi="宋体" w:cs="宋体" w:eastAsia="宋体" w:hint="default"/>
                <w:sz w:val="18"/>
                <w:szCs w:val="18"/>
              </w:rPr>
              <w:t>，主 要原因系本年度货款结算方式多用 银行承兑汇票的方式结算所致。</w:t>
            </w:r>
          </w:p>
        </w:tc>
      </w:tr>
      <w:tr>
        <w:trPr>
          <w:trHeight w:val="394"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2"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4" w:right="0"/>
              <w:jc w:val="left"/>
              <w:rPr>
                <w:rFonts w:ascii="宋体" w:hAnsi="宋体" w:cs="宋体" w:eastAsia="宋体" w:hint="default"/>
                <w:sz w:val="18"/>
                <w:szCs w:val="18"/>
              </w:rPr>
            </w:pPr>
            <w:r>
              <w:rPr>
                <w:rFonts w:ascii="宋体"/>
                <w:sz w:val="18"/>
              </w:rPr>
              <w:t>3,539,603.44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81" w:right="0"/>
              <w:jc w:val="left"/>
              <w:rPr>
                <w:rFonts w:ascii="宋体" w:hAnsi="宋体" w:cs="宋体" w:eastAsia="宋体" w:hint="default"/>
                <w:sz w:val="18"/>
                <w:szCs w:val="18"/>
              </w:rPr>
            </w:pPr>
            <w:r>
              <w:rPr>
                <w:rFonts w:ascii="宋体"/>
                <w:sz w:val="18"/>
              </w:rPr>
              <w:t>1.83%</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sz w:val="18"/>
              </w:rPr>
              <w:t>16,796,055.21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9" w:right="0"/>
              <w:jc w:val="left"/>
              <w:rPr>
                <w:rFonts w:ascii="宋体" w:hAnsi="宋体" w:cs="宋体" w:eastAsia="宋体" w:hint="default"/>
                <w:sz w:val="18"/>
                <w:szCs w:val="18"/>
              </w:rPr>
            </w:pPr>
            <w:r>
              <w:rPr>
                <w:rFonts w:ascii="宋体"/>
                <w:sz w:val="18"/>
              </w:rPr>
              <w:t>8.09%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sz w:val="18"/>
              </w:rPr>
              <w:t>-6.26%</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预付账款比年初数减少</w:t>
            </w:r>
            <w:r>
              <w:rPr>
                <w:rFonts w:ascii="宋体" w:hAnsi="宋体" w:cs="宋体" w:eastAsia="宋体" w:hint="default"/>
                <w:spacing w:val="-39"/>
                <w:sz w:val="18"/>
                <w:szCs w:val="18"/>
              </w:rPr>
              <w:t> </w:t>
            </w:r>
            <w:r>
              <w:rPr>
                <w:rFonts w:ascii="宋体" w:hAnsi="宋体" w:cs="宋体" w:eastAsia="宋体" w:hint="default"/>
                <w:spacing w:val="-8"/>
                <w:sz w:val="18"/>
                <w:szCs w:val="18"/>
              </w:rPr>
              <w:t>78.93%</w:t>
            </w:r>
            <w:r>
              <w:rPr>
                <w:rFonts w:ascii="宋体" w:hAnsi="宋体" w:cs="宋体" w:eastAsia="宋体" w:hint="default"/>
                <w:spacing w:val="-8"/>
                <w:sz w:val="18"/>
                <w:szCs w:val="18"/>
              </w:rPr>
              <w:t>，主要</w:t>
            </w:r>
            <w:r>
              <w:rPr>
                <w:rFonts w:ascii="宋体" w:hAnsi="宋体" w:cs="宋体" w:eastAsia="宋体" w:hint="default"/>
                <w:sz w:val="18"/>
                <w:szCs w:val="18"/>
              </w:rPr>
              <w:t> 原因系本年度经营性采购的预付款 减少以及上年预付的设备款本年已 到货安装所致。</w:t>
            </w:r>
          </w:p>
        </w:tc>
      </w:tr>
      <w:tr>
        <w:trPr>
          <w:trHeight w:val="392"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72"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4" w:right="0"/>
              <w:jc w:val="left"/>
              <w:rPr>
                <w:rFonts w:ascii="宋体" w:hAnsi="宋体" w:cs="宋体" w:eastAsia="宋体" w:hint="default"/>
                <w:sz w:val="18"/>
                <w:szCs w:val="18"/>
              </w:rPr>
            </w:pPr>
            <w:r>
              <w:rPr>
                <w:rFonts w:ascii="宋体"/>
                <w:sz w:val="18"/>
              </w:rPr>
              <w:t>2,296,935.83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1" w:right="0"/>
              <w:jc w:val="left"/>
              <w:rPr>
                <w:rFonts w:ascii="宋体" w:hAnsi="宋体" w:cs="宋体" w:eastAsia="宋体" w:hint="default"/>
                <w:sz w:val="18"/>
                <w:szCs w:val="18"/>
              </w:rPr>
            </w:pPr>
            <w:r>
              <w:rPr>
                <w:rFonts w:ascii="宋体"/>
                <w:sz w:val="18"/>
              </w:rPr>
              <w:t>1.19%</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sz w:val="18"/>
              </w:rPr>
              <w:t>1,548,128.61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9" w:right="0"/>
              <w:jc w:val="left"/>
              <w:rPr>
                <w:rFonts w:ascii="宋体" w:hAnsi="宋体" w:cs="宋体" w:eastAsia="宋体" w:hint="default"/>
                <w:sz w:val="18"/>
                <w:szCs w:val="18"/>
              </w:rPr>
            </w:pPr>
            <w:r>
              <w:rPr>
                <w:rFonts w:ascii="宋体"/>
                <w:sz w:val="18"/>
              </w:rPr>
              <w:t>0.75%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4" w:right="0"/>
              <w:jc w:val="left"/>
              <w:rPr>
                <w:rFonts w:ascii="宋体" w:hAnsi="宋体" w:cs="宋体" w:eastAsia="宋体" w:hint="default"/>
                <w:sz w:val="18"/>
                <w:szCs w:val="18"/>
              </w:rPr>
            </w:pPr>
            <w:r>
              <w:rPr>
                <w:rFonts w:ascii="宋体"/>
                <w:sz w:val="18"/>
              </w:rPr>
              <w:t>0.44%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长期待摊费用比年初数增加</w:t>
            </w:r>
            <w:r>
              <w:rPr>
                <w:rFonts w:ascii="宋体" w:hAnsi="宋体" w:cs="宋体" w:eastAsia="宋体" w:hint="default"/>
                <w:spacing w:val="-46"/>
                <w:sz w:val="18"/>
                <w:szCs w:val="18"/>
              </w:rPr>
              <w:t> </w:t>
            </w:r>
            <w:r>
              <w:rPr>
                <w:rFonts w:ascii="宋体" w:hAnsi="宋体" w:cs="宋体" w:eastAsia="宋体" w:hint="default"/>
                <w:sz w:val="18"/>
                <w:szCs w:val="18"/>
              </w:rPr>
              <w:t>48.37%</w:t>
            </w:r>
            <w:r>
              <w:rPr>
                <w:rFonts w:ascii="宋体" w:hAnsi="宋体" w:cs="宋体" w:eastAsia="宋体" w:hint="default"/>
                <w:sz w:val="18"/>
                <w:szCs w:val="18"/>
              </w:rPr>
              <w:t>， 主要原因系本年度新增平湖工业区 消防改造工程和宿舍翻新工程所致。</w:t>
            </w:r>
          </w:p>
        </w:tc>
      </w:tr>
      <w:tr>
        <w:trPr>
          <w:trHeight w:val="394"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2"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2</w:t>
      </w:r>
      <w:r>
        <w:rPr/>
        <w:t>、负债项目重大变动情况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265"/>
        <w:gridCol w:w="994"/>
        <w:gridCol w:w="797"/>
        <w:gridCol w:w="2919"/>
      </w:tblGrid>
      <w:tr>
        <w:trPr>
          <w:trHeight w:val="22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67"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9"/>
              <w:ind w:left="123" w:right="119" w:firstLine="45"/>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宋体" w:hAnsi="宋体" w:cs="宋体" w:eastAsia="宋体" w:hint="default"/>
                <w:sz w:val="18"/>
                <w:szCs w:val="18"/>
              </w:rPr>
              <w:t>%</w:t>
            </w:r>
            <w:r>
              <w:rPr>
                <w:rFonts w:ascii="宋体" w:hAnsi="宋体" w:cs="宋体" w:eastAsia="宋体" w:hint="default"/>
                <w:sz w:val="18"/>
                <w:szCs w:val="18"/>
              </w:rPr>
              <w:t>）</w:t>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75" w:right="41"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9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9"/>
              <w:ind w:right="19"/>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 w:right="0"/>
              <w:jc w:val="left"/>
              <w:rPr>
                <w:rFonts w:ascii="宋体" w:hAnsi="宋体" w:cs="宋体" w:eastAsia="宋体" w:hint="default"/>
                <w:sz w:val="18"/>
                <w:szCs w:val="18"/>
              </w:rPr>
            </w:pPr>
            <w:r>
              <w:rPr>
                <w:rFonts w:ascii="宋体"/>
                <w:sz w:val="18"/>
              </w:rPr>
              <w:t>8,578,159.83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1" w:right="0"/>
              <w:jc w:val="left"/>
              <w:rPr>
                <w:rFonts w:ascii="宋体" w:hAnsi="宋体" w:cs="宋体" w:eastAsia="宋体" w:hint="default"/>
                <w:sz w:val="18"/>
                <w:szCs w:val="18"/>
              </w:rPr>
            </w:pPr>
            <w:r>
              <w:rPr>
                <w:rFonts w:ascii="宋体"/>
                <w:sz w:val="18"/>
              </w:rPr>
              <w:t>4.43%</w:t>
            </w:r>
          </w:p>
        </w:tc>
        <w:tc>
          <w:tcPr>
            <w:tcW w:w="1265"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4" w:right="0"/>
              <w:jc w:val="left"/>
              <w:rPr>
                <w:rFonts w:ascii="宋体" w:hAnsi="宋体" w:cs="宋体" w:eastAsia="宋体" w:hint="default"/>
                <w:sz w:val="18"/>
                <w:szCs w:val="18"/>
              </w:rPr>
            </w:pPr>
            <w:r>
              <w:rPr>
                <w:rFonts w:ascii="宋体"/>
                <w:sz w:val="18"/>
              </w:rPr>
              <w:t>4.43%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长期借款比年初数增加</w:t>
            </w:r>
            <w:r>
              <w:rPr>
                <w:rFonts w:ascii="宋体" w:hAnsi="宋体" w:cs="宋体" w:eastAsia="宋体" w:hint="default"/>
                <w:spacing w:val="-44"/>
                <w:sz w:val="18"/>
                <w:szCs w:val="18"/>
              </w:rPr>
              <w:t> </w:t>
            </w:r>
            <w:r>
              <w:rPr>
                <w:rFonts w:ascii="宋体" w:hAnsi="宋体" w:cs="宋体" w:eastAsia="宋体" w:hint="default"/>
                <w:spacing w:val="-8"/>
                <w:sz w:val="18"/>
                <w:szCs w:val="18"/>
              </w:rPr>
              <w:t>100%</w:t>
            </w:r>
            <w:r>
              <w:rPr>
                <w:rFonts w:ascii="宋体" w:hAnsi="宋体" w:cs="宋体" w:eastAsia="宋体" w:hint="default"/>
                <w:spacing w:val="-8"/>
                <w:sz w:val="18"/>
                <w:szCs w:val="18"/>
              </w:rPr>
              <w:t>，主要原</w:t>
            </w:r>
            <w:r>
              <w:rPr>
                <w:rFonts w:ascii="宋体" w:hAnsi="宋体" w:cs="宋体" w:eastAsia="宋体" w:hint="default"/>
                <w:sz w:val="18"/>
                <w:szCs w:val="18"/>
              </w:rPr>
              <w:t> 因系本年度惠州饲料厂新增长期借 款所致。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z w:val="18"/>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 w:right="0"/>
              <w:jc w:val="left"/>
              <w:rPr>
                <w:rFonts w:ascii="宋体" w:hAnsi="宋体" w:cs="宋体" w:eastAsia="宋体" w:hint="default"/>
                <w:sz w:val="18"/>
                <w:szCs w:val="18"/>
              </w:rPr>
            </w:pPr>
            <w:r>
              <w:rPr>
                <w:rFonts w:ascii="宋体"/>
                <w:sz w:val="18"/>
              </w:rPr>
              <w:t>18,997,646.50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9" w:right="0"/>
              <w:jc w:val="left"/>
              <w:rPr>
                <w:rFonts w:ascii="宋体" w:hAnsi="宋体" w:cs="宋体" w:eastAsia="宋体" w:hint="default"/>
                <w:sz w:val="18"/>
                <w:szCs w:val="18"/>
              </w:rPr>
            </w:pPr>
            <w:r>
              <w:rPr>
                <w:rFonts w:ascii="宋体"/>
                <w:sz w:val="18"/>
              </w:rPr>
              <w:t>9.15%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5" w:right="0"/>
              <w:jc w:val="left"/>
              <w:rPr>
                <w:rFonts w:ascii="宋体" w:hAnsi="宋体" w:cs="宋体" w:eastAsia="宋体" w:hint="default"/>
                <w:sz w:val="18"/>
                <w:szCs w:val="18"/>
              </w:rPr>
            </w:pPr>
            <w:r>
              <w:rPr>
                <w:rFonts w:ascii="宋体"/>
                <w:sz w:val="18"/>
              </w:rPr>
              <w:t>-9.15%</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应付票据比年初数减少</w:t>
            </w:r>
            <w:r>
              <w:rPr>
                <w:rFonts w:ascii="宋体" w:hAnsi="宋体" w:cs="宋体" w:eastAsia="宋体" w:hint="default"/>
                <w:spacing w:val="-44"/>
                <w:sz w:val="18"/>
                <w:szCs w:val="18"/>
              </w:rPr>
              <w:t> </w:t>
            </w:r>
            <w:r>
              <w:rPr>
                <w:rFonts w:ascii="宋体" w:hAnsi="宋体" w:cs="宋体" w:eastAsia="宋体" w:hint="default"/>
                <w:spacing w:val="-8"/>
                <w:sz w:val="18"/>
                <w:szCs w:val="18"/>
              </w:rPr>
              <w:t>100%</w:t>
            </w:r>
            <w:r>
              <w:rPr>
                <w:rFonts w:ascii="宋体" w:hAnsi="宋体" w:cs="宋体" w:eastAsia="宋体" w:hint="default"/>
                <w:spacing w:val="-8"/>
                <w:sz w:val="18"/>
                <w:szCs w:val="18"/>
              </w:rPr>
              <w:t>，主要原</w:t>
            </w:r>
            <w:r>
              <w:rPr>
                <w:rFonts w:ascii="宋体" w:hAnsi="宋体" w:cs="宋体" w:eastAsia="宋体" w:hint="default"/>
                <w:sz w:val="18"/>
                <w:szCs w:val="18"/>
              </w:rPr>
              <w:t> </w:t>
            </w:r>
            <w:r>
              <w:rPr>
                <w:rFonts w:ascii="宋体" w:hAnsi="宋体" w:cs="宋体" w:eastAsia="宋体" w:hint="default"/>
                <w:spacing w:val="-2"/>
                <w:sz w:val="18"/>
                <w:szCs w:val="18"/>
              </w:rPr>
              <w:t>因系上年开出的票据已到期支付，本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期末未开出应付票据所致。</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5"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6" w:right="0"/>
              <w:jc w:val="left"/>
              <w:rPr>
                <w:rFonts w:ascii="宋体" w:hAnsi="宋体" w:cs="宋体" w:eastAsia="宋体" w:hint="default"/>
                <w:sz w:val="18"/>
                <w:szCs w:val="18"/>
              </w:rPr>
            </w:pPr>
            <w:r>
              <w:rPr>
                <w:rFonts w:ascii="宋体"/>
                <w:sz w:val="18"/>
              </w:rPr>
              <w:t>3,486,110.82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2" w:right="0"/>
              <w:jc w:val="left"/>
              <w:rPr>
                <w:rFonts w:ascii="宋体" w:hAnsi="宋体" w:cs="宋体" w:eastAsia="宋体" w:hint="default"/>
                <w:sz w:val="18"/>
                <w:szCs w:val="18"/>
              </w:rPr>
            </w:pPr>
            <w:r>
              <w:rPr>
                <w:rFonts w:ascii="宋体"/>
                <w:sz w:val="18"/>
              </w:rPr>
              <w:t>1.8%</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sz w:val="18"/>
              </w:rPr>
              <w:t>5,568,480.45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9" w:right="0"/>
              <w:jc w:val="left"/>
              <w:rPr>
                <w:rFonts w:ascii="宋体" w:hAnsi="宋体" w:cs="宋体" w:eastAsia="宋体" w:hint="default"/>
                <w:sz w:val="18"/>
                <w:szCs w:val="18"/>
              </w:rPr>
            </w:pPr>
            <w:r>
              <w:rPr>
                <w:rFonts w:ascii="宋体"/>
                <w:sz w:val="18"/>
              </w:rPr>
              <w:t>2.68%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sz w:val="18"/>
              </w:rPr>
              <w:t>-0.88%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应付职工薪酬比年初数减少</w:t>
            </w:r>
            <w:r>
              <w:rPr>
                <w:rFonts w:ascii="宋体" w:hAnsi="宋体" w:cs="宋体" w:eastAsia="宋体" w:hint="default"/>
                <w:spacing w:val="-47"/>
                <w:sz w:val="18"/>
                <w:szCs w:val="18"/>
              </w:rPr>
              <w:t> </w:t>
            </w:r>
            <w:r>
              <w:rPr>
                <w:rFonts w:ascii="宋体" w:hAnsi="宋体" w:cs="宋体" w:eastAsia="宋体" w:hint="default"/>
                <w:sz w:val="18"/>
                <w:szCs w:val="18"/>
              </w:rPr>
              <w:t>37.40%</w:t>
            </w:r>
            <w:r>
              <w:rPr>
                <w:rFonts w:ascii="宋体" w:hAnsi="宋体" w:cs="宋体" w:eastAsia="宋体" w:hint="default"/>
                <w:sz w:val="18"/>
                <w:szCs w:val="18"/>
              </w:rPr>
              <w:t>， 主要原因系上年度计提的因解除劳 动关系给予的补偿金额已在本年度 发放完毕。</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6" w:right="0"/>
              <w:jc w:val="left"/>
              <w:rPr>
                <w:rFonts w:ascii="宋体" w:hAnsi="宋体" w:cs="宋体" w:eastAsia="宋体" w:hint="default"/>
                <w:sz w:val="18"/>
                <w:szCs w:val="18"/>
              </w:rPr>
            </w:pPr>
            <w:r>
              <w:rPr>
                <w:rFonts w:ascii="宋体"/>
                <w:sz w:val="18"/>
              </w:rPr>
              <w:t>2,564,512.68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1" w:right="0"/>
              <w:jc w:val="left"/>
              <w:rPr>
                <w:rFonts w:ascii="宋体" w:hAnsi="宋体" w:cs="宋体" w:eastAsia="宋体" w:hint="default"/>
                <w:sz w:val="18"/>
                <w:szCs w:val="18"/>
              </w:rPr>
            </w:pPr>
            <w:r>
              <w:rPr>
                <w:rFonts w:ascii="宋体"/>
                <w:sz w:val="18"/>
              </w:rPr>
              <w:t>1.32%</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sz w:val="18"/>
              </w:rPr>
              <w:t>5,395,527.20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0" w:right="0"/>
              <w:jc w:val="left"/>
              <w:rPr>
                <w:rFonts w:ascii="宋体" w:hAnsi="宋体" w:cs="宋体" w:eastAsia="宋体" w:hint="default"/>
                <w:sz w:val="18"/>
                <w:szCs w:val="18"/>
              </w:rPr>
            </w:pPr>
            <w:r>
              <w:rPr>
                <w:rFonts w:ascii="宋体"/>
                <w:sz w:val="18"/>
              </w:rPr>
              <w:t>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sz w:val="18"/>
              </w:rPr>
              <w:t>-1.28%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
              <w:jc w:val="both"/>
              <w:rPr>
                <w:rFonts w:ascii="宋体" w:hAnsi="宋体" w:cs="宋体" w:eastAsia="宋体" w:hint="default"/>
                <w:sz w:val="18"/>
                <w:szCs w:val="18"/>
              </w:rPr>
            </w:pPr>
            <w:r>
              <w:rPr>
                <w:rFonts w:ascii="宋体" w:hAnsi="宋体" w:cs="宋体" w:eastAsia="宋体" w:hint="default"/>
                <w:sz w:val="18"/>
                <w:szCs w:val="18"/>
              </w:rPr>
              <w:t>应交税费比年初数减少</w:t>
            </w:r>
            <w:r>
              <w:rPr>
                <w:rFonts w:ascii="宋体" w:hAnsi="宋体" w:cs="宋体" w:eastAsia="宋体" w:hint="default"/>
                <w:spacing w:val="-40"/>
                <w:sz w:val="18"/>
                <w:szCs w:val="18"/>
              </w:rPr>
              <w:t> </w:t>
            </w:r>
            <w:r>
              <w:rPr>
                <w:rFonts w:ascii="宋体" w:hAnsi="宋体" w:cs="宋体" w:eastAsia="宋体" w:hint="default"/>
                <w:spacing w:val="-8"/>
                <w:sz w:val="18"/>
                <w:szCs w:val="18"/>
              </w:rPr>
              <w:t>52.47%</w:t>
            </w:r>
            <w:r>
              <w:rPr>
                <w:rFonts w:ascii="宋体" w:hAnsi="宋体" w:cs="宋体" w:eastAsia="宋体" w:hint="default"/>
                <w:spacing w:val="-8"/>
                <w:sz w:val="18"/>
                <w:szCs w:val="18"/>
              </w:rPr>
              <w:t>，主要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原因系公司利润总额下降，导致应缴</w:t>
            </w:r>
            <w:r>
              <w:rPr>
                <w:rFonts w:ascii="宋体" w:hAnsi="宋体" w:cs="宋体" w:eastAsia="宋体" w:hint="default"/>
                <w:sz w:val="18"/>
                <w:szCs w:val="18"/>
              </w:rPr>
              <w:t> 的企业所得税金额较上年减少所致。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6" w:right="0"/>
              <w:jc w:val="left"/>
              <w:rPr>
                <w:rFonts w:ascii="宋体" w:hAnsi="宋体" w:cs="宋体" w:eastAsia="宋体" w:hint="default"/>
                <w:sz w:val="18"/>
                <w:szCs w:val="18"/>
              </w:rPr>
            </w:pPr>
            <w:r>
              <w:rPr>
                <w:rFonts w:ascii="宋体"/>
                <w:sz w:val="18"/>
              </w:rPr>
              <w:t>2,699,196.00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81" w:right="0"/>
              <w:jc w:val="left"/>
              <w:rPr>
                <w:rFonts w:ascii="宋体" w:hAnsi="宋体" w:cs="宋体" w:eastAsia="宋体" w:hint="default"/>
                <w:sz w:val="18"/>
                <w:szCs w:val="18"/>
              </w:rPr>
            </w:pPr>
            <w:r>
              <w:rPr>
                <w:rFonts w:ascii="宋体"/>
                <w:sz w:val="18"/>
              </w:rPr>
              <w:t>1.39%</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sz w:val="18"/>
              </w:rPr>
              <w:t>1.39%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一年内到期的非流动负债比年初数 增加</w:t>
            </w:r>
            <w:r>
              <w:rPr>
                <w:rFonts w:ascii="宋体" w:hAnsi="宋体" w:cs="宋体" w:eastAsia="宋体" w:hint="default"/>
                <w:spacing w:val="-45"/>
                <w:sz w:val="18"/>
                <w:szCs w:val="18"/>
              </w:rPr>
              <w:t> </w:t>
            </w:r>
            <w:r>
              <w:rPr>
                <w:rFonts w:ascii="宋体" w:hAnsi="宋体" w:cs="宋体" w:eastAsia="宋体" w:hint="default"/>
                <w:spacing w:val="-4"/>
                <w:sz w:val="18"/>
                <w:szCs w:val="18"/>
              </w:rPr>
              <w:t>100%</w:t>
            </w:r>
            <w:r>
              <w:rPr>
                <w:rFonts w:ascii="宋体" w:hAnsi="宋体" w:cs="宋体" w:eastAsia="宋体" w:hint="default"/>
                <w:spacing w:val="-4"/>
                <w:sz w:val="18"/>
                <w:szCs w:val="18"/>
              </w:rPr>
              <w:t>，主要原因系本年度新增长</w:t>
            </w:r>
            <w:r>
              <w:rPr>
                <w:rFonts w:ascii="宋体" w:hAnsi="宋体" w:cs="宋体" w:eastAsia="宋体" w:hint="default"/>
                <w:sz w:val="18"/>
                <w:szCs w:val="18"/>
              </w:rPr>
              <w:t> 期借款在一年内到期的金额转入所 致。</w:t>
            </w:r>
          </w:p>
        </w:tc>
      </w:tr>
      <w:tr>
        <w:trPr>
          <w:trHeight w:val="70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6" w:right="0"/>
              <w:jc w:val="left"/>
              <w:rPr>
                <w:rFonts w:ascii="宋体" w:hAnsi="宋体" w:cs="宋体" w:eastAsia="宋体" w:hint="default"/>
                <w:sz w:val="18"/>
                <w:szCs w:val="18"/>
              </w:rPr>
            </w:pPr>
            <w:r>
              <w:rPr>
                <w:rFonts w:ascii="宋体"/>
                <w:sz w:val="18"/>
              </w:rPr>
              <w:t>1,556,359.91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2" w:right="0"/>
              <w:jc w:val="left"/>
              <w:rPr>
                <w:rFonts w:ascii="宋体" w:hAnsi="宋体" w:cs="宋体" w:eastAsia="宋体" w:hint="default"/>
                <w:sz w:val="18"/>
                <w:szCs w:val="18"/>
              </w:rPr>
            </w:pPr>
            <w:r>
              <w:rPr>
                <w:rFonts w:ascii="宋体"/>
                <w:sz w:val="18"/>
              </w:rPr>
              <w:t>0.8%</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sz w:val="18"/>
              </w:rPr>
              <w:t>10,619,167.72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9" w:right="0"/>
              <w:jc w:val="left"/>
              <w:rPr>
                <w:rFonts w:ascii="宋体" w:hAnsi="宋体" w:cs="宋体" w:eastAsia="宋体" w:hint="default"/>
                <w:sz w:val="18"/>
                <w:szCs w:val="18"/>
              </w:rPr>
            </w:pPr>
            <w:r>
              <w:rPr>
                <w:rFonts w:ascii="宋体"/>
                <w:sz w:val="18"/>
              </w:rPr>
              <w:t>5.11%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sz w:val="18"/>
              </w:rPr>
              <w:t>-4.31%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其他流动负债比年初数减少</w:t>
            </w:r>
            <w:r>
              <w:rPr>
                <w:rFonts w:ascii="宋体" w:hAnsi="宋体" w:cs="宋体" w:eastAsia="宋体" w:hint="default"/>
                <w:spacing w:val="-46"/>
                <w:sz w:val="18"/>
                <w:szCs w:val="18"/>
              </w:rPr>
              <w:t> </w:t>
            </w:r>
            <w:r>
              <w:rPr>
                <w:rFonts w:ascii="宋体" w:hAnsi="宋体" w:cs="宋体" w:eastAsia="宋体" w:hint="default"/>
                <w:sz w:val="18"/>
                <w:szCs w:val="18"/>
              </w:rPr>
              <w:t>85.34%</w:t>
            </w:r>
            <w:r>
              <w:rPr>
                <w:rFonts w:ascii="宋体" w:hAnsi="宋体" w:cs="宋体" w:eastAsia="宋体" w:hint="default"/>
                <w:sz w:val="18"/>
                <w:szCs w:val="18"/>
              </w:rPr>
              <w:t>， 主要原因系公司重整时预留的未申 报债权因罹诉讼时效无需支付，本年 度转入营业外收入所致。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6" w:right="0"/>
              <w:jc w:val="left"/>
              <w:rPr>
                <w:rFonts w:ascii="宋体" w:hAnsi="宋体" w:cs="宋体" w:eastAsia="宋体" w:hint="default"/>
                <w:sz w:val="18"/>
                <w:szCs w:val="18"/>
              </w:rPr>
            </w:pPr>
            <w:r>
              <w:rPr>
                <w:rFonts w:ascii="宋体"/>
                <w:sz w:val="18"/>
              </w:rPr>
              <w:t>340,951.52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1" w:right="0"/>
              <w:jc w:val="left"/>
              <w:rPr>
                <w:rFonts w:ascii="宋体" w:hAnsi="宋体" w:cs="宋体" w:eastAsia="宋体" w:hint="default"/>
                <w:sz w:val="18"/>
                <w:szCs w:val="18"/>
              </w:rPr>
            </w:pPr>
            <w:r>
              <w:rPr>
                <w:rFonts w:ascii="宋体"/>
                <w:sz w:val="18"/>
              </w:rPr>
              <w:t>0.18%</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3" w:right="0"/>
              <w:jc w:val="left"/>
              <w:rPr>
                <w:rFonts w:ascii="宋体" w:hAnsi="宋体" w:cs="宋体" w:eastAsia="宋体" w:hint="default"/>
                <w:sz w:val="18"/>
                <w:szCs w:val="18"/>
              </w:rPr>
            </w:pPr>
            <w:r>
              <w:rPr>
                <w:rFonts w:ascii="宋体"/>
                <w:sz w:val="18"/>
              </w:rPr>
              <w:t>663,831.25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9" w:right="0"/>
              <w:jc w:val="left"/>
              <w:rPr>
                <w:rFonts w:ascii="宋体" w:hAnsi="宋体" w:cs="宋体" w:eastAsia="宋体" w:hint="default"/>
                <w:sz w:val="18"/>
                <w:szCs w:val="18"/>
              </w:rPr>
            </w:pPr>
            <w:r>
              <w:rPr>
                <w:rFonts w:ascii="宋体"/>
                <w:sz w:val="18"/>
              </w:rPr>
              <w:t>0.32%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sz w:val="18"/>
              </w:rPr>
              <w:t>-0.14%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长期应付款比年初数减少</w:t>
            </w:r>
            <w:r>
              <w:rPr>
                <w:rFonts w:ascii="宋体" w:hAnsi="宋体" w:cs="宋体" w:eastAsia="宋体" w:hint="default"/>
                <w:spacing w:val="-44"/>
                <w:sz w:val="18"/>
                <w:szCs w:val="18"/>
              </w:rPr>
              <w:t> </w:t>
            </w:r>
            <w:r>
              <w:rPr>
                <w:rFonts w:ascii="宋体" w:hAnsi="宋体" w:cs="宋体" w:eastAsia="宋体" w:hint="default"/>
                <w:spacing w:val="-16"/>
                <w:sz w:val="18"/>
                <w:szCs w:val="18"/>
              </w:rPr>
              <w:t>48.64%</w:t>
            </w:r>
            <w:r>
              <w:rPr>
                <w:rFonts w:ascii="宋体" w:hAnsi="宋体" w:cs="宋体" w:eastAsia="宋体" w:hint="default"/>
                <w:spacing w:val="-16"/>
                <w:sz w:val="18"/>
                <w:szCs w:val="18"/>
              </w:rPr>
              <w:t>，主</w:t>
            </w:r>
            <w:r>
              <w:rPr>
                <w:rFonts w:ascii="宋体" w:hAnsi="宋体" w:cs="宋体" w:eastAsia="宋体" w:hint="default"/>
                <w:spacing w:val="-63"/>
                <w:sz w:val="18"/>
                <w:szCs w:val="18"/>
              </w:rPr>
              <w:t> </w:t>
            </w:r>
            <w:r>
              <w:rPr>
                <w:rFonts w:ascii="宋体" w:hAnsi="宋体" w:cs="宋体" w:eastAsia="宋体" w:hint="default"/>
                <w:sz w:val="18"/>
                <w:szCs w:val="18"/>
              </w:rPr>
              <w:t>要原因系本年度物业本体维修金减</w:t>
            </w:r>
            <w:r>
              <w:rPr>
                <w:rFonts w:ascii="宋体" w:hAnsi="宋体" w:cs="宋体" w:eastAsia="宋体" w:hint="default"/>
                <w:sz w:val="18"/>
                <w:szCs w:val="18"/>
              </w:rPr>
              <w:t> 少所致。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3</w:t>
      </w:r>
      <w:r>
        <w:rPr/>
        <w:t>、以公允价值计量的资产和负债</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204"/>
        <w:gridCol w:w="1190"/>
        <w:gridCol w:w="1195"/>
        <w:gridCol w:w="1191"/>
        <w:gridCol w:w="1201"/>
        <w:gridCol w:w="1196"/>
        <w:gridCol w:w="1195"/>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73"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0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1315" w:header="745" w:top="1060" w:bottom="1500" w:left="980" w:right="0"/>
          <w:pgNumType w:start="15"/>
        </w:sectPr>
      </w:pPr>
    </w:p>
    <w:p>
      <w:pPr>
        <w:spacing w:line="240" w:lineRule="auto" w:before="6"/>
        <w:rPr>
          <w:rFonts w:ascii="宋体" w:hAnsi="宋体" w:cs="宋体" w:eastAsia="宋体" w:hint="default"/>
          <w:sz w:val="28"/>
          <w:szCs w:val="28"/>
        </w:rPr>
      </w:pPr>
    </w:p>
    <w:tbl>
      <w:tblPr>
        <w:tblW w:w="0" w:type="auto"/>
        <w:jc w:val="left"/>
        <w:tblInd w:w="326" w:type="dxa"/>
        <w:tblLayout w:type="fixed"/>
        <w:tblCellMar>
          <w:top w:w="0" w:type="dxa"/>
          <w:left w:w="0" w:type="dxa"/>
          <w:bottom w:w="0" w:type="dxa"/>
          <w:right w:w="0" w:type="dxa"/>
        </w:tblCellMar>
        <w:tblLook w:val="01E0"/>
      </w:tblPr>
      <w:tblGrid>
        <w:gridCol w:w="1200"/>
        <w:gridCol w:w="1198"/>
        <w:gridCol w:w="1196"/>
        <w:gridCol w:w="1195"/>
        <w:gridCol w:w="1198"/>
        <w:gridCol w:w="1195"/>
        <w:gridCol w:w="1196"/>
        <w:gridCol w:w="1195"/>
      </w:tblGrid>
      <w:tr>
        <w:trPr>
          <w:trHeight w:val="40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332" w:right="1664"/>
        <w:jc w:val="left"/>
      </w:pPr>
      <w:r>
        <w:rPr/>
        <w:t>报告期内公司主要资产计量属性是否发生重大变化</w:t>
      </w:r>
    </w:p>
    <w:p>
      <w:pPr>
        <w:pStyle w:val="BodyText"/>
        <w:spacing w:line="240" w:lineRule="auto" w:before="115"/>
        <w:ind w:left="332" w:right="1664"/>
        <w:jc w:val="left"/>
      </w:pPr>
      <w:r>
        <w:rPr/>
        <w:t>□ 是 √ 否</w:t>
      </w:r>
    </w:p>
    <w:p>
      <w:pPr>
        <w:spacing w:line="240" w:lineRule="auto" w:before="10"/>
        <w:rPr>
          <w:rFonts w:ascii="宋体" w:hAnsi="宋体" w:cs="宋体" w:eastAsia="宋体" w:hint="default"/>
          <w:sz w:val="19"/>
          <w:szCs w:val="19"/>
        </w:rPr>
      </w:pPr>
    </w:p>
    <w:p>
      <w:pPr>
        <w:pStyle w:val="Heading2"/>
        <w:spacing w:line="240" w:lineRule="auto"/>
        <w:ind w:left="332" w:right="1664"/>
        <w:jc w:val="left"/>
        <w:rPr>
          <w:b w:val="0"/>
          <w:bCs w:val="0"/>
        </w:rPr>
      </w:pPr>
      <w:r>
        <w:rPr/>
        <w:t>五、核心竞争力分析</w:t>
      </w:r>
      <w:r>
        <w:rPr>
          <w:b w:val="0"/>
          <w:bCs w:val="0"/>
        </w:rPr>
      </w:r>
    </w:p>
    <w:p>
      <w:pPr>
        <w:spacing w:line="240" w:lineRule="auto" w:before="17"/>
        <w:rPr>
          <w:rFonts w:ascii="微软雅黑" w:hAnsi="微软雅黑" w:cs="微软雅黑" w:eastAsia="微软雅黑" w:hint="default"/>
          <w:b/>
          <w:bCs/>
          <w:sz w:val="27"/>
          <w:szCs w:val="27"/>
        </w:rPr>
      </w:pPr>
    </w:p>
    <w:p>
      <w:pPr>
        <w:pStyle w:val="BodyText"/>
        <w:spacing w:line="489" w:lineRule="auto"/>
        <w:ind w:left="332" w:right="1129" w:firstLine="360"/>
        <w:jc w:val="both"/>
      </w:pPr>
      <w:r>
        <w:rPr>
          <w:spacing w:val="-2"/>
        </w:rPr>
        <w:t>报告期内，通讯产业方面，公司继续加大投资进行设备改造，泰丰科技公司获得飞利浦全球供应商资格，取得了国家高</w:t>
      </w:r>
      <w:r>
        <w:rPr/>
        <w:t> 新技术企业资质，通过竞拍获得了‚泰丰</w:t>
      </w:r>
      <w:r>
        <w:rPr>
          <w:rFonts w:ascii="宋体" w:hAnsi="宋体" w:cs="宋体" w:eastAsia="宋体" w:hint="default"/>
        </w:rPr>
        <w:t>888</w:t>
      </w:r>
      <w:r>
        <w:rPr/>
        <w:t>‛商标的所有权；汇德祥公司飞利浦电话机的国内市场占有率有所提高。饲料</w:t>
      </w:r>
      <w:r>
        <w:rPr>
          <w:spacing w:val="5"/>
        </w:rPr>
        <w:t> </w:t>
      </w:r>
      <w:r>
        <w:rPr>
          <w:spacing w:val="5"/>
        </w:rPr>
      </w:r>
      <w:r>
        <w:rPr>
          <w:spacing w:val="-2"/>
        </w:rPr>
        <w:t>产业方面，总投资达</w:t>
      </w:r>
      <w:r>
        <w:rPr>
          <w:rFonts w:ascii="宋体" w:hAnsi="宋体" w:cs="宋体" w:eastAsia="宋体" w:hint="default"/>
          <w:spacing w:val="-2"/>
        </w:rPr>
        <w:t>4100</w:t>
      </w:r>
      <w:r>
        <w:rPr>
          <w:spacing w:val="-2"/>
        </w:rPr>
        <w:t>余万元的惠州饲料厂建成投产，实现了产业基地的转移，生产能力大幅度提高，保障了公司主营业</w:t>
      </w:r>
      <w:r>
        <w:rPr>
          <w:spacing w:val="-60"/>
        </w:rPr>
        <w:t> </w:t>
      </w:r>
      <w:r>
        <w:rPr>
          <w:spacing w:val="-60"/>
        </w:rPr>
      </w:r>
      <w:r>
        <w:rPr/>
        <w:t>务的稳定。</w:t>
      </w:r>
    </w:p>
    <w:p>
      <w:pPr>
        <w:pStyle w:val="BodyText"/>
        <w:spacing w:line="489" w:lineRule="auto" w:before="58"/>
        <w:ind w:left="332" w:right="1130" w:firstLine="360"/>
        <w:jc w:val="both"/>
      </w:pPr>
      <w:r>
        <w:rPr>
          <w:spacing w:val="-2"/>
        </w:rPr>
        <w:t>上世纪</w:t>
      </w:r>
      <w:r>
        <w:rPr>
          <w:rFonts w:ascii="宋体" w:hAnsi="宋体" w:cs="宋体" w:eastAsia="宋体" w:hint="default"/>
          <w:spacing w:val="-2"/>
        </w:rPr>
        <w:t>90</w:t>
      </w:r>
      <w:r>
        <w:rPr>
          <w:spacing w:val="-2"/>
        </w:rPr>
        <w:t>年代，因调整全集团经营业务，集团公司将华宝进出口公司的养殖场地及有关资产划归实业公司所有，并办理</w:t>
      </w:r>
      <w:r>
        <w:rPr/>
        <w:t> </w:t>
      </w:r>
      <w:r>
        <w:rPr>
          <w:spacing w:val="-2"/>
        </w:rPr>
        <w:t>了移交手续，但土地一直未办理过户。为解决好该历史遗留问题，报告期内，实业公司依法通过诉讼程序提出权利主张、并</w:t>
      </w:r>
      <w:r>
        <w:rPr>
          <w:spacing w:val="-67"/>
        </w:rPr>
        <w:t> </w:t>
      </w:r>
      <w:r>
        <w:rPr>
          <w:spacing w:val="-67"/>
        </w:rPr>
      </w:r>
      <w:r>
        <w:rPr>
          <w:spacing w:val="-2"/>
        </w:rPr>
        <w:t>获得法院判决支持。法院确认华宝进出口公司与实业公司土地使用权转让行为合法、有效，案件取得阶段性法律成果，并在</w:t>
      </w:r>
      <w:r>
        <w:rPr>
          <w:spacing w:val="-64"/>
        </w:rPr>
        <w:t> </w:t>
      </w:r>
      <w:r>
        <w:rPr>
          <w:spacing w:val="-64"/>
        </w:rPr>
      </w:r>
      <w:r>
        <w:rPr>
          <w:rFonts w:ascii="宋体" w:hAnsi="宋体" w:cs="宋体" w:eastAsia="宋体" w:hint="default"/>
        </w:rPr>
        <w:t>2013</w:t>
      </w:r>
      <w:r>
        <w:rPr/>
        <w:t>年</w:t>
      </w:r>
      <w:r>
        <w:rPr>
          <w:rFonts w:ascii="宋体" w:hAnsi="宋体" w:cs="宋体" w:eastAsia="宋体" w:hint="default"/>
        </w:rPr>
        <w:t>2</w:t>
      </w:r>
      <w:r>
        <w:rPr/>
        <w:t>月完成了执行备注工作。</w:t>
      </w:r>
    </w:p>
    <w:p>
      <w:pPr>
        <w:pStyle w:val="Heading2"/>
        <w:spacing w:line="240" w:lineRule="auto" w:before="74"/>
        <w:ind w:left="332" w:right="1664"/>
        <w:jc w:val="left"/>
        <w:rPr>
          <w:b w:val="0"/>
          <w:bCs w:val="0"/>
        </w:rPr>
      </w:pPr>
      <w:r>
        <w:rPr/>
        <w:t>六、投资状况分析</w:t>
      </w:r>
      <w:r>
        <w:rPr>
          <w:b w:val="0"/>
          <w:bCs w:val="0"/>
        </w:rPr>
      </w:r>
    </w:p>
    <w:p>
      <w:pPr>
        <w:spacing w:line="240" w:lineRule="auto" w:before="7"/>
        <w:rPr>
          <w:rFonts w:ascii="微软雅黑" w:hAnsi="微软雅黑" w:cs="微软雅黑" w:eastAsia="微软雅黑" w:hint="default"/>
          <w:b/>
          <w:bCs/>
          <w:sz w:val="13"/>
          <w:szCs w:val="13"/>
        </w:rPr>
      </w:pPr>
    </w:p>
    <w:p>
      <w:pPr>
        <w:pStyle w:val="Heading3"/>
        <w:spacing w:line="240" w:lineRule="auto"/>
        <w:ind w:left="332" w:right="1664"/>
        <w:jc w:val="left"/>
        <w:rPr>
          <w:b w:val="0"/>
          <w:bCs w:val="0"/>
        </w:rPr>
      </w:pPr>
      <w:r>
        <w:rPr>
          <w:rFonts w:ascii="Arial" w:hAnsi="Arial" w:cs="Arial" w:eastAsia="Arial" w:hint="default"/>
        </w:rPr>
        <w:t>1</w:t>
      </w:r>
      <w:r>
        <w:rPr/>
        <w:t>、对外股权投资情况</w:t>
      </w:r>
      <w:r>
        <w:rPr>
          <w:b w:val="0"/>
          <w:bCs w:val="0"/>
        </w:rPr>
      </w:r>
    </w:p>
    <w:p>
      <w:pPr>
        <w:spacing w:line="240" w:lineRule="auto" w:before="17"/>
        <w:rPr>
          <w:rFonts w:ascii="微软雅黑" w:hAnsi="微软雅黑" w:cs="微软雅黑" w:eastAsia="微软雅黑" w:hint="default"/>
          <w:b/>
          <w:bCs/>
          <w:sz w:val="28"/>
          <w:szCs w:val="28"/>
        </w:rPr>
      </w:pPr>
    </w:p>
    <w:p>
      <w:pPr>
        <w:pStyle w:val="BodyText"/>
        <w:spacing w:line="240" w:lineRule="auto"/>
        <w:ind w:left="693" w:right="1664"/>
        <w:jc w:val="left"/>
      </w:pPr>
      <w:r>
        <w:rPr/>
        <w:t>报告期内，公司不存在对外股权投资情况。</w:t>
      </w:r>
    </w:p>
    <w:p>
      <w:pPr>
        <w:pStyle w:val="Heading3"/>
        <w:spacing w:line="240" w:lineRule="auto" w:before="147"/>
        <w:ind w:left="332" w:right="1664"/>
        <w:jc w:val="left"/>
        <w:rPr>
          <w:b w:val="0"/>
          <w:bCs w:val="0"/>
        </w:rPr>
      </w:pPr>
      <w:r>
        <w:rPr>
          <w:rFonts w:ascii="Arial" w:hAnsi="Arial" w:cs="Arial" w:eastAsia="Arial" w:hint="default"/>
        </w:rPr>
        <w:t>2</w:t>
      </w:r>
      <w:r>
        <w:rPr/>
        <w:t>、委托理财、衍生品投资和委托贷款情况</w:t>
      </w:r>
      <w:r>
        <w:rPr>
          <w:b w:val="0"/>
          <w:bCs w:val="0"/>
        </w:rPr>
      </w:r>
    </w:p>
    <w:p>
      <w:pPr>
        <w:spacing w:line="240" w:lineRule="auto" w:before="8"/>
        <w:rPr>
          <w:rFonts w:ascii="微软雅黑" w:hAnsi="微软雅黑" w:cs="微软雅黑" w:eastAsia="微软雅黑" w:hint="default"/>
          <w:b/>
          <w:bCs/>
          <w:sz w:val="12"/>
          <w:szCs w:val="12"/>
        </w:rPr>
      </w:pPr>
    </w:p>
    <w:p>
      <w:pPr>
        <w:pStyle w:val="BodyText"/>
        <w:spacing w:line="240" w:lineRule="auto"/>
        <w:ind w:left="693" w:right="1664"/>
        <w:jc w:val="left"/>
      </w:pPr>
      <w:r>
        <w:rPr/>
        <w:t>报告期内，公司不存在委托理财、衍生品投资和委托贷款情况。</w:t>
      </w:r>
    </w:p>
    <w:p>
      <w:pPr>
        <w:spacing w:line="240" w:lineRule="auto" w:before="8"/>
        <w:rPr>
          <w:rFonts w:ascii="宋体" w:hAnsi="宋体" w:cs="宋体" w:eastAsia="宋体" w:hint="default"/>
          <w:sz w:val="22"/>
          <w:szCs w:val="22"/>
        </w:rPr>
      </w:pPr>
    </w:p>
    <w:p>
      <w:pPr>
        <w:pStyle w:val="Heading3"/>
        <w:spacing w:line="240" w:lineRule="auto"/>
        <w:ind w:left="332" w:right="1664"/>
        <w:jc w:val="left"/>
        <w:rPr>
          <w:b w:val="0"/>
          <w:bCs w:val="0"/>
        </w:rPr>
      </w:pPr>
      <w:r>
        <w:rPr>
          <w:rFonts w:ascii="Arial" w:hAnsi="Arial" w:cs="Arial" w:eastAsia="Arial" w:hint="default"/>
        </w:rPr>
        <w:t>3</w:t>
      </w:r>
      <w:r>
        <w:rPr/>
        <w:t>、募集资金使用情况</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left="753" w:right="1664"/>
        <w:jc w:val="left"/>
      </w:pPr>
      <w:r>
        <w:rPr/>
        <w:t>报告期内，公司不存在募集资金使用的情况。</w:t>
      </w:r>
    </w:p>
    <w:p>
      <w:pPr>
        <w:spacing w:line="240" w:lineRule="auto" w:before="5"/>
        <w:rPr>
          <w:rFonts w:ascii="宋体" w:hAnsi="宋体" w:cs="宋体" w:eastAsia="宋体" w:hint="default"/>
          <w:sz w:val="22"/>
          <w:szCs w:val="22"/>
        </w:rPr>
      </w:pPr>
    </w:p>
    <w:p>
      <w:pPr>
        <w:pStyle w:val="Heading3"/>
        <w:spacing w:line="240" w:lineRule="auto"/>
        <w:ind w:left="332" w:right="1664"/>
        <w:jc w:val="left"/>
        <w:rPr>
          <w:b w:val="0"/>
          <w:bCs w:val="0"/>
        </w:rPr>
      </w:pPr>
      <w:r>
        <w:rPr>
          <w:rFonts w:ascii="Arial" w:hAnsi="Arial" w:cs="Arial" w:eastAsia="Arial" w:hint="default"/>
        </w:rPr>
        <w:t>4</w:t>
      </w:r>
      <w:r>
        <w:rPr/>
        <w:t>、主要子公司、参股公司分析</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332" w:right="1664"/>
        <w:jc w:val="left"/>
      </w:pPr>
      <w:r>
        <w:rPr/>
        <w:t>主要子公司、参股公司情况</w:t>
      </w:r>
    </w:p>
    <w:p>
      <w:pPr>
        <w:spacing w:line="240" w:lineRule="auto" w:before="3"/>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008"/>
        <w:gridCol w:w="866"/>
        <w:gridCol w:w="869"/>
        <w:gridCol w:w="968"/>
        <w:gridCol w:w="782"/>
        <w:gridCol w:w="1136"/>
        <w:gridCol w:w="1174"/>
        <w:gridCol w:w="1220"/>
        <w:gridCol w:w="1092"/>
        <w:gridCol w:w="1147"/>
      </w:tblGrid>
      <w:tr>
        <w:trPr>
          <w:trHeight w:val="714" w:hRule="exact"/>
        </w:trPr>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98" w:right="27"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总资产（元）</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净资产（元）</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62" w:right="179" w:hanging="180"/>
              <w:jc w:val="left"/>
              <w:rPr>
                <w:rFonts w:ascii="宋体" w:hAnsi="宋体" w:cs="宋体" w:eastAsia="宋体" w:hint="default"/>
                <w:sz w:val="18"/>
                <w:szCs w:val="18"/>
              </w:rPr>
            </w:pPr>
            <w:r>
              <w:rPr>
                <w:rFonts w:ascii="宋体" w:hAnsi="宋体" w:cs="宋体" w:eastAsia="宋体" w:hint="default"/>
                <w:sz w:val="18"/>
                <w:szCs w:val="18"/>
              </w:rPr>
              <w:t>营业利润 </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7"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6"/>
              <w:jc w:val="both"/>
              <w:rPr>
                <w:rFonts w:ascii="宋体" w:hAnsi="宋体" w:cs="宋体" w:eastAsia="宋体" w:hint="default"/>
                <w:sz w:val="18"/>
                <w:szCs w:val="18"/>
              </w:rPr>
            </w:pPr>
            <w:r>
              <w:rPr>
                <w:rFonts w:ascii="宋体" w:hAnsi="宋体" w:cs="宋体" w:eastAsia="宋体" w:hint="default"/>
                <w:sz w:val="18"/>
                <w:szCs w:val="18"/>
              </w:rPr>
              <w:t>深圳市深信 西部房地产 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2"/>
              <w:jc w:val="both"/>
              <w:rPr>
                <w:rFonts w:ascii="宋体" w:hAnsi="宋体" w:cs="宋体" w:eastAsia="宋体" w:hint="default"/>
                <w:sz w:val="18"/>
                <w:szCs w:val="18"/>
              </w:rPr>
            </w:pPr>
            <w:r>
              <w:rPr>
                <w:rFonts w:ascii="宋体" w:hAnsi="宋体" w:cs="宋体" w:eastAsia="宋体" w:hint="default"/>
                <w:sz w:val="18"/>
                <w:szCs w:val="18"/>
              </w:rPr>
              <w:t>房地产开发 经营、兴办 实业、国内 商业</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6,230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26,323,238.</w:t>
            </w:r>
          </w:p>
          <w:p>
            <w:pPr>
              <w:pStyle w:val="TableParagraph"/>
              <w:spacing w:line="240" w:lineRule="auto" w:before="76"/>
              <w:ind w:right="19"/>
              <w:jc w:val="right"/>
              <w:rPr>
                <w:rFonts w:ascii="宋体" w:hAnsi="宋体" w:cs="宋体" w:eastAsia="宋体" w:hint="default"/>
                <w:sz w:val="18"/>
                <w:szCs w:val="18"/>
              </w:rPr>
            </w:pPr>
            <w:r>
              <w:rPr>
                <w:rFonts w:ascii="宋体"/>
                <w:sz w:val="18"/>
              </w:rPr>
              <w:t>40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19,185,233.1</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1" w:right="0"/>
              <w:jc w:val="center"/>
              <w:rPr>
                <w:rFonts w:ascii="宋体" w:hAnsi="宋体" w:cs="宋体" w:eastAsia="宋体" w:hint="default"/>
                <w:sz w:val="18"/>
                <w:szCs w:val="18"/>
              </w:rPr>
            </w:pPr>
            <w:r>
              <w:rPr>
                <w:rFonts w:ascii="宋体"/>
                <w:sz w:val="18"/>
              </w:rPr>
              <w:t>2,101,181.00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-2,069,829.</w:t>
            </w:r>
          </w:p>
          <w:p>
            <w:pPr>
              <w:pStyle w:val="TableParagraph"/>
              <w:spacing w:line="240" w:lineRule="auto" w:before="76"/>
              <w:ind w:right="17"/>
              <w:jc w:val="right"/>
              <w:rPr>
                <w:rFonts w:ascii="宋体" w:hAnsi="宋体" w:cs="宋体" w:eastAsia="宋体" w:hint="default"/>
                <w:sz w:val="18"/>
                <w:szCs w:val="18"/>
              </w:rPr>
            </w:pPr>
            <w:r>
              <w:rPr>
                <w:rFonts w:ascii="宋体"/>
                <w:sz w:val="18"/>
              </w:rPr>
              <w:t>11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465,843.62</w:t>
            </w:r>
          </w:p>
        </w:tc>
      </w:tr>
      <w:tr>
        <w:trPr>
          <w:trHeight w:val="40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深圳市深信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出租物业</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投资兴办实</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宋体" w:hAnsi="宋体" w:cs="宋体" w:eastAsia="宋体" w:hint="default"/>
                <w:sz w:val="18"/>
                <w:szCs w:val="18"/>
              </w:rPr>
            </w:pPr>
            <w:r>
              <w:rPr>
                <w:rFonts w:ascii="宋体"/>
                <w:spacing w:val="-1"/>
                <w:sz w:val="18"/>
              </w:rPr>
              <w:t>24,715,884.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1" w:right="0"/>
              <w:jc w:val="center"/>
              <w:rPr>
                <w:rFonts w:ascii="宋体" w:hAnsi="宋体" w:cs="宋体" w:eastAsia="宋体" w:hint="default"/>
                <w:sz w:val="18"/>
                <w:szCs w:val="18"/>
              </w:rPr>
            </w:pPr>
            <w:r>
              <w:rPr>
                <w:rFonts w:ascii="宋体"/>
                <w:sz w:val="18"/>
              </w:rPr>
              <w:t>-1,969,249.5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center"/>
              <w:rPr>
                <w:rFonts w:ascii="宋体" w:hAnsi="宋体" w:cs="宋体" w:eastAsia="宋体" w:hint="default"/>
                <w:sz w:val="18"/>
                <w:szCs w:val="18"/>
              </w:rPr>
            </w:pPr>
            <w:r>
              <w:rPr>
                <w:rFonts w:ascii="宋体"/>
                <w:sz w:val="18"/>
              </w:rPr>
              <w:t>4,222,206.00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9" w:right="0"/>
              <w:jc w:val="left"/>
              <w:rPr>
                <w:rFonts w:ascii="宋体" w:hAnsi="宋体" w:cs="宋体" w:eastAsia="宋体" w:hint="default"/>
                <w:sz w:val="18"/>
                <w:szCs w:val="18"/>
              </w:rPr>
            </w:pPr>
            <w:r>
              <w:rPr>
                <w:rFonts w:ascii="宋体"/>
                <w:sz w:val="18"/>
              </w:rPr>
              <w:t>1,250,088.3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363,845.49</w:t>
            </w:r>
          </w:p>
        </w:tc>
      </w:tr>
    </w:tbl>
    <w:p>
      <w:pPr>
        <w:spacing w:after="0" w:line="240" w:lineRule="auto"/>
        <w:jc w:val="right"/>
        <w:rPr>
          <w:rFonts w:ascii="宋体" w:hAnsi="宋体" w:cs="宋体" w:eastAsia="宋体" w:hint="default"/>
          <w:sz w:val="18"/>
          <w:szCs w:val="18"/>
        </w:rPr>
        <w:sectPr>
          <w:pgSz w:w="11910" w:h="16840"/>
          <w:pgMar w:header="745" w:footer="1315" w:top="1060" w:bottom="1540" w:left="80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008"/>
        <w:gridCol w:w="866"/>
        <w:gridCol w:w="869"/>
        <w:gridCol w:w="968"/>
        <w:gridCol w:w="139"/>
        <w:gridCol w:w="643"/>
        <w:gridCol w:w="1136"/>
        <w:gridCol w:w="1174"/>
        <w:gridCol w:w="1220"/>
        <w:gridCol w:w="1092"/>
        <w:gridCol w:w="1147"/>
      </w:tblGrid>
      <w:tr>
        <w:trPr>
          <w:trHeight w:val="675"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0" w:right="46"/>
              <w:jc w:val="left"/>
              <w:rPr>
                <w:rFonts w:ascii="宋体" w:hAnsi="宋体" w:cs="宋体" w:eastAsia="宋体" w:hint="default"/>
                <w:sz w:val="18"/>
                <w:szCs w:val="18"/>
              </w:rPr>
            </w:pPr>
            <w:r>
              <w:rPr>
                <w:rFonts w:ascii="宋体" w:hAnsi="宋体" w:cs="宋体" w:eastAsia="宋体" w:hint="default"/>
                <w:sz w:val="18"/>
                <w:szCs w:val="18"/>
              </w:rPr>
              <w:t>泰丰投资发 展有限公司</w:t>
            </w: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2"/>
              <w:jc w:val="left"/>
              <w:rPr>
                <w:rFonts w:ascii="宋体" w:hAnsi="宋体" w:cs="宋体" w:eastAsia="宋体" w:hint="default"/>
                <w:sz w:val="18"/>
                <w:szCs w:val="18"/>
              </w:rPr>
            </w:pPr>
            <w:r>
              <w:rPr>
                <w:rFonts w:ascii="宋体" w:hAnsi="宋体" w:cs="宋体" w:eastAsia="宋体" w:hint="default"/>
                <w:sz w:val="18"/>
                <w:szCs w:val="18"/>
              </w:rPr>
              <w:t>业、国内商 业、物资销</w:t>
            </w:r>
          </w:p>
        </w:tc>
        <w:tc>
          <w:tcPr>
            <w:tcW w:w="782" w:type="dxa"/>
            <w:gridSpan w:val="2"/>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8</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深圳市华宝</w:t>
            </w:r>
          </w:p>
          <w:p>
            <w:pPr>
              <w:pStyle w:val="TableParagraph"/>
              <w:spacing w:line="316" w:lineRule="auto" w:before="76"/>
              <w:ind w:left="50" w:right="46"/>
              <w:jc w:val="left"/>
              <w:rPr>
                <w:rFonts w:ascii="宋体" w:hAnsi="宋体" w:cs="宋体" w:eastAsia="宋体" w:hint="default"/>
                <w:sz w:val="18"/>
                <w:szCs w:val="18"/>
              </w:rPr>
            </w:pPr>
            <w:r>
              <w:rPr>
                <w:rFonts w:ascii="宋体" w:hAnsi="宋体" w:cs="宋体" w:eastAsia="宋体" w:hint="default"/>
                <w:sz w:val="18"/>
                <w:szCs w:val="18"/>
              </w:rPr>
              <w:t>（集团）饲 料有限公司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2"/>
              <w:jc w:val="left"/>
              <w:rPr>
                <w:rFonts w:ascii="宋体" w:hAnsi="宋体" w:cs="宋体" w:eastAsia="宋体" w:hint="default"/>
                <w:sz w:val="18"/>
                <w:szCs w:val="18"/>
              </w:rPr>
            </w:pPr>
            <w:r>
              <w:rPr>
                <w:rFonts w:ascii="宋体" w:hAnsi="宋体" w:cs="宋体" w:eastAsia="宋体" w:hint="default"/>
                <w:sz w:val="18"/>
                <w:szCs w:val="18"/>
              </w:rPr>
              <w:t>饲料生产与 销售</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9" w:right="0"/>
              <w:jc w:val="left"/>
              <w:rPr>
                <w:rFonts w:ascii="宋体" w:hAnsi="宋体" w:cs="宋体" w:eastAsia="宋体" w:hint="default"/>
                <w:sz w:val="18"/>
                <w:szCs w:val="18"/>
              </w:rPr>
            </w:pPr>
            <w:r>
              <w:rPr>
                <w:rFonts w:ascii="宋体"/>
                <w:sz w:val="18"/>
              </w:rPr>
              <w:t>6,130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45,599,861.</w:t>
            </w:r>
          </w:p>
          <w:p>
            <w:pPr>
              <w:pStyle w:val="TableParagraph"/>
              <w:spacing w:line="240" w:lineRule="auto" w:before="76"/>
              <w:ind w:right="19"/>
              <w:jc w:val="right"/>
              <w:rPr>
                <w:rFonts w:ascii="宋体" w:hAnsi="宋体" w:cs="宋体" w:eastAsia="宋体" w:hint="default"/>
                <w:sz w:val="18"/>
                <w:szCs w:val="18"/>
              </w:rPr>
            </w:pPr>
            <w:r>
              <w:rPr>
                <w:rFonts w:ascii="宋体"/>
                <w:sz w:val="18"/>
              </w:rPr>
              <w:t>53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32,365,069.7</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229,760,906.</w:t>
            </w:r>
          </w:p>
          <w:p>
            <w:pPr>
              <w:pStyle w:val="TableParagraph"/>
              <w:spacing w:line="240" w:lineRule="auto" w:before="76"/>
              <w:ind w:right="20"/>
              <w:jc w:val="right"/>
              <w:rPr>
                <w:rFonts w:ascii="宋体" w:hAnsi="宋体" w:cs="宋体" w:eastAsia="宋体" w:hint="default"/>
                <w:sz w:val="18"/>
                <w:szCs w:val="18"/>
              </w:rPr>
            </w:pPr>
            <w:r>
              <w:rPr>
                <w:rFonts w:ascii="宋体"/>
                <w:sz w:val="18"/>
              </w:rPr>
              <w:t>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-347,938.51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center"/>
              <w:rPr>
                <w:rFonts w:ascii="宋体" w:hAnsi="宋体" w:cs="宋体" w:eastAsia="宋体" w:hint="default"/>
                <w:sz w:val="18"/>
                <w:szCs w:val="18"/>
              </w:rPr>
            </w:pPr>
            <w:r>
              <w:rPr>
                <w:rFonts w:ascii="宋体"/>
                <w:sz w:val="18"/>
              </w:rPr>
              <w:t>-829,766.16</w:t>
            </w:r>
          </w:p>
        </w:tc>
      </w:tr>
      <w:tr>
        <w:trPr>
          <w:trHeight w:val="1027"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0" w:right="46"/>
              <w:jc w:val="center"/>
              <w:rPr>
                <w:rFonts w:ascii="宋体" w:hAnsi="宋体" w:cs="宋体" w:eastAsia="宋体" w:hint="default"/>
                <w:sz w:val="18"/>
                <w:szCs w:val="18"/>
              </w:rPr>
            </w:pPr>
            <w:r>
              <w:rPr>
                <w:rFonts w:ascii="宋体" w:hAnsi="宋体" w:cs="宋体" w:eastAsia="宋体" w:hint="default"/>
                <w:sz w:val="18"/>
                <w:szCs w:val="18"/>
              </w:rPr>
              <w:t>深圳市宝安 华宝实业有 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家禽养殖</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9" w:right="0"/>
              <w:jc w:val="left"/>
              <w:rPr>
                <w:rFonts w:ascii="宋体" w:hAnsi="宋体" w:cs="宋体" w:eastAsia="宋体" w:hint="default"/>
                <w:sz w:val="18"/>
                <w:szCs w:val="18"/>
              </w:rPr>
            </w:pPr>
            <w:r>
              <w:rPr>
                <w:rFonts w:ascii="宋体"/>
                <w:sz w:val="18"/>
              </w:rPr>
              <w:t>3,620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6,155,911.0</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152,374.17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12,870,092.6</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-1,667,861.</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-1,106,437.8</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r>
      <w:tr>
        <w:trPr>
          <w:trHeight w:val="13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0" w:right="46"/>
              <w:jc w:val="center"/>
              <w:rPr>
                <w:rFonts w:ascii="宋体" w:hAnsi="宋体" w:cs="宋体" w:eastAsia="宋体" w:hint="default"/>
                <w:sz w:val="18"/>
                <w:szCs w:val="18"/>
              </w:rPr>
            </w:pPr>
            <w:r>
              <w:rPr>
                <w:rFonts w:ascii="宋体" w:hAnsi="宋体" w:cs="宋体" w:eastAsia="宋体" w:hint="default"/>
                <w:sz w:val="18"/>
                <w:szCs w:val="18"/>
              </w:rPr>
              <w:t>深圳市龙岗 区华宝经济 发展有限</w:t>
            </w:r>
          </w:p>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种殖果树</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79" w:right="0"/>
              <w:jc w:val="left"/>
              <w:rPr>
                <w:rFonts w:ascii="宋体" w:hAnsi="宋体" w:cs="宋体" w:eastAsia="宋体" w:hint="default"/>
                <w:sz w:val="18"/>
                <w:szCs w:val="18"/>
              </w:rPr>
            </w:pPr>
            <w:r>
              <w:rPr>
                <w:rFonts w:ascii="宋体"/>
                <w:sz w:val="18"/>
              </w:rPr>
              <w:t>450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2"/>
              <w:jc w:val="right"/>
              <w:rPr>
                <w:rFonts w:ascii="宋体" w:hAnsi="宋体" w:cs="宋体" w:eastAsia="宋体" w:hint="default"/>
                <w:sz w:val="18"/>
                <w:szCs w:val="18"/>
              </w:rPr>
            </w:pPr>
            <w:r>
              <w:rPr>
                <w:rFonts w:ascii="宋体"/>
                <w:spacing w:val="-1"/>
                <w:sz w:val="18"/>
              </w:rPr>
              <w:t>5,612,261.2</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1,798,175.31</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-111,991.16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18"/>
                <w:szCs w:val="18"/>
              </w:rPr>
            </w:pPr>
            <w:r>
              <w:rPr>
                <w:rFonts w:ascii="宋体"/>
                <w:sz w:val="18"/>
              </w:rPr>
              <w:t>-111,991.16</w:t>
            </w:r>
          </w:p>
        </w:tc>
      </w:tr>
      <w:tr>
        <w:trPr>
          <w:trHeight w:val="1337"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6"/>
              <w:jc w:val="both"/>
              <w:rPr>
                <w:rFonts w:ascii="宋体" w:hAnsi="宋体" w:cs="宋体" w:eastAsia="宋体" w:hint="default"/>
                <w:sz w:val="18"/>
                <w:szCs w:val="18"/>
              </w:rPr>
            </w:pPr>
            <w:r>
              <w:rPr>
                <w:rFonts w:ascii="宋体" w:hAnsi="宋体" w:cs="宋体" w:eastAsia="宋体" w:hint="default"/>
                <w:sz w:val="18"/>
                <w:szCs w:val="18"/>
              </w:rPr>
              <w:t>深圳市华宝 西部物业管 理有限公司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2"/>
              <w:jc w:val="both"/>
              <w:rPr>
                <w:rFonts w:ascii="宋体" w:hAnsi="宋体" w:cs="宋体" w:eastAsia="宋体" w:hint="default"/>
                <w:sz w:val="18"/>
                <w:szCs w:val="18"/>
              </w:rPr>
            </w:pPr>
            <w:r>
              <w:rPr>
                <w:rFonts w:ascii="宋体" w:hAnsi="宋体" w:cs="宋体" w:eastAsia="宋体" w:hint="default"/>
                <w:sz w:val="18"/>
                <w:szCs w:val="18"/>
              </w:rPr>
              <w:t>物业管理及 经营国内商 业。机动车 停放服务。</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18"/>
                <w:szCs w:val="18"/>
              </w:rPr>
            </w:pPr>
            <w:r>
              <w:rPr>
                <w:rFonts w:ascii="宋体"/>
                <w:sz w:val="18"/>
              </w:rPr>
              <w:t>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6,756,336.7</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3,672,938.38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sz w:val="18"/>
              </w:rPr>
              <w:t>6,697,377.44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-141,818.06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18"/>
                <w:szCs w:val="18"/>
              </w:rPr>
            </w:pPr>
            <w:r>
              <w:rPr>
                <w:rFonts w:ascii="宋体"/>
                <w:sz w:val="18"/>
              </w:rPr>
              <w:t>-139,118.06</w:t>
            </w:r>
          </w:p>
        </w:tc>
      </w:tr>
      <w:tr>
        <w:trPr>
          <w:trHeight w:val="3524"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50" w:right="46"/>
              <w:jc w:val="center"/>
              <w:rPr>
                <w:rFonts w:ascii="宋体" w:hAnsi="宋体" w:cs="宋体" w:eastAsia="宋体" w:hint="default"/>
                <w:sz w:val="18"/>
                <w:szCs w:val="18"/>
              </w:rPr>
            </w:pPr>
            <w:r>
              <w:rPr>
                <w:rFonts w:ascii="宋体" w:hAnsi="宋体" w:cs="宋体" w:eastAsia="宋体" w:hint="default"/>
                <w:sz w:val="18"/>
                <w:szCs w:val="18"/>
              </w:rPr>
              <w:t>深圳市汇德 祥贸易有限 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投资兴办实 业；塑料制 品、通讯产 品、多功能 电话、无绳 电话的购销 及其他国内 商业、物资 供销业；企 业形象设 计。</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sz w:val="18"/>
              </w:rPr>
              <w:t>1000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32,559,304.</w:t>
            </w:r>
          </w:p>
          <w:p>
            <w:pPr>
              <w:pStyle w:val="TableParagraph"/>
              <w:spacing w:line="240" w:lineRule="auto" w:before="74"/>
              <w:ind w:right="19"/>
              <w:jc w:val="right"/>
              <w:rPr>
                <w:rFonts w:ascii="宋体" w:hAnsi="宋体" w:cs="宋体" w:eastAsia="宋体" w:hint="default"/>
                <w:sz w:val="18"/>
                <w:szCs w:val="18"/>
              </w:rPr>
            </w:pPr>
            <w:r>
              <w:rPr>
                <w:rFonts w:ascii="宋体"/>
                <w:sz w:val="18"/>
              </w:rPr>
              <w:t>81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18,078,840.5</w:t>
            </w:r>
          </w:p>
          <w:p>
            <w:pPr>
              <w:pStyle w:val="TableParagraph"/>
              <w:spacing w:line="240" w:lineRule="auto" w:before="74"/>
              <w:ind w:right="20"/>
              <w:jc w:val="right"/>
              <w:rPr>
                <w:rFonts w:ascii="宋体" w:hAnsi="宋体" w:cs="宋体" w:eastAsia="宋体" w:hint="default"/>
                <w:sz w:val="18"/>
                <w:szCs w:val="18"/>
              </w:rPr>
            </w:pPr>
            <w:r>
              <w:rPr>
                <w:rFonts w:ascii="宋体"/>
                <w:sz w:val="18"/>
              </w:rPr>
              <w:t>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157,111,465.</w:t>
            </w:r>
          </w:p>
          <w:p>
            <w:pPr>
              <w:pStyle w:val="TableParagraph"/>
              <w:spacing w:line="240" w:lineRule="auto" w:before="74"/>
              <w:ind w:right="20"/>
              <w:jc w:val="right"/>
              <w:rPr>
                <w:rFonts w:ascii="宋体" w:hAnsi="宋体" w:cs="宋体" w:eastAsia="宋体" w:hint="default"/>
                <w:sz w:val="18"/>
                <w:szCs w:val="18"/>
              </w:rPr>
            </w:pPr>
            <w:r>
              <w:rPr>
                <w:rFonts w:ascii="宋体"/>
                <w:sz w:val="18"/>
              </w:rPr>
              <w:t>64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2,768,212.7</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1,788,005.70</w:t>
            </w:r>
          </w:p>
        </w:tc>
      </w:tr>
      <w:tr>
        <w:trPr>
          <w:trHeight w:val="1066"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50" w:right="46"/>
              <w:jc w:val="center"/>
              <w:rPr>
                <w:rFonts w:ascii="宋体" w:hAnsi="宋体" w:cs="宋体" w:eastAsia="宋体" w:hint="default"/>
                <w:sz w:val="18"/>
                <w:szCs w:val="18"/>
              </w:rPr>
            </w:pPr>
            <w:r>
              <w:rPr>
                <w:rFonts w:ascii="宋体" w:hAnsi="宋体" w:cs="宋体" w:eastAsia="宋体" w:hint="default"/>
                <w:sz w:val="18"/>
                <w:szCs w:val="18"/>
              </w:rPr>
              <w:t>惠州市华宝 饲料有限 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24" w:right="32"/>
              <w:jc w:val="left"/>
              <w:rPr>
                <w:rFonts w:ascii="宋体" w:hAnsi="宋体" w:cs="宋体" w:eastAsia="宋体" w:hint="default"/>
                <w:sz w:val="18"/>
                <w:szCs w:val="18"/>
              </w:rPr>
            </w:pPr>
            <w:r>
              <w:rPr>
                <w:rFonts w:ascii="宋体" w:hAnsi="宋体" w:cs="宋体" w:eastAsia="宋体" w:hint="default"/>
                <w:sz w:val="18"/>
                <w:szCs w:val="18"/>
              </w:rPr>
              <w:t>饲料生产与 销售</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91" w:right="0"/>
              <w:jc w:val="left"/>
              <w:rPr>
                <w:rFonts w:ascii="宋体" w:hAnsi="宋体" w:cs="宋体" w:eastAsia="宋体" w:hint="default"/>
                <w:sz w:val="18"/>
                <w:szCs w:val="18"/>
              </w:rPr>
            </w:pPr>
            <w:r>
              <w:rPr>
                <w:rFonts w:ascii="宋体"/>
                <w:sz w:val="18"/>
              </w:rPr>
              <w:t>1000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71,761,544.</w:t>
            </w:r>
          </w:p>
          <w:p>
            <w:pPr>
              <w:pStyle w:val="TableParagraph"/>
              <w:spacing w:line="240" w:lineRule="auto" w:before="76"/>
              <w:ind w:right="19"/>
              <w:jc w:val="right"/>
              <w:rPr>
                <w:rFonts w:ascii="宋体" w:hAnsi="宋体" w:cs="宋体" w:eastAsia="宋体" w:hint="default"/>
                <w:sz w:val="18"/>
                <w:szCs w:val="18"/>
              </w:rPr>
            </w:pPr>
            <w:r>
              <w:rPr>
                <w:rFonts w:ascii="宋体"/>
                <w:sz w:val="18"/>
              </w:rPr>
              <w:t>57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宋体" w:hAnsi="宋体" w:cs="宋体" w:eastAsia="宋体" w:hint="default"/>
                <w:sz w:val="18"/>
                <w:szCs w:val="18"/>
              </w:rPr>
            </w:pPr>
            <w:r>
              <w:rPr>
                <w:rFonts w:ascii="宋体"/>
                <w:spacing w:val="-1"/>
                <w:sz w:val="18"/>
              </w:rPr>
              <w:t>9,664,122.27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22,620,326.3</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宋体" w:hAnsi="宋体" w:cs="宋体" w:eastAsia="宋体" w:hint="default"/>
                <w:sz w:val="18"/>
                <w:szCs w:val="18"/>
              </w:rPr>
            </w:pPr>
            <w:r>
              <w:rPr>
                <w:rFonts w:ascii="宋体"/>
                <w:spacing w:val="-1"/>
                <w:sz w:val="18"/>
              </w:rPr>
              <w:t>-363,135.37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3" w:right="0"/>
              <w:jc w:val="center"/>
              <w:rPr>
                <w:rFonts w:ascii="宋体" w:hAnsi="宋体" w:cs="宋体" w:eastAsia="宋体" w:hint="default"/>
                <w:sz w:val="18"/>
                <w:szCs w:val="18"/>
              </w:rPr>
            </w:pPr>
            <w:r>
              <w:rPr>
                <w:rFonts w:ascii="宋体"/>
                <w:sz w:val="18"/>
              </w:rPr>
              <w:t>-363,135.37</w:t>
            </w:r>
          </w:p>
        </w:tc>
      </w:tr>
      <w:tr>
        <w:trPr>
          <w:trHeight w:val="134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8" w:lineRule="auto"/>
              <w:ind w:left="50" w:right="46"/>
              <w:jc w:val="center"/>
              <w:rPr>
                <w:rFonts w:ascii="宋体" w:hAnsi="宋体" w:cs="宋体" w:eastAsia="宋体" w:hint="default"/>
                <w:sz w:val="18"/>
                <w:szCs w:val="18"/>
              </w:rPr>
            </w:pPr>
            <w:r>
              <w:rPr>
                <w:rFonts w:ascii="宋体" w:hAnsi="宋体" w:cs="宋体" w:eastAsia="宋体" w:hint="default"/>
                <w:sz w:val="18"/>
                <w:szCs w:val="18"/>
              </w:rPr>
              <w:t>深圳市泰丰 科技有限 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生产电子 产品</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开发、 销售无绳电 话机、多功 能电话机等</w:t>
            </w:r>
          </w:p>
        </w:tc>
        <w:tc>
          <w:tcPr>
            <w:tcW w:w="139" w:type="dxa"/>
            <w:tcBorders>
              <w:top w:val="single" w:sz="4" w:space="0" w:color="000000"/>
              <w:left w:val="single" w:sz="4" w:space="0" w:color="000000"/>
              <w:bottom w:val="single" w:sz="4" w:space="0" w:color="000000"/>
              <w:right w:val="nil" w:sz="6" w:space="0" w:color="auto"/>
            </w:tcBorders>
          </w:tcPr>
          <w:p>
            <w:pPr/>
          </w:p>
        </w:tc>
        <w:tc>
          <w:tcPr>
            <w:tcW w:w="6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7" w:right="0"/>
              <w:jc w:val="left"/>
              <w:rPr>
                <w:rFonts w:ascii="宋体" w:hAnsi="宋体" w:cs="宋体" w:eastAsia="宋体" w:hint="default"/>
                <w:sz w:val="18"/>
                <w:szCs w:val="18"/>
              </w:rPr>
            </w:pPr>
            <w:r>
              <w:rPr>
                <w:rFonts w:ascii="宋体"/>
                <w:sz w:val="18"/>
              </w:rPr>
              <w:t>16,000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62,458,922.</w:t>
            </w:r>
          </w:p>
          <w:p>
            <w:pPr>
              <w:pStyle w:val="TableParagraph"/>
              <w:spacing w:line="240" w:lineRule="auto" w:before="76"/>
              <w:ind w:right="19"/>
              <w:jc w:val="right"/>
              <w:rPr>
                <w:rFonts w:ascii="宋体" w:hAnsi="宋体" w:cs="宋体" w:eastAsia="宋体" w:hint="default"/>
                <w:sz w:val="18"/>
                <w:szCs w:val="18"/>
              </w:rPr>
            </w:pPr>
            <w:r>
              <w:rPr>
                <w:rFonts w:ascii="宋体"/>
                <w:sz w:val="18"/>
              </w:rPr>
              <w:t>57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11,988,835.7</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129,199,772.</w:t>
            </w:r>
          </w:p>
          <w:p>
            <w:pPr>
              <w:pStyle w:val="TableParagraph"/>
              <w:spacing w:line="240" w:lineRule="auto" w:before="76"/>
              <w:ind w:right="20"/>
              <w:jc w:val="right"/>
              <w:rPr>
                <w:rFonts w:ascii="宋体" w:hAnsi="宋体" w:cs="宋体" w:eastAsia="宋体" w:hint="default"/>
                <w:sz w:val="18"/>
                <w:szCs w:val="18"/>
              </w:rPr>
            </w:pPr>
            <w:r>
              <w:rPr>
                <w:rFonts w:ascii="宋体"/>
                <w:sz w:val="18"/>
              </w:rPr>
              <w:t>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5,182,050.4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sz w:val="18"/>
              </w:rPr>
              <w:t>5,857,333.85</w:t>
            </w:r>
          </w:p>
        </w:tc>
      </w:tr>
    </w:tbl>
    <w:p>
      <w:pPr>
        <w:pStyle w:val="BodyText"/>
        <w:spacing w:line="240" w:lineRule="auto" w:before="49"/>
        <w:ind w:left="332" w:right="1664"/>
        <w:jc w:val="left"/>
      </w:pPr>
      <w:r>
        <w:rPr/>
        <w:pict>
          <v:shape style="position:absolute;margin-left:207.139999pt;margin-top:-66.988281pt;width:62.95pt;height:23.4pt;mso-position-horizontal-relative:page;mso-position-vertical-relative:paragraph;z-index:-781768" type="#_x0000_t202" filled="false" stroked="false">
            <v:textbox inset="0,0,0,0">
              <w:txbxContent>
                <w:p>
                  <w:pPr>
                    <w:pStyle w:val="BodyText"/>
                    <w:spacing w:line="240" w:lineRule="auto" w:before="49"/>
                    <w:ind w:left="0" w:right="0"/>
                    <w:jc w:val="left"/>
                  </w:pPr>
                  <w:r>
                    <w:rPr/>
                    <w:t>生产、</w:t>
                  </w:r>
                </w:p>
              </w:txbxContent>
            </v:textbox>
            <w10:wrap type="none"/>
          </v:shape>
        </w:pict>
      </w:r>
      <w:r>
        <w:rPr/>
        <w:pict>
          <v:group style="position:absolute;margin-left:231.289993pt;margin-top:-66.988281pt;width:38.8pt;height:23.4pt;mso-position-horizontal-relative:page;mso-position-vertical-relative:paragraph;z-index:-781744" coordorigin="4626,-1340" coordsize="776,468">
            <v:shape style="position:absolute;left:4626;top:-1340;width:776;height:468" coordorigin="4626,-1340" coordsize="776,468" path="m4626,-872l5401,-872,5401,-1340,4626,-1340,4626,-872xe" filled="true" fillcolor="#ffffff" stroked="false">
              <v:path arrowok="t"/>
              <v:fill type="solid"/>
            </v:shape>
            <w10:wrap type="none"/>
          </v:group>
        </w:pict>
      </w:r>
      <w:r>
        <w:rPr/>
        <w:t>主要子公司、参股公司情况说明</w:t>
      </w:r>
    </w:p>
    <w:p>
      <w:pPr>
        <w:spacing w:line="240" w:lineRule="auto" w:before="6"/>
        <w:rPr>
          <w:rFonts w:ascii="宋体" w:hAnsi="宋体" w:cs="宋体" w:eastAsia="宋体" w:hint="default"/>
          <w:sz w:val="21"/>
          <w:szCs w:val="21"/>
        </w:rPr>
      </w:pPr>
    </w:p>
    <w:p>
      <w:pPr>
        <w:pStyle w:val="BodyText"/>
        <w:spacing w:line="362" w:lineRule="auto"/>
        <w:ind w:left="332" w:right="1664" w:firstLine="360"/>
        <w:jc w:val="left"/>
      </w:pPr>
      <w:r>
        <w:rPr/>
        <w:t>饲料公司利润同比下降</w:t>
      </w:r>
      <w:r>
        <w:rPr>
          <w:rFonts w:ascii="宋体" w:hAnsi="宋体" w:cs="宋体" w:eastAsia="宋体" w:hint="default"/>
        </w:rPr>
        <w:t>119%</w:t>
      </w:r>
      <w:r>
        <w:rPr/>
        <w:t>，主要是：</w:t>
      </w:r>
      <w:r>
        <w:rPr>
          <w:rFonts w:ascii="宋体" w:hAnsi="宋体" w:cs="宋体" w:eastAsia="宋体" w:hint="default"/>
        </w:rPr>
        <w:t>1</w:t>
      </w:r>
      <w:r>
        <w:rPr/>
        <w:t>、主营业务利润下降，</w:t>
      </w:r>
      <w:r>
        <w:rPr>
          <w:rFonts w:ascii="宋体" w:hAnsi="宋体" w:cs="宋体" w:eastAsia="宋体" w:hint="default"/>
        </w:rPr>
        <w:t>2</w:t>
      </w:r>
      <w:r>
        <w:rPr/>
        <w:t>、受搬迁的影响，</w:t>
      </w:r>
      <w:r>
        <w:rPr>
          <w:rFonts w:ascii="宋体" w:hAnsi="宋体" w:cs="宋体" w:eastAsia="宋体" w:hint="default"/>
        </w:rPr>
        <w:t>3</w:t>
      </w:r>
      <w:r>
        <w:rPr/>
        <w:t>、本期摊入开办费的影响。 报告期内取得和处臵子公司的情况</w:t>
      </w:r>
    </w:p>
    <w:p>
      <w:pPr>
        <w:pStyle w:val="BodyText"/>
        <w:spacing w:line="240" w:lineRule="auto" w:before="23"/>
        <w:ind w:left="332" w:right="1664"/>
        <w:jc w:val="left"/>
      </w:pPr>
      <w:r>
        <w:rPr/>
        <w:t>□ 适用 √ 不适用</w:t>
      </w:r>
    </w:p>
    <w:p>
      <w:pPr>
        <w:spacing w:after="0" w:line="240" w:lineRule="auto"/>
        <w:jc w:val="left"/>
        <w:sectPr>
          <w:pgSz w:w="11910" w:h="16840"/>
          <w:pgMar w:header="745" w:footer="1315" w:top="1060" w:bottom="1540" w:left="80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5</w:t>
      </w:r>
      <w:r>
        <w:rPr/>
        <w:t>、非募集资金投资的重大项目情况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惠州饲料公司新厂 建设项目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4,103.54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2,188.81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4,103.54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良好</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2,188.81</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4,103.54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1"/>
        <w:rPr>
          <w:rFonts w:ascii="宋体" w:hAnsi="宋体" w:cs="宋体" w:eastAsia="宋体" w:hint="default"/>
          <w:sz w:val="18"/>
          <w:szCs w:val="18"/>
        </w:rPr>
      </w:pPr>
    </w:p>
    <w:p>
      <w:pPr>
        <w:pStyle w:val="Heading2"/>
        <w:spacing w:line="369" w:lineRule="exact"/>
        <w:ind w:right="0"/>
        <w:jc w:val="left"/>
        <w:rPr>
          <w:b w:val="0"/>
          <w:bCs w:val="0"/>
        </w:rPr>
      </w:pPr>
      <w:r>
        <w:rPr/>
        <w:t>七、公司控制的特殊目的主体情况</w:t>
      </w:r>
      <w:r>
        <w:rPr>
          <w:b w:val="0"/>
          <w:bCs w:val="0"/>
        </w:rPr>
      </w:r>
    </w:p>
    <w:p>
      <w:pPr>
        <w:spacing w:before="20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八、公司未来发展的展望</w:t>
      </w:r>
      <w:r>
        <w:rPr>
          <w:rFonts w:ascii="微软雅黑" w:hAnsi="微软雅黑" w:cs="微软雅黑" w:eastAsia="微软雅黑" w:hint="default"/>
          <w:sz w:val="24"/>
          <w:szCs w:val="24"/>
        </w:rPr>
      </w:r>
    </w:p>
    <w:p>
      <w:pPr>
        <w:spacing w:line="240" w:lineRule="auto" w:before="14"/>
        <w:rPr>
          <w:rFonts w:ascii="微软雅黑" w:hAnsi="微软雅黑" w:cs="微软雅黑" w:eastAsia="微软雅黑" w:hint="default"/>
          <w:b/>
          <w:bCs/>
          <w:sz w:val="27"/>
          <w:szCs w:val="27"/>
        </w:rPr>
      </w:pPr>
    </w:p>
    <w:p>
      <w:pPr>
        <w:pStyle w:val="BodyText"/>
        <w:spacing w:line="489" w:lineRule="auto"/>
        <w:ind w:right="1041" w:firstLine="360"/>
        <w:jc w:val="both"/>
      </w:pPr>
      <w:r>
        <w:rPr>
          <w:rFonts w:ascii="宋体" w:hAnsi="宋体" w:cs="宋体" w:eastAsia="宋体" w:hint="default"/>
          <w:spacing w:val="-4"/>
        </w:rPr>
        <w:t>2013</w:t>
      </w:r>
      <w:r>
        <w:rPr>
          <w:spacing w:val="-4"/>
        </w:rPr>
        <w:t>年，公司面临的外部经营环境不容乐观，经营形势依然严峻。一方面，因深圳市企业缴纳的社保比例将大幅度提高，</w:t>
      </w:r>
      <w:r>
        <w:rPr/>
        <w:t> 最低工资标准进一步上升，人力成本压力将进一步凸显。另一方面，经济下行压力增大，企业的竞争压力也将进一步增大， 对本身竞争能力和盈利能力较弱的我们而言，经营的难度将会大大增加。</w:t>
      </w:r>
    </w:p>
    <w:p>
      <w:pPr>
        <w:pStyle w:val="BodyText"/>
        <w:spacing w:line="489" w:lineRule="auto" w:before="57"/>
        <w:ind w:left="513" w:right="0"/>
        <w:jc w:val="left"/>
      </w:pPr>
      <w:r>
        <w:rPr/>
        <w:t>就通讯产业而言，固定电话机市场将继续萎缩，亟待公司进行通讯产业的升级，以摆脱严重依赖单一客户的风险。 </w:t>
      </w:r>
      <w:r>
        <w:rPr>
          <w:spacing w:val="-2"/>
        </w:rPr>
        <w:t>就农业产业而言，</w:t>
      </w:r>
      <w:r>
        <w:rPr>
          <w:rFonts w:ascii="宋体" w:hAnsi="宋体" w:cs="宋体" w:eastAsia="宋体" w:hint="default"/>
          <w:spacing w:val="-2"/>
        </w:rPr>
        <w:t>2012</w:t>
      </w:r>
      <w:r>
        <w:rPr>
          <w:spacing w:val="-2"/>
        </w:rPr>
        <w:t>年我国饲料产业呈现出如下六方面特点：①行业进入大转型、大发展、竞争加剧、淘汰迅速的阶</w:t>
      </w:r>
    </w:p>
    <w:p>
      <w:pPr>
        <w:pStyle w:val="BodyText"/>
        <w:spacing w:line="489" w:lineRule="auto" w:before="57"/>
        <w:ind w:right="0"/>
        <w:jc w:val="left"/>
      </w:pPr>
      <w:r>
        <w:rPr>
          <w:spacing w:val="-2"/>
        </w:rPr>
        <w:t>段；②企业的整合速度加快；③有实力、有品牌的企业规模进一步扩大；④行业进入高成本、微利型、规模化的新时代；⑤</w:t>
      </w:r>
      <w:r>
        <w:rPr>
          <w:spacing w:val="-73"/>
        </w:rPr>
        <w:t> </w:t>
      </w:r>
      <w:r>
        <w:rPr>
          <w:spacing w:val="-73"/>
        </w:rPr>
      </w:r>
      <w:r>
        <w:rPr>
          <w:spacing w:val="-4"/>
        </w:rPr>
        <w:t>管理进入信息化、数据化的新阶段；⑥绿色、安全、功能性饲料逐渐占据主流。这种趋势下，饲料企业的集中度进一步提高，</w:t>
      </w:r>
      <w:r>
        <w:rPr>
          <w:spacing w:val="-41"/>
        </w:rPr>
        <w:t> </w:t>
      </w:r>
      <w:r>
        <w:rPr>
          <w:spacing w:val="-41"/>
        </w:rPr>
      </w:r>
      <w:r>
        <w:rPr/>
        <w:t>小型饲料企业的生存空间受到进一步挤压。</w:t>
      </w:r>
    </w:p>
    <w:p>
      <w:pPr>
        <w:pStyle w:val="BodyText"/>
        <w:spacing w:line="489" w:lineRule="auto" w:before="57"/>
        <w:ind w:right="1034" w:firstLine="360"/>
        <w:jc w:val="left"/>
      </w:pPr>
      <w:r>
        <w:rPr/>
        <w:t>因此，如何做到未雨绸缪、最大限度减少不确定性因素的影响、增加收入、提高盈利、保持持续增长、增强竞争能力， </w:t>
      </w:r>
      <w:r>
        <w:rPr>
          <w:spacing w:val="-2"/>
        </w:rPr>
        <w:t>成为摆在我们面前的紧迫任务。</w:t>
      </w:r>
      <w:r>
        <w:rPr>
          <w:rFonts w:ascii="宋体" w:hAnsi="宋体" w:cs="宋体" w:eastAsia="宋体" w:hint="default"/>
          <w:spacing w:val="-2"/>
        </w:rPr>
        <w:t>2013</w:t>
      </w:r>
      <w:r>
        <w:rPr>
          <w:spacing w:val="-2"/>
        </w:rPr>
        <w:t>年公司通讯产业除原有的飞利浦电话机国内业务外，还将继续拓展海外市场，重点是要</w:t>
      </w:r>
      <w:r>
        <w:rPr>
          <w:spacing w:val="-59"/>
        </w:rPr>
        <w:t> </w:t>
      </w:r>
      <w:r>
        <w:rPr>
          <w:spacing w:val="-59"/>
        </w:rPr>
      </w:r>
      <w:r>
        <w:rPr/>
        <w:t>全力以赴做好</w:t>
      </w:r>
      <w:r>
        <w:rPr>
          <w:rFonts w:ascii="宋体" w:hAnsi="宋体" w:cs="宋体" w:eastAsia="宋体" w:hint="default"/>
        </w:rPr>
        <w:t>IMS</w:t>
      </w:r>
      <w:r>
        <w:rPr>
          <w:rFonts w:ascii="宋体" w:hAnsi="宋体" w:cs="宋体" w:eastAsia="宋体" w:hint="default"/>
          <w:spacing w:val="-43"/>
        </w:rPr>
        <w:t> </w:t>
      </w:r>
      <w:r>
        <w:rPr/>
        <w:t>项目的实施规划、生产及销售工作，做好新开发的保险柜项目，实现通讯产业的转型和升级；饲料公司要 充分利用新厂的优势实现销售新突破，为未来的进一步发展奠定好基础。</w:t>
      </w:r>
    </w:p>
    <w:p>
      <w:pPr>
        <w:pStyle w:val="Heading2"/>
        <w:spacing w:line="240" w:lineRule="auto" w:before="74"/>
        <w:ind w:right="0"/>
        <w:jc w:val="left"/>
        <w:rPr>
          <w:b w:val="0"/>
          <w:bCs w:val="0"/>
        </w:rPr>
      </w:pPr>
      <w:r>
        <w:rPr>
          <w:w w:val="105"/>
        </w:rPr>
        <w:t>九、董事会对会计师事务所本报告期‚非标准审计报告‛的说明</w:t>
      </w:r>
      <w:r>
        <w:rPr>
          <w:b w:val="0"/>
          <w:bCs w:val="0"/>
          <w:w w:val="105"/>
        </w:rPr>
      </w:r>
    </w:p>
    <w:p>
      <w:pPr>
        <w:spacing w:line="240" w:lineRule="auto" w:before="7"/>
        <w:rPr>
          <w:rFonts w:ascii="微软雅黑" w:hAnsi="微软雅黑" w:cs="微软雅黑" w:eastAsia="微软雅黑" w:hint="default"/>
          <w:b/>
          <w:bCs/>
          <w:sz w:val="18"/>
          <w:szCs w:val="18"/>
        </w:rPr>
      </w:pPr>
    </w:p>
    <w:p>
      <w:pPr>
        <w:pStyle w:val="BodyText"/>
        <w:spacing w:line="240" w:lineRule="auto"/>
        <w:ind w:right="0"/>
        <w:jc w:val="left"/>
      </w:pPr>
      <w:r>
        <w:rPr/>
        <w:t>无</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十、与上年度财务报告相比，会计政策、会计估计和核算方法发生变化的情况说明</w:t>
      </w:r>
      <w:r>
        <w:rPr>
          <w:b w:val="0"/>
          <w:bCs w:val="0"/>
        </w:rPr>
      </w:r>
    </w:p>
    <w:p>
      <w:pPr>
        <w:spacing w:line="240" w:lineRule="auto" w:before="6"/>
        <w:rPr>
          <w:rFonts w:ascii="微软雅黑" w:hAnsi="微软雅黑" w:cs="微软雅黑" w:eastAsia="微软雅黑" w:hint="default"/>
          <w:b/>
          <w:bCs/>
          <w:sz w:val="18"/>
          <w:szCs w:val="18"/>
        </w:rPr>
      </w:pPr>
    </w:p>
    <w:p>
      <w:pPr>
        <w:pStyle w:val="BodyText"/>
        <w:spacing w:line="240" w:lineRule="auto"/>
        <w:ind w:right="0"/>
        <w:jc w:val="left"/>
      </w:pPr>
      <w:r>
        <w:rPr/>
        <w:t>无</w:t>
      </w:r>
    </w:p>
    <w:p>
      <w:pPr>
        <w:spacing w:after="0" w:line="240" w:lineRule="auto"/>
        <w:jc w:val="left"/>
        <w:sectPr>
          <w:pgSz w:w="11910" w:h="16840"/>
          <w:pgMar w:header="745" w:footer="1315" w:top="1060" w:bottom="1540" w:left="980" w:right="0"/>
        </w:sectPr>
      </w:pPr>
    </w:p>
    <w:p>
      <w:pPr>
        <w:spacing w:line="240" w:lineRule="auto" w:before="8"/>
        <w:rPr>
          <w:rFonts w:ascii="宋体" w:hAnsi="宋体" w:cs="宋体" w:eastAsia="宋体" w:hint="default"/>
          <w:sz w:val="23"/>
          <w:szCs w:val="23"/>
        </w:rPr>
      </w:pPr>
    </w:p>
    <w:p>
      <w:pPr>
        <w:pStyle w:val="Heading2"/>
        <w:spacing w:line="369" w:lineRule="exact"/>
        <w:ind w:right="0"/>
        <w:jc w:val="left"/>
        <w:rPr>
          <w:b w:val="0"/>
          <w:bCs w:val="0"/>
        </w:rPr>
      </w:pPr>
      <w:r>
        <w:rPr/>
        <w:t>十一、报告期内发生重大会计差错更正需追溯重述的情况说明</w:t>
      </w:r>
      <w:r>
        <w:rPr>
          <w:b w:val="0"/>
          <w:bCs w:val="0"/>
        </w:rPr>
      </w:r>
    </w:p>
    <w:p>
      <w:pPr>
        <w:spacing w:line="240" w:lineRule="auto" w:before="7"/>
        <w:rPr>
          <w:rFonts w:ascii="微软雅黑" w:hAnsi="微软雅黑" w:cs="微软雅黑" w:eastAsia="微软雅黑" w:hint="default"/>
          <w:b/>
          <w:bCs/>
          <w:sz w:val="18"/>
          <w:szCs w:val="18"/>
        </w:rPr>
      </w:pPr>
    </w:p>
    <w:p>
      <w:pPr>
        <w:pStyle w:val="BodyText"/>
        <w:spacing w:line="240" w:lineRule="auto"/>
        <w:ind w:right="0"/>
        <w:jc w:val="left"/>
      </w:pPr>
      <w:r>
        <w:rPr/>
        <w:t>无</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十二、与上年度财务报告相比，合并报表范围发生变化的情况说明</w:t>
      </w:r>
      <w:r>
        <w:rPr>
          <w:b w:val="0"/>
          <w:bCs w:val="0"/>
        </w:rPr>
      </w:r>
    </w:p>
    <w:p>
      <w:pPr>
        <w:spacing w:line="240" w:lineRule="auto" w:before="4"/>
        <w:rPr>
          <w:rFonts w:ascii="微软雅黑" w:hAnsi="微软雅黑" w:cs="微软雅黑" w:eastAsia="微软雅黑" w:hint="default"/>
          <w:b/>
          <w:bCs/>
          <w:sz w:val="18"/>
          <w:szCs w:val="18"/>
        </w:rPr>
      </w:pPr>
    </w:p>
    <w:p>
      <w:pPr>
        <w:pStyle w:val="BodyText"/>
        <w:spacing w:line="240" w:lineRule="auto"/>
        <w:ind w:right="0"/>
        <w:jc w:val="left"/>
      </w:pPr>
      <w:r>
        <w:rPr/>
        <w:t>无</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十三、公司利润分配及分红派息情况</w:t>
      </w:r>
      <w:r>
        <w:rPr>
          <w:b w:val="0"/>
          <w:bCs w:val="0"/>
        </w:rPr>
      </w:r>
    </w:p>
    <w:p>
      <w:pPr>
        <w:spacing w:line="240" w:lineRule="auto" w:before="6"/>
        <w:rPr>
          <w:rFonts w:ascii="微软雅黑" w:hAnsi="微软雅黑" w:cs="微软雅黑" w:eastAsia="微软雅黑" w:hint="default"/>
          <w:b/>
          <w:bCs/>
          <w:sz w:val="18"/>
          <w:szCs w:val="18"/>
        </w:rPr>
      </w:pPr>
    </w:p>
    <w:p>
      <w:pPr>
        <w:pStyle w:val="BodyText"/>
        <w:spacing w:line="525" w:lineRule="auto"/>
        <w:ind w:left="693" w:right="0" w:hanging="541"/>
        <w:jc w:val="left"/>
      </w:pPr>
      <w:r>
        <w:rPr/>
        <w:t>报告期内利润分配政策特别是现金分红政策的制定、执行或调整情况 </w:t>
      </w:r>
      <w:r>
        <w:rPr>
          <w:spacing w:val="-4"/>
        </w:rPr>
        <w:t>报告期内，经第七届董事会第二次会议、</w:t>
      </w:r>
      <w:r>
        <w:rPr>
          <w:rFonts w:ascii="宋体" w:hAnsi="宋体" w:cs="宋体" w:eastAsia="宋体" w:hint="default"/>
          <w:spacing w:val="-4"/>
        </w:rPr>
        <w:t>2012</w:t>
      </w:r>
      <w:r>
        <w:rPr>
          <w:spacing w:val="-4"/>
        </w:rPr>
        <w:t>年度第二次临时股东大会审议，公司先后对《公司章程》中与利润分配、</w:t>
      </w:r>
    </w:p>
    <w:p>
      <w:pPr>
        <w:pStyle w:val="BodyText"/>
        <w:spacing w:line="489" w:lineRule="auto" w:before="31"/>
        <w:ind w:left="513" w:right="1127" w:hanging="361"/>
        <w:jc w:val="left"/>
        <w:rPr>
          <w:rFonts w:ascii="宋体" w:hAnsi="宋体" w:cs="宋体" w:eastAsia="宋体" w:hint="default"/>
        </w:rPr>
      </w:pPr>
      <w:r>
        <w:rPr/>
        <w:t>现金分红等有关的条款进行了修订，并批准了公司《公司未来三年（</w:t>
      </w:r>
      <w:r>
        <w:rPr>
          <w:rFonts w:ascii="宋体" w:hAnsi="宋体" w:cs="宋体" w:eastAsia="宋体" w:hint="default"/>
        </w:rPr>
        <w:t>2012-2014</w:t>
      </w:r>
      <w:r>
        <w:rPr/>
        <w:t>年）股东回报规划》。 </w:t>
      </w:r>
      <w:r>
        <w:rPr>
          <w:spacing w:val="-6"/>
        </w:rPr>
        <w:t>由于截至</w:t>
      </w:r>
      <w:r>
        <w:rPr>
          <w:rFonts w:ascii="宋体" w:hAnsi="宋体" w:cs="宋体" w:eastAsia="宋体" w:hint="default"/>
          <w:spacing w:val="-6"/>
        </w:rPr>
        <w:t>2012</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日，公司尚存在较大的未分配利润为负的情况，未达到《公司章程》和《公司未来三年（</w:t>
      </w:r>
      <w:r>
        <w:rPr>
          <w:rFonts w:ascii="宋体" w:hAnsi="宋体" w:cs="宋体" w:eastAsia="宋体" w:hint="default"/>
          <w:spacing w:val="-6"/>
        </w:rPr>
        <w:t>2012-2014</w:t>
      </w:r>
    </w:p>
    <w:p>
      <w:pPr>
        <w:pStyle w:val="BodyText"/>
        <w:spacing w:line="489" w:lineRule="auto" w:before="57"/>
        <w:ind w:left="513" w:right="2114" w:hanging="361"/>
        <w:jc w:val="left"/>
      </w:pPr>
      <w:r>
        <w:rPr/>
        <w:t>年）股东回报规划》规定的分红条件，因此，</w:t>
      </w:r>
      <w:r>
        <w:rPr>
          <w:rFonts w:ascii="宋体" w:hAnsi="宋体" w:cs="宋体" w:eastAsia="宋体" w:hint="default"/>
        </w:rPr>
        <w:t>2012</w:t>
      </w:r>
      <w:r>
        <w:rPr/>
        <w:t>年度公司不进行利润分配，也不进行资本公积金转增股本。 公司本报告期利润分配预案及资本公积金转增股本预案符合《公司章程》等的相关规定。</w:t>
      </w:r>
    </w:p>
    <w:p>
      <w:pPr>
        <w:spacing w:line="240" w:lineRule="auto" w:before="10"/>
        <w:rPr>
          <w:rFonts w:ascii="宋体" w:hAnsi="宋体" w:cs="宋体" w:eastAsia="宋体" w:hint="default"/>
          <w:sz w:val="21"/>
          <w:szCs w:val="21"/>
        </w:rPr>
      </w:pPr>
    </w:p>
    <w:p>
      <w:pPr>
        <w:pStyle w:val="BodyText"/>
        <w:spacing w:line="357" w:lineRule="auto"/>
        <w:ind w:left="513" w:right="3914" w:hanging="361"/>
        <w:jc w:val="left"/>
      </w:pPr>
      <w:r>
        <w:rPr/>
        <w:t>公司近</w:t>
      </w:r>
      <w:r>
        <w:rPr>
          <w:spacing w:val="-44"/>
        </w:rPr>
        <w:t> </w:t>
      </w:r>
      <w:r>
        <w:rPr>
          <w:rFonts w:ascii="宋体" w:hAnsi="宋体" w:cs="宋体" w:eastAsia="宋体" w:hint="default"/>
        </w:rPr>
        <w:t>3</w:t>
      </w:r>
      <w:r>
        <w:rPr>
          <w:rFonts w:ascii="宋体" w:hAnsi="宋体" w:cs="宋体" w:eastAsia="宋体" w:hint="default"/>
          <w:spacing w:val="-46"/>
        </w:rPr>
        <w:t> </w:t>
      </w:r>
      <w:r>
        <w:rPr/>
        <w:t>年（含报告期）的利润分配预案或方案及资本公积金转增股本预案或方案情况 由于公司存在较大额度以前年度未弥补的亏损，公司近三年未进行现金分红。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right="0"/>
        <w:jc w:val="left"/>
      </w:pPr>
      <w:r>
        <w:rPr/>
        <w:t>公司近三年现金分红情况表</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4" w:right="65" w:firstLine="4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4,014,789.53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16,602,198.93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498,142,241.73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bl>
    <w:p>
      <w:pPr>
        <w:pStyle w:val="BodyText"/>
        <w:spacing w:line="240" w:lineRule="auto" w:before="49"/>
        <w:ind w:right="0"/>
        <w:jc w:val="left"/>
      </w:pPr>
      <w:r>
        <w:rPr/>
        <w:t>公司报告期内盈利且母公司未分配利润为正但未提出现金红利分配预案</w:t>
      </w:r>
    </w:p>
    <w:p>
      <w:pPr>
        <w:pStyle w:val="BodyText"/>
        <w:spacing w:line="240" w:lineRule="auto" w:before="115"/>
        <w:ind w:right="0"/>
        <w:jc w:val="left"/>
      </w:pPr>
      <w:r>
        <w:rPr/>
        <w:t>□ 适用 √ 不适用</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十四、社会责任情况</w:t>
      </w:r>
      <w:r>
        <w:rPr>
          <w:b w:val="0"/>
          <w:bCs w:val="0"/>
        </w:rPr>
      </w:r>
    </w:p>
    <w:p>
      <w:pPr>
        <w:spacing w:line="240" w:lineRule="auto" w:before="17"/>
        <w:rPr>
          <w:rFonts w:ascii="微软雅黑" w:hAnsi="微软雅黑" w:cs="微软雅黑" w:eastAsia="微软雅黑" w:hint="default"/>
          <w:b/>
          <w:bCs/>
          <w:sz w:val="27"/>
          <w:szCs w:val="27"/>
        </w:rPr>
      </w:pPr>
    </w:p>
    <w:p>
      <w:pPr>
        <w:pStyle w:val="BodyText"/>
        <w:spacing w:line="489" w:lineRule="auto"/>
        <w:ind w:right="1034" w:firstLine="360"/>
        <w:jc w:val="left"/>
      </w:pPr>
      <w:r>
        <w:rPr>
          <w:spacing w:val="-2"/>
        </w:rPr>
        <w:t>公司按照相关法律法规和《公司章程》的要求，结合公司实际，建立了规范的法人治理结构，股东大会、董事会、监事</w:t>
      </w:r>
      <w:r>
        <w:rPr/>
        <w:t> 会和总经理负责的经理层责权分明，决策权、执行权、监督权分立，股东大会、董事会、监事会并存的法人制衡管理机制。 严格规定了股东大会、董事会、监事会、总经理的权利、义务及职责范围。</w:t>
      </w:r>
    </w:p>
    <w:p>
      <w:pPr>
        <w:pStyle w:val="BodyText"/>
        <w:spacing w:line="240" w:lineRule="auto" w:before="57"/>
        <w:ind w:left="513" w:right="0"/>
        <w:jc w:val="left"/>
      </w:pPr>
      <w:r>
        <w:rPr/>
        <w:t>公司重视履行社会责任，在生产经营和业务发展的过程中，在为股东创造价值的同时，顺应国家和社会的全面发展，努</w:t>
      </w:r>
    </w:p>
    <w:p>
      <w:pPr>
        <w:spacing w:after="0" w:line="240" w:lineRule="auto"/>
        <w:jc w:val="left"/>
        <w:sectPr>
          <w:pgSz w:w="11910" w:h="16840"/>
          <w:pgMar w:header="745" w:footer="1315" w:top="1060" w:bottom="154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489" w:lineRule="auto" w:before="44"/>
        <w:ind w:right="0"/>
        <w:jc w:val="left"/>
      </w:pPr>
      <w:r>
        <w:rPr>
          <w:spacing w:val="-2"/>
        </w:rPr>
        <w:t>力做到经济效益与社会效益、短期利益与长期利益、自身发展与社会发展相互协调，实现公司与员工、公司与社会、公司与</w:t>
      </w:r>
      <w:r>
        <w:rPr>
          <w:spacing w:val="-67"/>
        </w:rPr>
        <w:t> </w:t>
      </w:r>
      <w:r>
        <w:rPr>
          <w:spacing w:val="-67"/>
        </w:rPr>
      </w:r>
      <w:r>
        <w:rPr/>
        <w:t>环境的健康和谐发展。</w:t>
      </w:r>
    </w:p>
    <w:p>
      <w:pPr>
        <w:pStyle w:val="BodyText"/>
        <w:spacing w:line="489" w:lineRule="auto" w:before="57"/>
        <w:ind w:right="1034" w:firstLine="406"/>
        <w:jc w:val="left"/>
      </w:pPr>
      <w:r>
        <w:rPr/>
        <w:t>环境友好建设方面，公司建立并执行</w:t>
      </w:r>
      <w:r>
        <w:rPr>
          <w:rFonts w:ascii="宋体" w:hAnsi="宋体" w:cs="宋体" w:eastAsia="宋体" w:hint="default"/>
        </w:rPr>
        <w:t>ISO14000</w:t>
      </w:r>
      <w:r>
        <w:rPr/>
        <w:t>环境管理体系，报告期内，公司通过各种措施来降低能耗，节约资源， 减少生产活动各个环节对环境可能造成的污染，加强所管理的物业小区的环境美化建设，以实现环境友好型的可持续发展。 下属的科技公司通过技术革新，采用风调降温系统、更换节能灯具等措施节能减排，报告期比上年度节约用电达</w:t>
      </w:r>
      <w:r>
        <w:rPr>
          <w:rFonts w:ascii="宋体" w:hAnsi="宋体" w:cs="宋体" w:eastAsia="宋体" w:hint="default"/>
        </w:rPr>
        <w:t>1</w:t>
      </w:r>
      <w:r>
        <w:rPr/>
        <w:t>万度。惠</w:t>
      </w:r>
      <w:r>
        <w:rPr>
          <w:spacing w:val="-83"/>
        </w:rPr>
        <w:t> </w:t>
      </w:r>
      <w:r>
        <w:rPr>
          <w:spacing w:val="-2"/>
        </w:rPr>
        <w:t>州饲料公司在新厂追加投资</w:t>
      </w:r>
      <w:r>
        <w:rPr>
          <w:rFonts w:ascii="宋体" w:hAnsi="宋体" w:cs="宋体" w:eastAsia="宋体" w:hint="default"/>
          <w:spacing w:val="-2"/>
        </w:rPr>
        <w:t>20</w:t>
      </w:r>
      <w:r>
        <w:rPr>
          <w:spacing w:val="-2"/>
        </w:rPr>
        <w:t>余万元大大降低了粉尘及气味的污染。物业公司的小区清洁人员每天对地面进行保洁，及时清</w:t>
      </w:r>
      <w:r>
        <w:rPr>
          <w:spacing w:val="-64"/>
        </w:rPr>
        <w:t> </w:t>
      </w:r>
      <w:r>
        <w:rPr>
          <w:spacing w:val="-64"/>
        </w:rPr>
      </w:r>
      <w:r>
        <w:rPr>
          <w:spacing w:val="-4"/>
        </w:rPr>
        <w:t>扫地面纸屑、果皮、烟头、积水等，使所管理的小区保持干净、无杂物、无积水；每两日对车场内挡车器、送风口、垃圾桶、</w:t>
      </w:r>
      <w:r>
        <w:rPr>
          <w:spacing w:val="-48"/>
        </w:rPr>
        <w:t> </w:t>
      </w:r>
      <w:r>
        <w:rPr>
          <w:spacing w:val="-48"/>
        </w:rPr>
      </w:r>
      <w:r>
        <w:rPr/>
        <w:t>防火门、汽车道闸等设施清洁一次；小区绿化人员每周修剪一次绿化植被，草皮施肥以氮肥、花生麸等有机肥。</w:t>
      </w:r>
    </w:p>
    <w:p>
      <w:pPr>
        <w:pStyle w:val="BodyText"/>
        <w:spacing w:line="489" w:lineRule="auto" w:before="58"/>
        <w:ind w:right="0" w:firstLine="360"/>
        <w:jc w:val="left"/>
      </w:pPr>
      <w:r>
        <w:rPr>
          <w:spacing w:val="-2"/>
        </w:rPr>
        <w:t>安全生产方面，公司十分注重安全生产工作，为保障安全生产及员工健康制定了详细的管理制度，配备有各层级的安全</w:t>
      </w:r>
      <w:r>
        <w:rPr/>
        <w:t> </w:t>
      </w:r>
      <w:r>
        <w:rPr>
          <w:spacing w:val="-4"/>
        </w:rPr>
        <w:t>人员，实施安全巡检和安全隐患实时处臵机制。报告期内公司还组织员工进行消防演习，锻炼员工在紧急情况下的逃生能力。</w:t>
      </w:r>
    </w:p>
    <w:p>
      <w:pPr>
        <w:pStyle w:val="Heading2"/>
        <w:spacing w:line="240" w:lineRule="auto" w:before="74"/>
        <w:ind w:right="0"/>
        <w:jc w:val="left"/>
        <w:rPr>
          <w:b w:val="0"/>
          <w:bCs w:val="0"/>
        </w:rPr>
      </w:pPr>
      <w:r>
        <w:rPr/>
        <w:t>十五、报告期内接待调研、沟通、采访等活动登记表</w:t>
      </w:r>
      <w:r>
        <w:rPr>
          <w:b w:val="0"/>
          <w:bCs w:val="0"/>
        </w:rPr>
      </w:r>
    </w:p>
    <w:p>
      <w:pPr>
        <w:spacing w:line="240" w:lineRule="auto" w:before="16"/>
        <w:rPr>
          <w:rFonts w:ascii="微软雅黑" w:hAnsi="微软雅黑" w:cs="微软雅黑" w:eastAsia="微软雅黑"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13</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一季度的亏损原因</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27</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中国农业银行股份 有限公司深圳分行</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公司的经营情况及今后的 发展思路</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公司的经营情况及今后的 发展策略</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下属饲料公司的生产经营 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半年度的亏损原因及今后 的发展思路</w:t>
            </w:r>
          </w:p>
        </w:tc>
      </w:tr>
    </w:tbl>
    <w:p>
      <w:pPr>
        <w:spacing w:after="0" w:line="316" w:lineRule="auto"/>
        <w:jc w:val="left"/>
        <w:rPr>
          <w:rFonts w:ascii="宋体" w:hAnsi="宋体" w:cs="宋体" w:eastAsia="宋体" w:hint="default"/>
          <w:sz w:val="18"/>
          <w:szCs w:val="18"/>
        </w:rPr>
        <w:sectPr>
          <w:pgSz w:w="11910" w:h="16840"/>
          <w:pgMar w:header="745" w:footer="1315" w:top="1060" w:bottom="1540" w:left="980" w:right="0"/>
        </w:sectPr>
      </w:pPr>
    </w:p>
    <w:p>
      <w:pPr>
        <w:spacing w:line="240" w:lineRule="auto" w:before="0"/>
        <w:rPr>
          <w:rFonts w:ascii="微软雅黑" w:hAnsi="微软雅黑" w:cs="微软雅黑" w:eastAsia="微软雅黑" w:hint="default"/>
          <w:b/>
          <w:bCs/>
          <w:sz w:val="20"/>
          <w:szCs w:val="20"/>
        </w:rPr>
      </w:pPr>
    </w:p>
    <w:p>
      <w:pPr>
        <w:spacing w:line="240" w:lineRule="auto" w:before="9"/>
        <w:rPr>
          <w:rFonts w:ascii="微软雅黑" w:hAnsi="微软雅黑" w:cs="微软雅黑" w:eastAsia="微软雅黑" w:hint="default"/>
          <w:b/>
          <w:bCs/>
          <w:sz w:val="25"/>
          <w:szCs w:val="25"/>
        </w:rPr>
      </w:pPr>
    </w:p>
    <w:p>
      <w:pPr>
        <w:spacing w:line="458" w:lineRule="exact" w:before="0"/>
        <w:ind w:left="0" w:right="976"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第五节</w:t>
      </w:r>
      <w:r>
        <w:rPr>
          <w:rFonts w:ascii="微软雅黑" w:hAnsi="微软雅黑" w:cs="微软雅黑" w:eastAsia="微软雅黑" w:hint="default"/>
          <w:b/>
          <w:bCs/>
          <w:spacing w:val="73"/>
          <w:sz w:val="32"/>
          <w:szCs w:val="32"/>
        </w:rPr>
        <w:t> </w:t>
      </w:r>
      <w:r>
        <w:rPr>
          <w:rFonts w:ascii="微软雅黑" w:hAnsi="微软雅黑" w:cs="微软雅黑" w:eastAsia="微软雅黑" w:hint="default"/>
          <w:b/>
          <w:bCs/>
          <w:sz w:val="32"/>
          <w:szCs w:val="32"/>
        </w:rPr>
        <w:t>重要事项</w:t>
      </w:r>
      <w:r>
        <w:rPr>
          <w:rFonts w:ascii="微软雅黑" w:hAnsi="微软雅黑" w:cs="微软雅黑" w:eastAsia="微软雅黑" w:hint="default"/>
          <w:sz w:val="32"/>
          <w:szCs w:val="32"/>
        </w:rPr>
      </w:r>
    </w:p>
    <w:p>
      <w:pPr>
        <w:spacing w:line="240" w:lineRule="auto" w:before="16"/>
        <w:rPr>
          <w:rFonts w:ascii="微软雅黑" w:hAnsi="微软雅黑" w:cs="微软雅黑" w:eastAsia="微软雅黑" w:hint="default"/>
          <w:b/>
          <w:bCs/>
          <w:sz w:val="25"/>
          <w:szCs w:val="25"/>
        </w:rPr>
      </w:pPr>
    </w:p>
    <w:p>
      <w:pPr>
        <w:spacing w:line="369" w:lineRule="exact"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一、重大诉讼仲裁事项</w:t>
      </w:r>
      <w:r>
        <w:rPr>
          <w:rFonts w:ascii="微软雅黑" w:hAnsi="微软雅黑" w:cs="微软雅黑" w:eastAsia="微软雅黑" w:hint="default"/>
          <w:sz w:val="24"/>
          <w:szCs w:val="24"/>
        </w:rPr>
      </w:r>
    </w:p>
    <w:p>
      <w:pPr>
        <w:spacing w:line="240" w:lineRule="auto" w:before="4"/>
        <w:rPr>
          <w:rFonts w:ascii="微软雅黑" w:hAnsi="微软雅黑" w:cs="微软雅黑" w:eastAsia="微软雅黑" w:hint="default"/>
          <w:b/>
          <w:bCs/>
          <w:sz w:val="18"/>
          <w:szCs w:val="18"/>
        </w:rPr>
      </w:pPr>
    </w:p>
    <w:p>
      <w:pPr>
        <w:pStyle w:val="BodyText"/>
        <w:spacing w:line="240" w:lineRule="auto"/>
        <w:ind w:right="0"/>
        <w:jc w:val="left"/>
      </w:pPr>
      <w:r>
        <w:rPr/>
        <w:pict>
          <v:group style="position:absolute;margin-left:372.670013pt;margin-top:68.951729pt;width:54.5pt;height:227.35pt;mso-position-horizontal-relative:page;mso-position-vertical-relative:paragraph;z-index:-781672" coordorigin="7453,1379" coordsize="1090,4547">
            <v:shape style="position:absolute;left:7453;top:1379;width:1090;height:4547" coordorigin="7453,1379" coordsize="1090,4547" path="m7453,5926l8543,5926,8543,1379,7453,1379,7453,5926xe" filled="true" fillcolor="#ffffff" stroked="false">
              <v:path arrowok="t"/>
              <v:fill type="solid"/>
            </v:shape>
            <w10:wrap type="none"/>
          </v:group>
        </w:pict>
      </w:r>
      <w:r>
        <w:rPr/>
        <w:t>√ 适用 □ 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00"/>
        <w:gridCol w:w="1253"/>
        <w:gridCol w:w="1133"/>
        <w:gridCol w:w="883"/>
        <w:gridCol w:w="1244"/>
        <w:gridCol w:w="1102"/>
        <w:gridCol w:w="1081"/>
        <w:gridCol w:w="1078"/>
      </w:tblGrid>
      <w:tr>
        <w:trPr>
          <w:trHeight w:val="1020"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1" w:right="80" w:hanging="360"/>
              <w:jc w:val="left"/>
              <w:rPr>
                <w:rFonts w:ascii="宋体" w:hAnsi="宋体" w:cs="宋体" w:eastAsia="宋体" w:hint="default"/>
                <w:sz w:val="18"/>
                <w:szCs w:val="18"/>
              </w:rPr>
            </w:pPr>
            <w:r>
              <w:rPr>
                <w:rFonts w:ascii="宋体" w:hAnsi="宋体" w:cs="宋体" w:eastAsia="宋体" w:hint="default"/>
                <w:sz w:val="18"/>
                <w:szCs w:val="18"/>
              </w:rPr>
              <w:t>涉案金额（万 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9" w:right="12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进展</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 理结果及影响</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0"/>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 </w:t>
            </w:r>
            <w:r>
              <w:rPr>
                <w:rFonts w:ascii="宋体" w:hAnsi="宋体" w:cs="宋体" w:eastAsia="宋体" w:hint="default"/>
                <w:sz w:val="18"/>
                <w:szCs w:val="18"/>
              </w:rPr>
              <w:t>判决执行情 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9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4"/>
              <w:jc w:val="left"/>
              <w:rPr>
                <w:rFonts w:ascii="宋体" w:hAnsi="宋体" w:cs="宋体" w:eastAsia="宋体" w:hint="default"/>
                <w:sz w:val="18"/>
                <w:szCs w:val="18"/>
              </w:rPr>
            </w:pPr>
            <w:r>
              <w:rPr>
                <w:rFonts w:ascii="宋体" w:hAnsi="宋体" w:cs="宋体" w:eastAsia="宋体" w:hint="default"/>
                <w:sz w:val="18"/>
                <w:szCs w:val="18"/>
              </w:rPr>
              <w:t>原告：深发行；被告： 本公司及其他</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名法 人或自然人。</w:t>
            </w:r>
          </w:p>
          <w:p>
            <w:pPr>
              <w:pStyle w:val="TableParagraph"/>
              <w:spacing w:line="316" w:lineRule="auto" w:before="17"/>
              <w:ind w:left="24" w:right="17"/>
              <w:jc w:val="both"/>
              <w:rPr>
                <w:rFonts w:ascii="宋体" w:hAnsi="宋体" w:cs="宋体" w:eastAsia="宋体" w:hint="default"/>
                <w:sz w:val="18"/>
                <w:szCs w:val="18"/>
              </w:rPr>
            </w:pPr>
            <w:r>
              <w:rPr>
                <w:rFonts w:ascii="宋体" w:hAnsi="宋体" w:cs="宋体" w:eastAsia="宋体" w:hint="default"/>
                <w:sz w:val="18"/>
                <w:szCs w:val="18"/>
              </w:rPr>
              <w:t>案情：</w:t>
            </w:r>
            <w:r>
              <w:rPr>
                <w:rFonts w:ascii="宋体" w:hAnsi="宋体" w:cs="宋体" w:eastAsia="宋体" w:hint="default"/>
                <w:spacing w:val="-55"/>
                <w:sz w:val="18"/>
                <w:szCs w:val="18"/>
              </w:rPr>
              <w:t> </w:t>
            </w:r>
            <w:r>
              <w:rPr>
                <w:rFonts w:ascii="宋体" w:hAnsi="宋体" w:cs="宋体" w:eastAsia="宋体" w:hint="default"/>
                <w:sz w:val="18"/>
                <w:szCs w:val="18"/>
              </w:rPr>
              <w:t>1993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pacing w:val="-6"/>
                <w:sz w:val="18"/>
                <w:szCs w:val="18"/>
              </w:rPr>
              <w:t>日，本公司前身深圳市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华宝牧工商联合公司</w:t>
            </w:r>
          </w:p>
          <w:p>
            <w:pPr>
              <w:pStyle w:val="TableParagraph"/>
              <w:spacing w:line="316"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（以下简称‚华宝公 </w:t>
            </w:r>
            <w:r>
              <w:rPr>
                <w:rFonts w:ascii="宋体" w:hAnsi="宋体" w:cs="宋体" w:eastAsia="宋体" w:hint="default"/>
                <w:spacing w:val="-9"/>
                <w:sz w:val="18"/>
                <w:szCs w:val="18"/>
              </w:rPr>
              <w:t>司‛）与深圳市宝安区</w:t>
            </w:r>
            <w:r>
              <w:rPr>
                <w:rFonts w:ascii="宋体" w:hAnsi="宋体" w:cs="宋体" w:eastAsia="宋体" w:hint="default"/>
                <w:sz w:val="18"/>
                <w:szCs w:val="18"/>
              </w:rPr>
              <w:t> </w:t>
            </w:r>
            <w:r>
              <w:rPr>
                <w:rFonts w:ascii="宋体" w:hAnsi="宋体" w:cs="宋体" w:eastAsia="宋体" w:hint="default"/>
                <w:spacing w:val="-6"/>
                <w:sz w:val="18"/>
                <w:szCs w:val="18"/>
              </w:rPr>
              <w:t>投资管理公司、深圳市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宝安经济发展有限公 </w:t>
            </w:r>
            <w:r>
              <w:rPr>
                <w:rFonts w:ascii="宋体" w:hAnsi="宋体" w:cs="宋体" w:eastAsia="宋体" w:hint="default"/>
                <w:spacing w:val="-6"/>
                <w:sz w:val="18"/>
                <w:szCs w:val="18"/>
              </w:rPr>
              <w:t>司等七家公司签订《深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圳宝安宝威股份有限 </w:t>
            </w:r>
            <w:r>
              <w:rPr>
                <w:rFonts w:ascii="宋体" w:hAnsi="宋体" w:cs="宋体" w:eastAsia="宋体" w:hint="default"/>
                <w:spacing w:val="-9"/>
                <w:sz w:val="18"/>
                <w:szCs w:val="18"/>
              </w:rPr>
              <w:t>公司合同书》，约定由</w:t>
            </w:r>
            <w:r>
              <w:rPr>
                <w:rFonts w:ascii="宋体" w:hAnsi="宋体" w:cs="宋体" w:eastAsia="宋体" w:hint="default"/>
                <w:sz w:val="18"/>
                <w:szCs w:val="18"/>
              </w:rPr>
              <w:t> 该七家公司为发起人 投资设立深圳市宝安 </w:t>
            </w:r>
            <w:r>
              <w:rPr>
                <w:rFonts w:ascii="宋体" w:hAnsi="宋体" w:cs="宋体" w:eastAsia="宋体" w:hint="default"/>
                <w:spacing w:val="-6"/>
                <w:sz w:val="18"/>
                <w:szCs w:val="18"/>
              </w:rPr>
              <w:t>宝威股份有限公司，注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册资本</w:t>
            </w:r>
            <w:r>
              <w:rPr>
                <w:rFonts w:ascii="宋体" w:hAnsi="宋体" w:cs="宋体" w:eastAsia="宋体" w:hint="default"/>
                <w:spacing w:val="-45"/>
                <w:sz w:val="18"/>
                <w:szCs w:val="18"/>
              </w:rPr>
              <w:t> </w:t>
            </w:r>
            <w:r>
              <w:rPr>
                <w:rFonts w:ascii="宋体" w:hAnsi="宋体" w:cs="宋体" w:eastAsia="宋体" w:hint="default"/>
                <w:sz w:val="18"/>
                <w:szCs w:val="18"/>
              </w:rPr>
              <w:t>10,000</w:t>
            </w:r>
            <w:r>
              <w:rPr>
                <w:rFonts w:ascii="宋体" w:hAnsi="宋体" w:cs="宋体" w:eastAsia="宋体" w:hint="default"/>
                <w:spacing w:val="-47"/>
                <w:sz w:val="18"/>
                <w:szCs w:val="18"/>
              </w:rPr>
              <w:t> </w:t>
            </w:r>
            <w:r>
              <w:rPr>
                <w:rFonts w:ascii="宋体" w:hAnsi="宋体" w:cs="宋体" w:eastAsia="宋体" w:hint="default"/>
                <w:sz w:val="18"/>
                <w:szCs w:val="18"/>
              </w:rPr>
              <w:t>万元，</w:t>
            </w:r>
          </w:p>
          <w:p>
            <w:pPr>
              <w:pStyle w:val="TableParagraph"/>
              <w:spacing w:line="316" w:lineRule="auto" w:before="19"/>
              <w:ind w:left="24" w:right="-34"/>
              <w:jc w:val="left"/>
              <w:rPr>
                <w:rFonts w:ascii="宋体" w:hAnsi="宋体" w:cs="宋体" w:eastAsia="宋体" w:hint="default"/>
                <w:sz w:val="18"/>
                <w:szCs w:val="18"/>
              </w:rPr>
            </w:pPr>
            <w:r>
              <w:rPr>
                <w:rFonts w:ascii="宋体" w:hAnsi="宋体" w:cs="宋体" w:eastAsia="宋体" w:hint="default"/>
                <w:sz w:val="18"/>
                <w:szCs w:val="18"/>
              </w:rPr>
              <w:t>华宝公司出资</w:t>
            </w:r>
            <w:r>
              <w:rPr>
                <w:rFonts w:ascii="宋体" w:hAnsi="宋体" w:cs="宋体" w:eastAsia="宋体" w:hint="default"/>
                <w:spacing w:val="-45"/>
                <w:sz w:val="18"/>
                <w:szCs w:val="18"/>
              </w:rPr>
              <w:t> </w:t>
            </w:r>
            <w:r>
              <w:rPr>
                <w:rFonts w:ascii="宋体" w:hAnsi="宋体" w:cs="宋体" w:eastAsia="宋体" w:hint="default"/>
                <w:sz w:val="18"/>
                <w:szCs w:val="18"/>
              </w:rPr>
              <w:t>900</w:t>
            </w:r>
            <w:r>
              <w:rPr>
                <w:rFonts w:ascii="宋体" w:hAnsi="宋体" w:cs="宋体" w:eastAsia="宋体" w:hint="default"/>
                <w:spacing w:val="-47"/>
                <w:sz w:val="18"/>
                <w:szCs w:val="18"/>
              </w:rPr>
              <w:t> </w:t>
            </w:r>
            <w:r>
              <w:rPr>
                <w:rFonts w:ascii="宋体" w:hAnsi="宋体" w:cs="宋体" w:eastAsia="宋体" w:hint="default"/>
                <w:sz w:val="18"/>
                <w:szCs w:val="18"/>
              </w:rPr>
              <w:t>万， 占总股本的</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1998 </w:t>
            </w:r>
            <w:r>
              <w:rPr>
                <w:rFonts w:ascii="宋体" w:hAnsi="宋体" w:cs="宋体" w:eastAsia="宋体" w:hint="default"/>
                <w:spacing w:val="-6"/>
                <w:sz w:val="18"/>
                <w:szCs w:val="18"/>
              </w:rPr>
              <w:t>年，华宝公司申明‚我</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公司因客观原因没有</w:t>
            </w:r>
            <w:r>
              <w:rPr>
                <w:rFonts w:ascii="宋体" w:hAnsi="宋体" w:cs="宋体" w:eastAsia="宋体" w:hint="default"/>
                <w:sz w:val="18"/>
                <w:szCs w:val="18"/>
              </w:rPr>
              <w:t> </w:t>
            </w:r>
            <w:r>
              <w:rPr>
                <w:rFonts w:ascii="宋体" w:hAnsi="宋体" w:cs="宋体" w:eastAsia="宋体" w:hint="default"/>
                <w:spacing w:val="-6"/>
                <w:sz w:val="18"/>
                <w:szCs w:val="18"/>
              </w:rPr>
              <w:t>出资，而且今后也不会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出资。事实上没有尽义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务和享受权利，不承担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该公司任何债权债 </w:t>
            </w:r>
            <w:r>
              <w:rPr>
                <w:rFonts w:ascii="宋体" w:hAnsi="宋体" w:cs="宋体" w:eastAsia="宋体" w:hint="default"/>
                <w:spacing w:val="-9"/>
                <w:sz w:val="18"/>
                <w:szCs w:val="18"/>
              </w:rPr>
              <w:t>务。‛具体情况见公司</w:t>
            </w:r>
            <w:r>
              <w:rPr>
                <w:rFonts w:ascii="宋体" w:hAnsi="宋体" w:cs="宋体" w:eastAsia="宋体" w:hint="default"/>
                <w:sz w:val="18"/>
                <w:szCs w:val="18"/>
              </w:rPr>
              <w:t> 公告。</w:t>
            </w:r>
          </w:p>
          <w:p>
            <w:pPr>
              <w:pStyle w:val="TableParagraph"/>
              <w:spacing w:line="316" w:lineRule="auto" w:before="59"/>
              <w:ind w:left="24" w:right="144" w:firstLine="180"/>
              <w:jc w:val="both"/>
              <w:rPr>
                <w:rFonts w:ascii="宋体" w:hAnsi="宋体" w:cs="宋体" w:eastAsia="宋体" w:hint="default"/>
                <w:sz w:val="18"/>
                <w:szCs w:val="18"/>
              </w:rPr>
            </w:pPr>
            <w:r>
              <w:rPr>
                <w:rFonts w:ascii="宋体" w:hAnsi="宋体" w:cs="宋体" w:eastAsia="宋体" w:hint="default"/>
                <w:sz w:val="18"/>
                <w:szCs w:val="18"/>
              </w:rPr>
              <w:t>其他未构成重大诉 讼的诉讼情况见本节 第十四部分内容。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4546" w:lineRule="exact"/>
              <w:ind w:left="2" w:right="-51"/>
              <w:jc w:val="left"/>
              <w:rPr>
                <w:rFonts w:ascii="宋体" w:hAnsi="宋体" w:cs="宋体" w:eastAsia="宋体" w:hint="default"/>
                <w:sz w:val="20"/>
                <w:szCs w:val="20"/>
              </w:rPr>
            </w:pPr>
            <w:r>
              <w:rPr>
                <w:rFonts w:ascii="宋体" w:hAnsi="宋体" w:cs="宋体" w:eastAsia="宋体" w:hint="default"/>
                <w:position w:val="-90"/>
                <w:sz w:val="20"/>
                <w:szCs w:val="20"/>
              </w:rPr>
              <w:pict>
                <v:group style="width:62.1pt;height:227.35pt;mso-position-horizontal-relative:char;mso-position-vertical-relative:line" coordorigin="0,0" coordsize="1242,4547">
                  <v:group style="position:absolute;left:0;top:0;width:1242;height:4547" coordorigin="0,0" coordsize="1242,4547">
                    <v:shape style="position:absolute;left:0;top:0;width:1242;height:4547" coordorigin="0,0" coordsize="1242,4547" path="m0,4547l1241,4547,1241,0,0,0,0,4547xe" filled="true" fillcolor="#ffffff" stroked="false">
                      <v:path arrowok="t"/>
                      <v:fill type="solid"/>
                    </v:shape>
                  </v:group>
                </v:group>
              </w:pict>
            </w:r>
            <w:r>
              <w:rPr>
                <w:rFonts w:ascii="宋体" w:hAnsi="宋体" w:cs="宋体" w:eastAsia="宋体" w:hint="default"/>
                <w:position w:val="-90"/>
                <w:sz w:val="20"/>
                <w:szCs w:val="20"/>
              </w:rPr>
            </w:r>
          </w:p>
          <w:p>
            <w:pPr>
              <w:pStyle w:val="TableParagraph"/>
              <w:spacing w:line="240" w:lineRule="auto" w:before="54"/>
              <w:ind w:right="19"/>
              <w:jc w:val="right"/>
              <w:rPr>
                <w:rFonts w:ascii="宋体" w:hAnsi="宋体" w:cs="宋体" w:eastAsia="宋体" w:hint="default"/>
                <w:sz w:val="18"/>
                <w:szCs w:val="18"/>
              </w:rPr>
            </w:pPr>
            <w:r>
              <w:rPr>
                <w:rFonts w:ascii="宋体"/>
                <w:sz w:val="18"/>
              </w:rPr>
              <w:t>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7"/>
              <w:jc w:val="both"/>
              <w:rPr>
                <w:rFonts w:ascii="宋体" w:hAnsi="宋体" w:cs="宋体" w:eastAsia="宋体" w:hint="default"/>
                <w:sz w:val="18"/>
                <w:szCs w:val="18"/>
              </w:rPr>
            </w:pPr>
            <w:r>
              <w:rPr>
                <w:rFonts w:ascii="宋体" w:hAnsi="宋体" w:cs="宋体" w:eastAsia="宋体" w:hint="default"/>
                <w:sz w:val="18"/>
                <w:szCs w:val="18"/>
              </w:rPr>
              <w:t>深圳中院 已受理公 司及其他 两名被告 提起的管 辖权异议 上诉。</w:t>
            </w:r>
          </w:p>
        </w:tc>
        <w:tc>
          <w:tcPr>
            <w:tcW w:w="124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20"/>
              <w:jc w:val="left"/>
              <w:rPr>
                <w:rFonts w:ascii="宋体" w:hAnsi="宋体" w:cs="宋体" w:eastAsia="宋体" w:hint="default"/>
                <w:sz w:val="18"/>
                <w:szCs w:val="18"/>
              </w:rPr>
            </w:pPr>
            <w:r>
              <w:rPr>
                <w:rFonts w:ascii="宋体" w:hAnsi="宋体" w:cs="宋体" w:eastAsia="宋体" w:hint="default"/>
                <w:sz w:val="18"/>
                <w:szCs w:val="18"/>
              </w:rPr>
              <w:t>尚未开庭审理 审判结果未知</w:t>
            </w:r>
          </w:p>
        </w:tc>
        <w:tc>
          <w:tcPr>
            <w:tcW w:w="110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6"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19"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5"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3" w:right="50"/>
              <w:jc w:val="both"/>
              <w:rPr>
                <w:rFonts w:ascii="宋体" w:hAnsi="宋体" w:cs="宋体" w:eastAsia="宋体" w:hint="default"/>
                <w:sz w:val="18"/>
                <w:szCs w:val="18"/>
              </w:rPr>
            </w:pPr>
            <w:r>
              <w:rPr>
                <w:rFonts w:ascii="宋体" w:hAnsi="宋体" w:cs="宋体" w:eastAsia="宋体" w:hint="default"/>
                <w:sz w:val="18"/>
                <w:szCs w:val="18"/>
              </w:rPr>
              <w:t>（</w:t>
            </w:r>
            <w:hyperlink r:id="rId15">
              <w:r>
                <w:rPr>
                  <w:rFonts w:ascii="宋体" w:hAnsi="宋体" w:cs="宋体" w:eastAsia="宋体" w:hint="default"/>
                  <w:sz w:val="18"/>
                  <w:szCs w:val="18"/>
                </w:rPr>
                <w:t>http://ww</w:t>
              </w:r>
            </w:hyperlink>
            <w:r>
              <w:rPr>
                <w:rFonts w:ascii="宋体" w:hAnsi="宋体" w:cs="宋体" w:eastAsia="宋体" w:hint="default"/>
                <w:sz w:val="18"/>
                <w:szCs w:val="18"/>
              </w:rPr>
              <w:t> w.cninfo.co m.cn/</w:t>
            </w:r>
            <w:r>
              <w:rPr>
                <w:rFonts w:ascii="宋体" w:hAnsi="宋体" w:cs="宋体" w:eastAsia="宋体" w:hint="default"/>
                <w:sz w:val="18"/>
                <w:szCs w:val="18"/>
              </w:rPr>
              <w:t>）</w:t>
            </w:r>
          </w:p>
        </w:tc>
      </w:tr>
    </w:tbl>
    <w:p>
      <w:pPr>
        <w:pStyle w:val="BodyText"/>
        <w:spacing w:line="240" w:lineRule="auto" w:before="49"/>
        <w:ind w:right="0"/>
        <w:jc w:val="left"/>
      </w:pPr>
      <w:r>
        <w:rPr/>
        <w:pict>
          <v:group style="position:absolute;margin-left:147.020004pt;margin-top:-227.778275pt;width:62.1pt;height:227.2pt;mso-position-horizontal-relative:page;mso-position-vertical-relative:paragraph;z-index:-781696" coordorigin="2940,-4556" coordsize="1242,4544">
            <v:shape style="position:absolute;left:2940;top:-4556;width:1242;height:4544" coordorigin="2940,-4556" coordsize="1242,4544" path="m2940,-12l4182,-12,4182,-4556,2940,-4556,2940,-12xe" filled="true" fillcolor="#ffffff" stroked="false">
              <v:path arrowok="t"/>
              <v:fill type="solid"/>
            </v:shape>
            <w10:wrap type="none"/>
          </v:group>
        </w:pict>
      </w:r>
      <w:r>
        <w:rPr/>
        <w:pict>
          <v:group style="position:absolute;margin-left:372.670013pt;margin-top:-227.778275pt;width:54.5pt;height:227.2pt;mso-position-horizontal-relative:page;mso-position-vertical-relative:paragraph;z-index:-781648" coordorigin="7453,-4556" coordsize="1090,4544">
            <v:shape style="position:absolute;left:7453;top:-4556;width:1090;height:4544" coordorigin="7453,-4556" coordsize="1090,4544" path="m7453,-12l8543,-12,8543,-4556,7453,-4556,7453,-12xe" filled="true" fillcolor="#ffffff" stroked="false">
              <v:path arrowok="t"/>
              <v:fill type="solid"/>
            </v:shape>
            <w10:wrap type="none"/>
          </v:group>
        </w:pict>
      </w:r>
      <w:r>
        <w:rPr/>
        <w:t>媒体质疑情况</w:t>
      </w:r>
    </w:p>
    <w:p>
      <w:pPr>
        <w:pStyle w:val="BodyText"/>
        <w:spacing w:line="352" w:lineRule="exact" w:before="43"/>
        <w:ind w:right="8414"/>
        <w:jc w:val="left"/>
      </w:pPr>
      <w:r>
        <w:rPr/>
        <w:t>□ 适用 √ 不适用 本年度公司无媒体质疑事项。</w:t>
      </w:r>
    </w:p>
    <w:p>
      <w:pPr>
        <w:spacing w:after="0" w:line="352" w:lineRule="exact"/>
        <w:jc w:val="left"/>
        <w:sectPr>
          <w:pgSz w:w="11910" w:h="16840"/>
          <w:pgMar w:header="745" w:footer="1315" w:top="1060" w:bottom="1500" w:left="980" w:right="0"/>
        </w:sectPr>
      </w:pPr>
    </w:p>
    <w:p>
      <w:pPr>
        <w:spacing w:line="240" w:lineRule="auto" w:before="8"/>
        <w:rPr>
          <w:rFonts w:ascii="宋体" w:hAnsi="宋体" w:cs="宋体" w:eastAsia="宋体" w:hint="default"/>
          <w:sz w:val="23"/>
          <w:szCs w:val="23"/>
        </w:rPr>
      </w:pPr>
    </w:p>
    <w:p>
      <w:pPr>
        <w:pStyle w:val="Heading2"/>
        <w:spacing w:line="369" w:lineRule="exact"/>
        <w:ind w:right="0"/>
        <w:jc w:val="left"/>
        <w:rPr>
          <w:b w:val="0"/>
          <w:bCs w:val="0"/>
        </w:rPr>
      </w:pPr>
      <w:r>
        <w:rPr/>
        <w:t>二、上市公司发生控股股东及其关联方非经营性占用资金情况</w:t>
      </w:r>
      <w:r>
        <w:rPr>
          <w:b w:val="0"/>
          <w:bCs w:val="0"/>
        </w:rPr>
      </w:r>
    </w:p>
    <w:p>
      <w:pPr>
        <w:spacing w:line="240" w:lineRule="auto" w:before="17"/>
        <w:rPr>
          <w:rFonts w:ascii="微软雅黑" w:hAnsi="微软雅黑" w:cs="微软雅黑" w:eastAsia="微软雅黑" w:hint="default"/>
          <w:b/>
          <w:bCs/>
          <w:sz w:val="27"/>
          <w:szCs w:val="27"/>
        </w:rPr>
      </w:pPr>
    </w:p>
    <w:p>
      <w:pPr>
        <w:pStyle w:val="BodyText"/>
        <w:spacing w:line="240" w:lineRule="auto"/>
        <w:ind w:left="604" w:right="0"/>
        <w:jc w:val="left"/>
      </w:pPr>
      <w:r>
        <w:rPr/>
        <w:t>报告期内，公司未发生控股股东及其关联方非经营性占用资金情况。</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4"/>
        <w:rPr>
          <w:rFonts w:ascii="微软雅黑" w:hAnsi="微软雅黑" w:cs="微软雅黑" w:eastAsia="微软雅黑" w:hint="default"/>
          <w:b/>
          <w:bCs/>
          <w:sz w:val="18"/>
          <w:szCs w:val="18"/>
        </w:rPr>
      </w:pPr>
    </w:p>
    <w:p>
      <w:pPr>
        <w:pStyle w:val="BodyText"/>
        <w:spacing w:line="240" w:lineRule="auto"/>
        <w:ind w:left="604" w:right="0"/>
        <w:jc w:val="left"/>
      </w:pPr>
      <w:r>
        <w:rPr/>
        <w:t>无</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17"/>
        <w:rPr>
          <w:rFonts w:ascii="微软雅黑" w:hAnsi="微软雅黑" w:cs="微软雅黑" w:eastAsia="微软雅黑" w:hint="default"/>
          <w:b/>
          <w:bCs/>
          <w:sz w:val="27"/>
          <w:szCs w:val="27"/>
        </w:rPr>
      </w:pPr>
    </w:p>
    <w:p>
      <w:pPr>
        <w:pStyle w:val="BodyText"/>
        <w:spacing w:line="240" w:lineRule="auto"/>
        <w:ind w:left="693" w:right="0"/>
        <w:jc w:val="left"/>
      </w:pPr>
      <w:r>
        <w:rPr/>
        <w:t>报告期内，公司未发生收购、出售资产或企业合并等情况。</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4"/>
        <w:rPr>
          <w:rFonts w:ascii="微软雅黑" w:hAnsi="微软雅黑" w:cs="微软雅黑" w:eastAsia="微软雅黑" w:hint="default"/>
          <w:b/>
          <w:bCs/>
          <w:sz w:val="18"/>
          <w:szCs w:val="18"/>
        </w:rPr>
      </w:pPr>
    </w:p>
    <w:p>
      <w:pPr>
        <w:pStyle w:val="BodyText"/>
        <w:spacing w:line="240" w:lineRule="auto"/>
        <w:ind w:left="678" w:right="0"/>
        <w:jc w:val="left"/>
      </w:pPr>
      <w:r>
        <w:rPr/>
        <w:t>报告期内，公司未实施股权激励方案。</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六、重大关联交易</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t>关联债权债务往来</w:t>
      </w:r>
      <w:r>
        <w:rPr>
          <w:b w:val="0"/>
          <w:bCs w:val="0"/>
        </w:rPr>
      </w:r>
    </w:p>
    <w:p>
      <w:pPr>
        <w:spacing w:line="240" w:lineRule="auto" w:before="13"/>
        <w:rPr>
          <w:rFonts w:ascii="微软雅黑" w:hAnsi="微软雅黑" w:cs="微软雅黑" w:eastAsia="微软雅黑"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1028"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微软雅黑" w:hAnsi="微软雅黑" w:cs="微软雅黑" w:eastAsia="微软雅黑"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微软雅黑" w:hAnsi="微软雅黑" w:cs="微软雅黑" w:eastAsia="微软雅黑" w:hint="default"/>
                <w:b/>
                <w:bCs/>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微软雅黑" w:hAnsi="微软雅黑" w:cs="微软雅黑" w:eastAsia="微软雅黑" w:hint="default"/>
                <w:b/>
                <w:bCs/>
                <w:sz w:val="20"/>
                <w:szCs w:val="2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深圳市中委农业投资 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74" w:right="101" w:hanging="269"/>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96" w:right="2" w:hanging="171"/>
              <w:jc w:val="left"/>
              <w:rPr>
                <w:rFonts w:ascii="宋体" w:hAnsi="宋体" w:cs="宋体" w:eastAsia="宋体" w:hint="default"/>
                <w:sz w:val="18"/>
                <w:szCs w:val="18"/>
              </w:rPr>
            </w:pPr>
            <w:r>
              <w:rPr>
                <w:rFonts w:ascii="宋体" w:hAnsi="宋体" w:cs="宋体" w:eastAsia="宋体" w:hint="default"/>
                <w:sz w:val="18"/>
                <w:szCs w:val="18"/>
              </w:rPr>
              <w:t>承担的费用、 代付款等</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547" w:right="0"/>
              <w:jc w:val="left"/>
              <w:rPr>
                <w:rFonts w:ascii="宋体" w:hAnsi="宋体" w:cs="宋体" w:eastAsia="宋体" w:hint="default"/>
                <w:sz w:val="18"/>
                <w:szCs w:val="18"/>
              </w:rPr>
            </w:pPr>
            <w:r>
              <w:rPr>
                <w:rFonts w:ascii="宋体"/>
                <w:sz w:val="18"/>
              </w:rPr>
              <w:t>184.19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549" w:right="0"/>
              <w:jc w:val="left"/>
              <w:rPr>
                <w:rFonts w:ascii="宋体" w:hAnsi="宋体" w:cs="宋体" w:eastAsia="宋体" w:hint="default"/>
                <w:sz w:val="18"/>
                <w:szCs w:val="18"/>
              </w:rPr>
            </w:pPr>
            <w:r>
              <w:rPr>
                <w:rFonts w:ascii="宋体"/>
                <w:sz w:val="18"/>
              </w:rPr>
              <w:t>184.19</w:t>
            </w:r>
          </w:p>
        </w:tc>
      </w:tr>
    </w:tbl>
    <w:p>
      <w:pPr>
        <w:pStyle w:val="BodyText"/>
        <w:spacing w:line="240" w:lineRule="auto" w:before="49"/>
        <w:ind w:left="513" w:right="0"/>
        <w:jc w:val="left"/>
      </w:pPr>
      <w:r>
        <w:rPr/>
        <w:t>除上述关联事项外，报告期内，公司未发生其他关联交易。</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七、重大合同及其履行情况</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、托管、承包、租赁事项情况</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left="513" w:right="0"/>
        <w:jc w:val="left"/>
      </w:pPr>
      <w:r>
        <w:rPr/>
        <w:t>报告期内，公司未发生托管、承包、租赁事项情况。</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w:t>
      </w:r>
      <w:r>
        <w:rPr/>
        <w:t>、担保情况</w:t>
      </w:r>
      <w:r>
        <w:rPr>
          <w:b w:val="0"/>
          <w:bCs w:val="0"/>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3"/>
        <w:gridCol w:w="932"/>
        <w:gridCol w:w="1212"/>
        <w:gridCol w:w="1179"/>
        <w:gridCol w:w="1097"/>
        <w:gridCol w:w="1018"/>
        <w:gridCol w:w="799"/>
        <w:gridCol w:w="787"/>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5"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745" w:footer="1315" w:top="1060" w:bottom="150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94"/>
        <w:gridCol w:w="931"/>
        <w:gridCol w:w="944"/>
        <w:gridCol w:w="1213"/>
        <w:gridCol w:w="1178"/>
        <w:gridCol w:w="1091"/>
        <w:gridCol w:w="1017"/>
        <w:gridCol w:w="806"/>
        <w:gridCol w:w="787"/>
      </w:tblGrid>
      <w:tr>
        <w:trPr>
          <w:trHeight w:val="133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7"/>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2" w:right="130"/>
              <w:jc w:val="left"/>
              <w:rPr>
                <w:rFonts w:ascii="宋体" w:hAnsi="宋体" w:cs="宋体" w:eastAsia="宋体" w:hint="default"/>
                <w:sz w:val="18"/>
                <w:szCs w:val="18"/>
              </w:rPr>
            </w:pPr>
            <w:r>
              <w:rPr>
                <w:rFonts w:ascii="宋体" w:hAnsi="宋体" w:cs="宋体" w:eastAsia="宋体" w:hint="default"/>
                <w:sz w:val="18"/>
                <w:szCs w:val="18"/>
              </w:rPr>
              <w:t>惠州市华宝饲料有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sz w:val="18"/>
              </w:rPr>
              <w:t>2,000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宋体" w:hAnsi="宋体" w:cs="宋体" w:eastAsia="宋体"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1,500</w:t>
            </w:r>
          </w:p>
        </w:tc>
      </w:tr>
      <w:tr>
        <w:trPr>
          <w:trHeight w:val="720"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2"/>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2,000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1,127.74</w:t>
            </w:r>
          </w:p>
        </w:tc>
      </w:tr>
      <w:tr>
        <w:trPr>
          <w:trHeight w:val="396"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6"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宋体" w:hAnsi="宋体" w:cs="宋体" w:eastAsia="宋体" w:hint="default"/>
                <w:sz w:val="18"/>
                <w:szCs w:val="18"/>
              </w:rPr>
              <w:t>A2+B2</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1,500</w:t>
            </w:r>
          </w:p>
        </w:tc>
      </w:tr>
      <w:tr>
        <w:trPr>
          <w:trHeight w:val="714"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宋体" w:hAnsi="宋体" w:cs="宋体" w:eastAsia="宋体"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2,000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1,127.74</w:t>
            </w:r>
          </w:p>
        </w:tc>
      </w:tr>
      <w:tr>
        <w:trPr>
          <w:trHeight w:val="407"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z w:val="18"/>
              </w:rPr>
              <w:t>12.63%</w:t>
            </w:r>
          </w:p>
        </w:tc>
      </w:tr>
      <w:tr>
        <w:trPr>
          <w:trHeight w:val="391"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right="18"/>
              <w:jc w:val="right"/>
              <w:rPr>
                <w:rFonts w:ascii="宋体" w:hAnsi="宋体" w:cs="宋体" w:eastAsia="宋体" w:hint="default"/>
                <w:sz w:val="18"/>
                <w:szCs w:val="18"/>
              </w:rPr>
            </w:pPr>
            <w:r>
              <w:rPr>
                <w:rFonts w:ascii="宋体"/>
                <w:sz w:val="18"/>
              </w:rPr>
              <w:t>0</w:t>
            </w:r>
          </w:p>
        </w:tc>
      </w:tr>
      <w:tr>
        <w:trPr>
          <w:trHeight w:val="714"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 担保金额（</w:t>
            </w:r>
            <w:r>
              <w:rPr>
                <w:rFonts w:ascii="宋体" w:hAnsi="宋体" w:cs="宋体" w:eastAsia="宋体" w:hint="default"/>
                <w:sz w:val="18"/>
                <w:szCs w:val="18"/>
              </w:rPr>
              <w:t>D</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采用复合方式担保的具体情况说明</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八、承诺事项履行情况</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w w:val="95"/>
        </w:rPr>
        <w:t>公司或持股   </w:t>
      </w:r>
      <w:r>
        <w:rPr>
          <w:spacing w:val="44"/>
          <w:w w:val="95"/>
        </w:rPr>
        <w:t> </w:t>
      </w:r>
      <w:r>
        <w:rPr>
          <w:rFonts w:ascii="Arial" w:hAnsi="Arial" w:cs="Arial" w:eastAsia="Arial" w:hint="default"/>
          <w:w w:val="95"/>
        </w:rPr>
        <w:t>5%</w:t>
      </w:r>
      <w:r>
        <w:rPr>
          <w:w w:val="95"/>
        </w:rPr>
        <w:t>以上股东在报告期内或持续到报告期内的承诺事项</w:t>
      </w:r>
      <w:r>
        <w:rPr>
          <w:b w:val="0"/>
          <w:bCs w:val="0"/>
          <w:w w:val="95"/>
        </w:rPr>
      </w:r>
    </w:p>
    <w:p>
      <w:pPr>
        <w:spacing w:line="240" w:lineRule="auto" w:before="15"/>
        <w:rPr>
          <w:rFonts w:ascii="微软雅黑" w:hAnsi="微软雅黑" w:cs="微软雅黑" w:eastAsia="微软雅黑"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121"/>
        <w:gridCol w:w="1399"/>
        <w:gridCol w:w="3227"/>
        <w:gridCol w:w="1277"/>
        <w:gridCol w:w="1277"/>
        <w:gridCol w:w="1270"/>
      </w:tblGrid>
      <w:tr>
        <w:trPr>
          <w:trHeight w:val="403"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275"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7"/>
              <w:ind w:right="0"/>
              <w:jc w:val="left"/>
              <w:rPr>
                <w:rFonts w:ascii="微软雅黑" w:hAnsi="微软雅黑" w:cs="微软雅黑" w:eastAsia="微软雅黑" w:hint="default"/>
                <w:b/>
                <w:bCs/>
                <w:sz w:val="11"/>
                <w:szCs w:val="11"/>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公司法人股股东 和潜在股东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pacing w:val="-4"/>
                <w:sz w:val="18"/>
                <w:szCs w:val="18"/>
              </w:rPr>
              <w:t>自改革方案实施之日起，在十二个月内不</w:t>
            </w:r>
            <w:r>
              <w:rPr>
                <w:rFonts w:ascii="宋体" w:hAnsi="宋体" w:cs="宋体" w:eastAsia="宋体" w:hint="default"/>
                <w:sz w:val="18"/>
                <w:szCs w:val="18"/>
              </w:rPr>
              <w:t> 上市交易或者转让；在十二个月期满后， </w:t>
            </w:r>
            <w:r>
              <w:rPr>
                <w:rFonts w:ascii="宋体" w:hAnsi="宋体" w:cs="宋体" w:eastAsia="宋体" w:hint="default"/>
                <w:spacing w:val="-4"/>
                <w:sz w:val="18"/>
                <w:szCs w:val="18"/>
              </w:rPr>
              <w:t>通过证券交易所挂牌交易出售股份，出售</w:t>
            </w:r>
            <w:r>
              <w:rPr>
                <w:rFonts w:ascii="宋体" w:hAnsi="宋体" w:cs="宋体" w:eastAsia="宋体" w:hint="default"/>
                <w:sz w:val="18"/>
                <w:szCs w:val="18"/>
              </w:rPr>
              <w:t> 数量占公司股份总数的比例在十二个月 </w:t>
            </w:r>
            <w:r>
              <w:rPr>
                <w:rFonts w:ascii="宋体" w:hAnsi="宋体" w:cs="宋体" w:eastAsia="宋体" w:hint="default"/>
                <w:spacing w:val="-4"/>
                <w:sz w:val="18"/>
                <w:szCs w:val="18"/>
              </w:rPr>
              <w:t>内不超过百分之五，在二十四个月内不超</w:t>
            </w:r>
            <w:r>
              <w:rPr>
                <w:rFonts w:ascii="宋体" w:hAnsi="宋体" w:cs="宋体" w:eastAsia="宋体" w:hint="default"/>
                <w:sz w:val="18"/>
                <w:szCs w:val="18"/>
              </w:rPr>
              <w:t> </w:t>
            </w:r>
            <w:r>
              <w:rPr>
                <w:rFonts w:ascii="宋体" w:hAnsi="宋体" w:cs="宋体" w:eastAsia="宋体" w:hint="default"/>
                <w:spacing w:val="-4"/>
                <w:sz w:val="18"/>
                <w:szCs w:val="18"/>
              </w:rPr>
              <w:t>过百分之十。在三十六个月期满后，全部</w:t>
            </w:r>
            <w:r>
              <w:rPr>
                <w:rFonts w:ascii="宋体" w:hAnsi="宋体" w:cs="宋体" w:eastAsia="宋体" w:hint="default"/>
                <w:sz w:val="18"/>
                <w:szCs w:val="18"/>
              </w:rPr>
              <w:t> 股份可上市流通。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微软雅黑" w:hAnsi="微软雅黑" w:cs="微软雅黑" w:eastAsia="微软雅黑" w:hint="default"/>
                <w:sz w:val="20"/>
                <w:szCs w:val="20"/>
              </w:rPr>
            </w:pPr>
            <w:r>
              <w:rPr>
                <w:rFonts w:ascii="微软雅黑" w:hAnsi="微软雅黑" w:cs="微软雅黑" w:eastAsia="微软雅黑" w:hint="default"/>
                <w:position w:val="-15"/>
                <w:sz w:val="20"/>
                <w:szCs w:val="20"/>
              </w:rPr>
              <w:pict>
                <v:group style="width:63.4pt;height:39pt;mso-position-horizontal-relative:char;mso-position-vertical-relative:line" coordorigin="0,0" coordsize="1268,780">
                  <v:group style="position:absolute;left:0;top:0;width:1268;height:780" coordorigin="0,0" coordsize="1268,780">
                    <v:shape style="position:absolute;left:0;top:0;width:1268;height:780" coordorigin="0,0" coordsize="1268,780" path="m0,780l1267,780,1267,0,0,0,0,780xe" filled="true" fillcolor="#ffffff" stroked="false">
                      <v:path arrowok="t"/>
                      <v:fill type="solid"/>
                    </v:shape>
                  </v:group>
                </v:group>
              </w:pict>
            </w:r>
            <w:r>
              <w:rPr>
                <w:rFonts w:ascii="微软雅黑" w:hAnsi="微软雅黑" w:cs="微软雅黑" w:eastAsia="微软雅黑" w:hint="default"/>
                <w:position w:val="-1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7"/>
              <w:ind w:right="0"/>
              <w:jc w:val="left"/>
              <w:rPr>
                <w:rFonts w:ascii="微软雅黑" w:hAnsi="微软雅黑" w:cs="微软雅黑" w:eastAsia="微软雅黑" w:hint="default"/>
                <w:b/>
                <w:bCs/>
                <w:sz w:val="20"/>
                <w:szCs w:val="20"/>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）履行了限 </w:t>
            </w:r>
            <w:r>
              <w:rPr>
                <w:rFonts w:ascii="宋体" w:hAnsi="宋体" w:cs="宋体" w:eastAsia="宋体" w:hint="default"/>
                <w:spacing w:val="-21"/>
                <w:sz w:val="18"/>
                <w:szCs w:val="18"/>
              </w:rPr>
              <w:t>售承诺；（</w:t>
            </w:r>
            <w:r>
              <w:rPr>
                <w:rFonts w:ascii="宋体" w:hAnsi="宋体" w:cs="宋体" w:eastAsia="宋体" w:hint="default"/>
                <w:spacing w:val="-21"/>
                <w:sz w:val="18"/>
                <w:szCs w:val="18"/>
              </w:rPr>
              <w:t>2</w:t>
            </w:r>
            <w:r>
              <w:rPr>
                <w:rFonts w:ascii="宋体" w:hAnsi="宋体" w:cs="宋体" w:eastAsia="宋体" w:hint="default"/>
                <w:spacing w:val="-21"/>
                <w:sz w:val="18"/>
                <w:szCs w:val="18"/>
              </w:rPr>
              <w:t>）未</w:t>
            </w:r>
            <w:r>
              <w:rPr>
                <w:rFonts w:ascii="宋体" w:hAnsi="宋体" w:cs="宋体" w:eastAsia="宋体" w:hint="default"/>
                <w:spacing w:val="-86"/>
                <w:sz w:val="18"/>
                <w:szCs w:val="18"/>
              </w:rPr>
              <w:t> </w:t>
            </w:r>
            <w:r>
              <w:rPr>
                <w:rFonts w:ascii="宋体" w:hAnsi="宋体" w:cs="宋体" w:eastAsia="宋体" w:hint="default"/>
                <w:sz w:val="18"/>
                <w:szCs w:val="18"/>
              </w:rPr>
              <w:t>有追加承诺；</w:t>
            </w:r>
          </w:p>
        </w:tc>
      </w:tr>
    </w:tbl>
    <w:p>
      <w:pPr>
        <w:spacing w:after="0" w:line="316" w:lineRule="auto"/>
        <w:jc w:val="both"/>
        <w:rPr>
          <w:rFonts w:ascii="宋体" w:hAnsi="宋体" w:cs="宋体" w:eastAsia="宋体" w:hint="default"/>
          <w:sz w:val="18"/>
          <w:szCs w:val="18"/>
        </w:rPr>
        <w:sectPr>
          <w:pgSz w:w="11910" w:h="16840"/>
          <w:pgMar w:header="745" w:footer="1315" w:top="1060" w:bottom="1500" w:left="980" w:right="0"/>
        </w:sectPr>
      </w:pPr>
    </w:p>
    <w:p>
      <w:pPr>
        <w:spacing w:line="240" w:lineRule="auto" w:before="15"/>
        <w:rPr>
          <w:rFonts w:ascii="微软雅黑" w:hAnsi="微软雅黑" w:cs="微软雅黑" w:eastAsia="微软雅黑" w:hint="default"/>
          <w:b/>
          <w:bCs/>
          <w:sz w:val="17"/>
          <w:szCs w:val="17"/>
        </w:rPr>
      </w:pPr>
    </w:p>
    <w:p>
      <w:pPr>
        <w:spacing w:line="369" w:lineRule="exact"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九、聘任、解聘会计师事务所情况</w:t>
      </w:r>
      <w:r>
        <w:rPr>
          <w:rFonts w:ascii="微软雅黑" w:hAnsi="微软雅黑" w:cs="微软雅黑" w:eastAsia="微软雅黑" w:hint="default"/>
          <w:sz w:val="24"/>
          <w:szCs w:val="24"/>
        </w:rPr>
      </w:r>
    </w:p>
    <w:p>
      <w:pPr>
        <w:spacing w:line="240" w:lineRule="auto" w:before="7"/>
        <w:rPr>
          <w:rFonts w:ascii="微软雅黑" w:hAnsi="微软雅黑" w:cs="微软雅黑" w:eastAsia="微软雅黑" w:hint="default"/>
          <w:b/>
          <w:bCs/>
          <w:sz w:val="18"/>
          <w:szCs w:val="18"/>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中瑞岳华会计师事务所</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88</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李巧仪、李花</w:t>
            </w:r>
          </w:p>
        </w:tc>
      </w:tr>
    </w:tbl>
    <w:p>
      <w:pPr>
        <w:pStyle w:val="BodyText"/>
        <w:spacing w:line="240" w:lineRule="auto" w:before="49"/>
        <w:ind w:right="0"/>
        <w:jc w:val="left"/>
      </w:pPr>
      <w:r>
        <w:rPr/>
        <w:t>当期是否改聘会计师事务所</w:t>
      </w:r>
    </w:p>
    <w:p>
      <w:pPr>
        <w:pStyle w:val="BodyText"/>
        <w:spacing w:line="357" w:lineRule="auto" w:before="117"/>
        <w:ind w:right="8054"/>
        <w:jc w:val="left"/>
      </w:pPr>
      <w:r>
        <w:rPr/>
        <w:t>√ 是 □ 否 是否在审计期间改聘会计师事务所</w:t>
      </w:r>
    </w:p>
    <w:p>
      <w:pPr>
        <w:pStyle w:val="BodyText"/>
        <w:spacing w:line="360" w:lineRule="auto" w:before="29"/>
        <w:ind w:right="7874"/>
        <w:jc w:val="left"/>
      </w:pPr>
      <w:r>
        <w:rPr/>
        <w:t>□ 是 √ 否 更换会计师事务所是否履行审批程序</w:t>
      </w:r>
    </w:p>
    <w:p>
      <w:pPr>
        <w:pStyle w:val="BodyText"/>
        <w:spacing w:line="360" w:lineRule="auto" w:before="25"/>
        <w:ind w:right="7334"/>
        <w:jc w:val="left"/>
      </w:pPr>
      <w:r>
        <w:rPr/>
        <w:t>√ 是 □ 否 对改聘、变更会计师事务所情况的详细说明</w:t>
      </w:r>
    </w:p>
    <w:p>
      <w:pPr>
        <w:spacing w:line="240" w:lineRule="auto" w:before="10"/>
        <w:rPr>
          <w:rFonts w:ascii="宋体" w:hAnsi="宋体" w:cs="宋体" w:eastAsia="宋体" w:hint="default"/>
          <w:sz w:val="14"/>
          <w:szCs w:val="14"/>
        </w:rPr>
      </w:pPr>
    </w:p>
    <w:p>
      <w:pPr>
        <w:pStyle w:val="BodyText"/>
        <w:spacing w:line="489" w:lineRule="auto"/>
        <w:ind w:right="1034" w:firstLine="360"/>
        <w:jc w:val="left"/>
      </w:pP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26</w:t>
      </w:r>
      <w:r>
        <w:rPr/>
        <w:t>日，公司收到负责为公司提供</w:t>
      </w:r>
      <w:r>
        <w:rPr>
          <w:rFonts w:ascii="宋体" w:hAnsi="宋体" w:cs="宋体" w:eastAsia="宋体" w:hint="default"/>
        </w:rPr>
        <w:t>2012</w:t>
      </w:r>
      <w:r>
        <w:rPr/>
        <w:t>年财务报告及内部控制审计的中审国际会计师事务所深圳分所的函件， </w:t>
      </w:r>
      <w:r>
        <w:rPr>
          <w:spacing w:val="-2"/>
        </w:rPr>
        <w:t>告知‚中审国际事务所深圳分所与中瑞岳华会计师事务所（特殊普通合伙，以下简称‘中瑞岳华’）实施合并，合并后事务</w:t>
      </w:r>
      <w:r>
        <w:rPr>
          <w:spacing w:val="17"/>
        </w:rPr>
        <w:t> </w:t>
      </w:r>
      <w:r>
        <w:rPr>
          <w:spacing w:val="17"/>
        </w:rPr>
      </w:r>
      <w:r>
        <w:rPr>
          <w:spacing w:val="-2"/>
        </w:rPr>
        <w:t>所名称为‘中瑞岳华会计师事务所（特殊普通合伙）’，目前相关手续已经办理完毕。合并后，原中审国际深圳分所的所有</w:t>
      </w:r>
      <w:r>
        <w:rPr>
          <w:spacing w:val="-70"/>
        </w:rPr>
        <w:t> </w:t>
      </w:r>
      <w:r>
        <w:rPr>
          <w:spacing w:val="-70"/>
        </w:rPr>
      </w:r>
      <w:r>
        <w:rPr/>
        <w:t>审计、验资等注册会计师法定业务及其他业务将转由中瑞岳华继续承办。‛</w:t>
      </w:r>
    </w:p>
    <w:p>
      <w:pPr>
        <w:pStyle w:val="BodyText"/>
        <w:spacing w:line="489" w:lineRule="auto" w:before="57"/>
        <w:ind w:right="0" w:firstLine="360"/>
        <w:jc w:val="left"/>
      </w:pPr>
      <w:r>
        <w:rPr>
          <w:spacing w:val="-2"/>
        </w:rPr>
        <w:t>根据《公司法》、深圳证券交易所《信息披露业务备忘录第</w:t>
      </w:r>
      <w:r>
        <w:rPr>
          <w:rFonts w:ascii="宋体" w:hAnsi="宋体" w:cs="宋体" w:eastAsia="宋体" w:hint="default"/>
          <w:spacing w:val="-2"/>
        </w:rPr>
        <w:t>20</w:t>
      </w:r>
      <w:r>
        <w:rPr>
          <w:spacing w:val="-2"/>
        </w:rPr>
        <w:t>号—上市公司聘任的会计师事务所发生合并后公司履行信</w:t>
      </w:r>
      <w:r>
        <w:rPr/>
        <w:t> </w:t>
      </w:r>
      <w:r>
        <w:rPr>
          <w:spacing w:val="-2"/>
        </w:rPr>
        <w:t>息披露义务和审议程序的要求》、《公司章程》及《审计委员会年报工作规程》等相关规定，该事项属于应提交股东大会进</w:t>
      </w:r>
      <w:r>
        <w:rPr>
          <w:spacing w:val="-66"/>
        </w:rPr>
        <w:t> </w:t>
      </w:r>
      <w:r>
        <w:rPr>
          <w:spacing w:val="-66"/>
        </w:rPr>
      </w:r>
      <w:r>
        <w:rPr>
          <w:spacing w:val="-2"/>
        </w:rPr>
        <w:t>行审议的事项。为保持年度财务报告审计业务的连续性，先后经公司审计委员会、七届四次董事会和监事会、</w:t>
      </w:r>
      <w:r>
        <w:rPr>
          <w:rFonts w:ascii="宋体" w:hAnsi="宋体" w:cs="宋体" w:eastAsia="宋体" w:hint="default"/>
          <w:spacing w:val="-2"/>
        </w:rPr>
        <w:t>2012</w:t>
      </w:r>
      <w:r>
        <w:rPr>
          <w:spacing w:val="-2"/>
        </w:rPr>
        <w:t>年第三次</w:t>
      </w:r>
      <w:r>
        <w:rPr>
          <w:spacing w:val="-61"/>
        </w:rPr>
        <w:t> </w:t>
      </w:r>
      <w:r>
        <w:rPr>
          <w:spacing w:val="-4"/>
        </w:rPr>
        <w:t>临时股东大会审议通过，决定变更公司</w:t>
      </w:r>
      <w:r>
        <w:rPr>
          <w:rFonts w:ascii="宋体" w:hAnsi="宋体" w:cs="宋体" w:eastAsia="宋体" w:hint="default"/>
          <w:spacing w:val="-4"/>
        </w:rPr>
        <w:t>2012</w:t>
      </w:r>
      <w:r>
        <w:rPr>
          <w:spacing w:val="-4"/>
        </w:rPr>
        <w:t>年度财务报告及内部控制的审计机构为中瑞岳华会计师事务所（特殊普通合伙），</w:t>
      </w:r>
      <w:r>
        <w:rPr>
          <w:spacing w:val="-35"/>
        </w:rPr>
        <w:t> </w:t>
      </w:r>
      <w:r>
        <w:rPr>
          <w:spacing w:val="-35"/>
        </w:rPr>
      </w:r>
      <w:r>
        <w:rPr/>
        <w:t>审计费用仍分别为人民币</w:t>
      </w:r>
      <w:r>
        <w:rPr>
          <w:rFonts w:ascii="宋体" w:hAnsi="宋体" w:cs="宋体" w:eastAsia="宋体" w:hint="default"/>
        </w:rPr>
        <w:t>55</w:t>
      </w:r>
      <w:r>
        <w:rPr/>
        <w:t>万元、</w:t>
      </w:r>
      <w:r>
        <w:rPr>
          <w:rFonts w:ascii="宋体" w:hAnsi="宋体" w:cs="宋体" w:eastAsia="宋体" w:hint="default"/>
        </w:rPr>
        <w:t>33</w:t>
      </w:r>
      <w:r>
        <w:rPr/>
        <w:t>万元，两项合计人民币</w:t>
      </w:r>
      <w:r>
        <w:rPr>
          <w:rFonts w:ascii="宋体" w:hAnsi="宋体" w:cs="宋体" w:eastAsia="宋体" w:hint="default"/>
        </w:rPr>
        <w:t>88</w:t>
      </w:r>
      <w:r>
        <w:rPr/>
        <w:t>万元。</w:t>
      </w:r>
    </w:p>
    <w:p>
      <w:pPr>
        <w:spacing w:line="240" w:lineRule="auto" w:before="9"/>
        <w:rPr>
          <w:rFonts w:ascii="宋体" w:hAnsi="宋体" w:cs="宋体" w:eastAsia="宋体" w:hint="default"/>
          <w:sz w:val="18"/>
          <w:szCs w:val="18"/>
        </w:rPr>
      </w:pPr>
    </w:p>
    <w:p>
      <w:pPr>
        <w:pStyle w:val="BodyText"/>
        <w:spacing w:line="240" w:lineRule="auto"/>
        <w:ind w:right="0"/>
        <w:jc w:val="left"/>
      </w:pPr>
      <w:r>
        <w:rPr/>
        <w:t>聘请内部控制审计会计师事务所、财务顾问或保荐人情况</w:t>
      </w:r>
    </w:p>
    <w:p>
      <w:pPr>
        <w:pStyle w:val="BodyText"/>
        <w:spacing w:line="528" w:lineRule="auto" w:before="115"/>
        <w:ind w:left="513" w:right="3103" w:hanging="361"/>
        <w:jc w:val="left"/>
      </w:pPr>
      <w:r>
        <w:rPr/>
        <w:t>√ 适用 □ 不适用 </w:t>
      </w:r>
      <w:r>
        <w:rPr>
          <w:rFonts w:ascii="宋体" w:hAnsi="宋体" w:cs="宋体" w:eastAsia="宋体" w:hint="default"/>
        </w:rPr>
        <w:t>1</w:t>
      </w:r>
      <w:r>
        <w:rPr/>
        <w:t>、报告期内，公司聘请及改聘</w:t>
      </w:r>
      <w:r>
        <w:rPr>
          <w:rFonts w:ascii="宋体" w:hAnsi="宋体" w:cs="宋体" w:eastAsia="宋体" w:hint="default"/>
        </w:rPr>
        <w:t>2012</w:t>
      </w:r>
      <w:r>
        <w:rPr/>
        <w:t>年度内部控制审计会计师事务所的有关情况见前段内容。</w:t>
      </w:r>
    </w:p>
    <w:p>
      <w:pPr>
        <w:pStyle w:val="BodyText"/>
        <w:spacing w:line="240" w:lineRule="auto" w:before="29"/>
        <w:ind w:left="513" w:right="0"/>
        <w:jc w:val="left"/>
      </w:pPr>
      <w:r>
        <w:rPr>
          <w:rFonts w:ascii="宋体" w:hAnsi="宋体" w:cs="宋体" w:eastAsia="宋体" w:hint="default"/>
        </w:rPr>
        <w:t>2</w:t>
      </w:r>
      <w:r>
        <w:rPr/>
        <w:t>、报告期内，公司未有聘请财务顾问或保荐人的情况。</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w w:val="105"/>
        </w:rPr>
        <w:t>十、监事会、独立董事（如适用）对会计师事务所本报告期‚非标准审计报告‛的说明</w:t>
      </w:r>
      <w:r>
        <w:rPr>
          <w:b w:val="0"/>
          <w:bCs w:val="0"/>
          <w:w w:val="105"/>
        </w:rPr>
      </w:r>
    </w:p>
    <w:p>
      <w:pPr>
        <w:spacing w:line="240" w:lineRule="auto" w:before="4"/>
        <w:rPr>
          <w:rFonts w:ascii="微软雅黑" w:hAnsi="微软雅黑" w:cs="微软雅黑" w:eastAsia="微软雅黑" w:hint="default"/>
          <w:b/>
          <w:bCs/>
          <w:sz w:val="18"/>
          <w:szCs w:val="18"/>
        </w:rPr>
      </w:pPr>
    </w:p>
    <w:p>
      <w:pPr>
        <w:pStyle w:val="BodyText"/>
        <w:spacing w:line="240" w:lineRule="auto"/>
        <w:ind w:left="513" w:right="0"/>
        <w:jc w:val="left"/>
      </w:pPr>
      <w:r>
        <w:rPr/>
        <w:t>不适用。</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十一、处罚及整改情况</w:t>
      </w:r>
      <w:r>
        <w:rPr>
          <w:b w:val="0"/>
          <w:bCs w:val="0"/>
        </w:rPr>
      </w:r>
    </w:p>
    <w:p>
      <w:pPr>
        <w:spacing w:line="240" w:lineRule="auto" w:before="12"/>
        <w:rPr>
          <w:rFonts w:ascii="微软雅黑" w:hAnsi="微软雅黑" w:cs="微软雅黑" w:eastAsia="微软雅黑" w:hint="default"/>
          <w:b/>
          <w:bCs/>
          <w:sz w:val="17"/>
          <w:szCs w:val="17"/>
        </w:rPr>
      </w:pPr>
    </w:p>
    <w:p>
      <w:pPr>
        <w:pStyle w:val="BodyText"/>
        <w:spacing w:line="240" w:lineRule="auto"/>
        <w:ind w:left="513" w:right="0"/>
        <w:jc w:val="left"/>
      </w:pPr>
      <w:r>
        <w:rPr/>
        <w:t>报告期内，公司未被中国证监会及其派出机构采取行政监管措施或给予行政处罚。</w:t>
      </w:r>
    </w:p>
    <w:p>
      <w:pPr>
        <w:spacing w:after="0" w:line="240" w:lineRule="auto"/>
        <w:jc w:val="left"/>
        <w:sectPr>
          <w:pgSz w:w="11910" w:h="16840"/>
          <w:pgMar w:header="745" w:footer="1315" w:top="1060" w:bottom="1500" w:left="98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董事、监事、高级管理人员、持股</w:t>
      </w:r>
      <w:r>
        <w:rPr>
          <w:spacing w:val="-45"/>
        </w:rPr>
        <w:t> </w:t>
      </w:r>
      <w:r>
        <w:rPr>
          <w:rFonts w:ascii="宋体" w:hAnsi="宋体" w:cs="宋体" w:eastAsia="宋体" w:hint="default"/>
        </w:rPr>
        <w:t>5%</w:t>
      </w:r>
      <w:r>
        <w:rPr/>
        <w:t>以上的股东涉嫌违规买卖公司股票且公司已披露将收回涉嫌违规所得收益的情况</w:t>
      </w:r>
    </w:p>
    <w:p>
      <w:pPr>
        <w:pStyle w:val="BodyText"/>
        <w:spacing w:line="240" w:lineRule="auto" w:before="84"/>
        <w:ind w:right="0"/>
        <w:jc w:val="left"/>
      </w:pPr>
      <w:r>
        <w:rPr/>
        <w:t>□ 适用 √ 不适用</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十二、年度报告披露后面临暂停上市和终止上市情况</w:t>
      </w:r>
      <w:r>
        <w:rPr>
          <w:b w:val="0"/>
          <w:bCs w:val="0"/>
        </w:rPr>
      </w:r>
    </w:p>
    <w:p>
      <w:pPr>
        <w:spacing w:line="240" w:lineRule="auto" w:before="12"/>
        <w:rPr>
          <w:rFonts w:ascii="微软雅黑" w:hAnsi="微软雅黑" w:cs="微软雅黑" w:eastAsia="微软雅黑" w:hint="default"/>
          <w:b/>
          <w:bCs/>
          <w:sz w:val="17"/>
          <w:szCs w:val="17"/>
        </w:rPr>
      </w:pPr>
    </w:p>
    <w:p>
      <w:pPr>
        <w:pStyle w:val="BodyText"/>
        <w:spacing w:line="240" w:lineRule="auto"/>
        <w:ind w:left="513" w:right="0"/>
        <w:jc w:val="left"/>
      </w:pPr>
      <w:r>
        <w:rPr/>
        <w:t>不适用。</w:t>
      </w:r>
    </w:p>
    <w:p>
      <w:pPr>
        <w:spacing w:line="240" w:lineRule="auto" w:before="5"/>
        <w:rPr>
          <w:rFonts w:ascii="宋体" w:hAnsi="宋体" w:cs="宋体" w:eastAsia="宋体" w:hint="default"/>
          <w:sz w:val="15"/>
          <w:szCs w:val="15"/>
        </w:rPr>
      </w:pPr>
    </w:p>
    <w:p>
      <w:pPr>
        <w:pStyle w:val="Heading2"/>
        <w:spacing w:line="240" w:lineRule="auto"/>
        <w:ind w:right="0"/>
        <w:jc w:val="left"/>
        <w:rPr>
          <w:b w:val="0"/>
          <w:bCs w:val="0"/>
        </w:rPr>
      </w:pPr>
      <w:r>
        <w:rPr/>
        <w:t>十三、其他重大事项的说明</w:t>
      </w:r>
      <w:r>
        <w:rPr>
          <w:b w:val="0"/>
          <w:bCs w:val="0"/>
        </w:rPr>
      </w:r>
    </w:p>
    <w:p>
      <w:pPr>
        <w:spacing w:line="240" w:lineRule="auto" w:before="14"/>
        <w:rPr>
          <w:rFonts w:ascii="微软雅黑" w:hAnsi="微软雅黑" w:cs="微软雅黑" w:eastAsia="微软雅黑" w:hint="default"/>
          <w:b/>
          <w:bCs/>
          <w:sz w:val="17"/>
          <w:szCs w:val="17"/>
        </w:rPr>
      </w:pPr>
    </w:p>
    <w:p>
      <w:pPr>
        <w:pStyle w:val="BodyText"/>
        <w:spacing w:line="240" w:lineRule="auto"/>
        <w:ind w:left="513" w:right="0"/>
        <w:jc w:val="left"/>
      </w:pPr>
      <w:r>
        <w:rPr/>
        <w:t>无。</w:t>
      </w:r>
    </w:p>
    <w:p>
      <w:pPr>
        <w:spacing w:line="240" w:lineRule="auto" w:before="8"/>
        <w:rPr>
          <w:rFonts w:ascii="宋体" w:hAnsi="宋体" w:cs="宋体" w:eastAsia="宋体" w:hint="default"/>
          <w:sz w:val="15"/>
          <w:szCs w:val="15"/>
        </w:rPr>
      </w:pPr>
    </w:p>
    <w:p>
      <w:pPr>
        <w:pStyle w:val="Heading2"/>
        <w:spacing w:line="240" w:lineRule="auto"/>
        <w:ind w:right="0"/>
        <w:jc w:val="left"/>
        <w:rPr>
          <w:b w:val="0"/>
          <w:bCs w:val="0"/>
        </w:rPr>
      </w:pPr>
      <w:r>
        <w:rPr/>
        <w:t>十四、公司子公司重要事项</w:t>
      </w:r>
      <w:r>
        <w:rPr>
          <w:b w:val="0"/>
          <w:bCs w:val="0"/>
        </w:rPr>
      </w:r>
    </w:p>
    <w:p>
      <w:pPr>
        <w:spacing w:line="240" w:lineRule="auto" w:before="0"/>
        <w:rPr>
          <w:rFonts w:ascii="微软雅黑" w:hAnsi="微软雅黑" w:cs="微软雅黑" w:eastAsia="微软雅黑" w:hint="default"/>
          <w:b/>
          <w:bCs/>
          <w:sz w:val="27"/>
          <w:szCs w:val="27"/>
        </w:rPr>
      </w:pPr>
    </w:p>
    <w:p>
      <w:pPr>
        <w:pStyle w:val="BodyText"/>
        <w:spacing w:line="240" w:lineRule="auto"/>
        <w:ind w:left="513" w:right="0"/>
        <w:jc w:val="left"/>
      </w:pPr>
      <w:r>
        <w:rPr>
          <w:rFonts w:ascii="宋体" w:hAnsi="宋体" w:cs="宋体" w:eastAsia="宋体" w:hint="default"/>
        </w:rPr>
        <w:t>1</w:t>
      </w:r>
      <w:r>
        <w:rPr/>
        <w:t>、关于惠州饲料公司新厂建设及搬迁事宜</w:t>
      </w:r>
    </w:p>
    <w:p>
      <w:pPr>
        <w:spacing w:line="240" w:lineRule="auto" w:before="9"/>
        <w:rPr>
          <w:rFonts w:ascii="宋体" w:hAnsi="宋体" w:cs="宋体" w:eastAsia="宋体" w:hint="default"/>
          <w:sz w:val="18"/>
          <w:szCs w:val="18"/>
        </w:rPr>
      </w:pPr>
    </w:p>
    <w:p>
      <w:pPr>
        <w:pStyle w:val="BodyText"/>
        <w:spacing w:line="489" w:lineRule="auto"/>
        <w:ind w:right="1131" w:firstLine="362"/>
        <w:jc w:val="both"/>
      </w:pPr>
      <w:r>
        <w:rPr>
          <w:rFonts w:ascii="宋体" w:hAnsi="宋体" w:cs="宋体" w:eastAsia="宋体" w:hint="default"/>
          <w:spacing w:val="-2"/>
        </w:rPr>
        <w:t>2012</w:t>
      </w:r>
      <w:r>
        <w:rPr>
          <w:spacing w:val="-2"/>
        </w:rPr>
        <w:t>年，公司下属单位惠州饲料有限公司坚持两线作战，做好新厂建设和搬迁工作的同时还肩负着维持公司经营稳定的</w:t>
      </w:r>
      <w:r>
        <w:rPr/>
        <w:t> </w:t>
      </w:r>
      <w:r>
        <w:rPr>
          <w:spacing w:val="-2"/>
        </w:rPr>
        <w:t>任务。经过近一年的施工建设，</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月初，土建工程基本竣工；</w:t>
      </w:r>
      <w:r>
        <w:rPr>
          <w:rFonts w:ascii="宋体" w:hAnsi="宋体" w:cs="宋体" w:eastAsia="宋体" w:hint="default"/>
          <w:spacing w:val="-2"/>
        </w:rPr>
        <w:t>8</w:t>
      </w:r>
      <w:r>
        <w:rPr>
          <w:spacing w:val="-2"/>
        </w:rPr>
        <w:t>月底，搬迁工作基本完成。截至目前，惠州饲料公司已</w:t>
      </w:r>
      <w:r>
        <w:rPr>
          <w:spacing w:val="-67"/>
        </w:rPr>
        <w:t> </w:t>
      </w:r>
      <w:r>
        <w:rPr>
          <w:spacing w:val="-67"/>
        </w:rPr>
      </w:r>
      <w:r>
        <w:rPr/>
        <w:t>办理、取得生产经营许可证、预混料生产经营许可证等手续。</w:t>
      </w:r>
    </w:p>
    <w:p>
      <w:pPr>
        <w:pStyle w:val="BodyText"/>
        <w:spacing w:line="489" w:lineRule="auto" w:before="57"/>
        <w:ind w:left="513" w:right="0"/>
        <w:jc w:val="left"/>
      </w:pPr>
      <w:r>
        <w:rPr>
          <w:rFonts w:ascii="宋体" w:hAnsi="宋体" w:cs="宋体" w:eastAsia="宋体" w:hint="default"/>
        </w:rPr>
        <w:t>2</w:t>
      </w:r>
      <w:r>
        <w:rPr/>
        <w:t>、关于泰丰科技公司取得国家高新技术企业资质的事宜 </w:t>
      </w:r>
      <w:r>
        <w:rPr>
          <w:spacing w:val="-2"/>
        </w:rPr>
        <w:t>报告期内，公司下属单位泰丰科技公司接到深圳市创新科技委员会的通知，科技公司已取得国家高新技术企业资质。今</w:t>
      </w:r>
    </w:p>
    <w:p>
      <w:pPr>
        <w:pStyle w:val="BodyText"/>
        <w:spacing w:line="489" w:lineRule="auto" w:before="57"/>
        <w:ind w:left="513" w:right="6794" w:hanging="361"/>
        <w:jc w:val="left"/>
      </w:pPr>
      <w:r>
        <w:rPr/>
        <w:t>后将会享受高新技术企业优惠政策。 </w:t>
      </w:r>
      <w:r>
        <w:rPr>
          <w:rFonts w:ascii="宋体" w:hAnsi="宋体" w:cs="宋体" w:eastAsia="宋体" w:hint="default"/>
        </w:rPr>
        <w:t>3</w:t>
      </w:r>
      <w:r>
        <w:rPr/>
        <w:t>、关于取得‚泰丰</w:t>
      </w:r>
      <w:r>
        <w:rPr>
          <w:rFonts w:ascii="宋体" w:hAnsi="宋体" w:cs="宋体" w:eastAsia="宋体" w:hint="default"/>
        </w:rPr>
        <w:t>888</w:t>
      </w:r>
      <w:r>
        <w:rPr/>
        <w:t>‛商标事宜</w:t>
      </w:r>
    </w:p>
    <w:p>
      <w:pPr>
        <w:pStyle w:val="BodyText"/>
        <w:spacing w:line="489" w:lineRule="auto" w:before="57"/>
        <w:ind w:right="1047" w:firstLine="360"/>
        <w:jc w:val="both"/>
      </w:pPr>
      <w:r>
        <w:rPr/>
        <w:t>‚泰丰</w:t>
      </w:r>
      <w:r>
        <w:rPr>
          <w:rFonts w:ascii="宋体" w:hAnsi="宋体" w:cs="宋体" w:eastAsia="宋体" w:hint="default"/>
        </w:rPr>
        <w:t>888</w:t>
      </w:r>
      <w:r>
        <w:rPr/>
        <w:t>‛等系列商标原归泰丰通讯公司所有，授权科技公司使用。</w:t>
      </w:r>
      <w:r>
        <w:rPr>
          <w:rFonts w:ascii="宋体" w:hAnsi="宋体" w:cs="宋体" w:eastAsia="宋体" w:hint="default"/>
        </w:rPr>
        <w:t>2004</w:t>
      </w:r>
      <w:r>
        <w:rPr/>
        <w:t>年南京六合法院查封了该商标。</w:t>
      </w:r>
      <w:r>
        <w:rPr>
          <w:rFonts w:ascii="宋体" w:hAnsi="宋体" w:cs="宋体" w:eastAsia="宋体" w:hint="default"/>
        </w:rPr>
        <w:t>2012</w:t>
      </w:r>
      <w:r>
        <w:rPr/>
        <w:t>年</w:t>
      </w:r>
      <w:r>
        <w:rPr>
          <w:rFonts w:ascii="宋体" w:hAnsi="宋体" w:cs="宋体" w:eastAsia="宋体" w:hint="default"/>
        </w:rPr>
        <w:t>4</w:t>
      </w:r>
      <w:r>
        <w:rPr/>
        <w:t>月， 法院对该商标进行依法处臵。在处臵中，泰丰科技公司以</w:t>
      </w:r>
      <w:r>
        <w:rPr>
          <w:rFonts w:ascii="宋体" w:hAnsi="宋体" w:cs="宋体" w:eastAsia="宋体" w:hint="default"/>
        </w:rPr>
        <w:t>51</w:t>
      </w:r>
      <w:r>
        <w:rPr/>
        <w:t>万元取得该系列商标的所有权。</w:t>
      </w:r>
    </w:p>
    <w:p>
      <w:pPr>
        <w:pStyle w:val="BodyText"/>
        <w:spacing w:line="240" w:lineRule="auto" w:before="57"/>
        <w:ind w:left="513" w:right="0"/>
        <w:jc w:val="left"/>
      </w:pPr>
      <w:r>
        <w:rPr>
          <w:rFonts w:ascii="宋体" w:hAnsi="宋体" w:cs="宋体" w:eastAsia="宋体" w:hint="default"/>
        </w:rPr>
        <w:t>4</w:t>
      </w:r>
      <w:r>
        <w:rPr/>
        <w:t>、关于实业公司马山头</w:t>
      </w:r>
      <w:r>
        <w:rPr>
          <w:rFonts w:ascii="宋体" w:hAnsi="宋体" w:cs="宋体" w:eastAsia="宋体" w:hint="default"/>
        </w:rPr>
        <w:t>200</w:t>
      </w:r>
      <w:r>
        <w:rPr/>
        <w:t>亩土地的诉讼事宜</w:t>
      </w:r>
    </w:p>
    <w:p>
      <w:pPr>
        <w:spacing w:line="240" w:lineRule="auto" w:before="9"/>
        <w:rPr>
          <w:rFonts w:ascii="宋体" w:hAnsi="宋体" w:cs="宋体" w:eastAsia="宋体" w:hint="default"/>
          <w:sz w:val="18"/>
          <w:szCs w:val="18"/>
        </w:rPr>
      </w:pPr>
    </w:p>
    <w:p>
      <w:pPr>
        <w:pStyle w:val="BodyText"/>
        <w:spacing w:line="489" w:lineRule="auto"/>
        <w:ind w:right="1128" w:firstLine="360"/>
        <w:jc w:val="both"/>
      </w:pPr>
      <w:r>
        <w:rPr>
          <w:rFonts w:ascii="宋体" w:hAnsi="宋体" w:cs="宋体" w:eastAsia="宋体" w:hint="default"/>
          <w:spacing w:val="-2"/>
        </w:rPr>
        <w:t>1994</w:t>
      </w:r>
      <w:r>
        <w:rPr>
          <w:spacing w:val="-2"/>
        </w:rPr>
        <w:t>年</w:t>
      </w:r>
      <w:r>
        <w:rPr>
          <w:rFonts w:ascii="宋体" w:hAnsi="宋体" w:cs="宋体" w:eastAsia="宋体" w:hint="default"/>
          <w:spacing w:val="-2"/>
        </w:rPr>
        <w:t>10</w:t>
      </w:r>
      <w:r>
        <w:rPr>
          <w:spacing w:val="-2"/>
        </w:rPr>
        <w:t>月，为调整部分下属企业机构和经营布局，公司下达华宝股字</w:t>
      </w:r>
      <w:r>
        <w:rPr>
          <w:rFonts w:ascii="宋体" w:hAnsi="宋体" w:cs="宋体" w:eastAsia="宋体" w:hint="default"/>
          <w:spacing w:val="-2"/>
        </w:rPr>
        <w:t>[1994]48</w:t>
      </w:r>
      <w:r>
        <w:rPr>
          <w:spacing w:val="-2"/>
        </w:rPr>
        <w:t>号文件，通过内部划转将原下属企业深</w:t>
      </w:r>
      <w:r>
        <w:rPr/>
        <w:t> </w:t>
      </w:r>
      <w:r>
        <w:rPr>
          <w:spacing w:val="-2"/>
        </w:rPr>
        <w:t>圳市华宝进出口公司名下的养殖用地及其他资产划归华宝实业公司所有。资产划拨后，进出口公司和华宝实业公司办理了资</w:t>
      </w:r>
      <w:r>
        <w:rPr>
          <w:spacing w:val="-64"/>
        </w:rPr>
        <w:t> </w:t>
      </w:r>
      <w:r>
        <w:rPr>
          <w:spacing w:val="-64"/>
        </w:rPr>
      </w:r>
      <w:r>
        <w:rPr/>
        <w:t>产移交手续。截至</w:t>
      </w:r>
      <w:r>
        <w:rPr>
          <w:rFonts w:ascii="宋体" w:hAnsi="宋体" w:cs="宋体" w:eastAsia="宋体" w:hint="default"/>
        </w:rPr>
        <w:t>1996</w:t>
      </w:r>
      <w:r>
        <w:rPr/>
        <w:t>年</w:t>
      </w:r>
      <w:r>
        <w:rPr>
          <w:rFonts w:ascii="宋体" w:hAnsi="宋体" w:cs="宋体" w:eastAsia="宋体" w:hint="default"/>
        </w:rPr>
        <w:t>6</w:t>
      </w:r>
      <w:r>
        <w:rPr/>
        <w:t>月底，华宝实业公司付清了内部划入的该地块的相应对价。但是，由于当时进出口公司和华宝实</w:t>
      </w:r>
      <w:r>
        <w:rPr>
          <w:spacing w:val="-85"/>
        </w:rPr>
        <w:t> </w:t>
      </w:r>
      <w:r>
        <w:rPr>
          <w:spacing w:val="-85"/>
        </w:rPr>
      </w:r>
      <w:r>
        <w:rPr/>
        <w:t>业公司均系华宝集团公司的子公司，考虑到土地权属过户要缴纳较大的过户费用，并未办理相应的过户手续。</w:t>
      </w:r>
    </w:p>
    <w:p>
      <w:pPr>
        <w:pStyle w:val="BodyText"/>
        <w:spacing w:line="489" w:lineRule="auto" w:before="58"/>
        <w:ind w:right="1131" w:firstLine="360"/>
        <w:jc w:val="both"/>
      </w:pPr>
      <w:r>
        <w:rPr/>
        <w:t>由于该</w:t>
      </w:r>
      <w:r>
        <w:rPr>
          <w:rFonts w:ascii="宋体" w:hAnsi="宋体" w:cs="宋体" w:eastAsia="宋体" w:hint="default"/>
        </w:rPr>
        <w:t>200</w:t>
      </w:r>
      <w:r>
        <w:rPr/>
        <w:t>多亩农业用地仍登记在进出口公司名下，且土地使用权将于</w:t>
      </w:r>
      <w:r>
        <w:rPr>
          <w:rFonts w:ascii="宋体" w:hAnsi="宋体" w:cs="宋体" w:eastAsia="宋体" w:hint="default"/>
        </w:rPr>
        <w:t>2013</w:t>
      </w:r>
      <w:r>
        <w:rPr/>
        <w:t>年底到期。为妥善解决土地确权和延期的问 </w:t>
      </w:r>
      <w:r>
        <w:rPr>
          <w:spacing w:val="-2"/>
        </w:rPr>
        <w:t>题，公司在报告期内启动司法途径解决该土地的确权问题。</w:t>
      </w:r>
      <w:r>
        <w:rPr>
          <w:rFonts w:ascii="宋体" w:hAnsi="宋体" w:cs="宋体" w:eastAsia="宋体" w:hint="default"/>
          <w:spacing w:val="-2"/>
        </w:rPr>
        <w:t>11</w:t>
      </w:r>
      <w:r>
        <w:rPr>
          <w:spacing w:val="-2"/>
        </w:rPr>
        <w:t>月法院判决，确认实业公司与进出口公司土地使用权转让行为</w:t>
      </w:r>
      <w:r>
        <w:rPr>
          <w:spacing w:val="-64"/>
        </w:rPr>
        <w:t> </w:t>
      </w:r>
      <w:r>
        <w:rPr>
          <w:spacing w:val="-64"/>
        </w:rPr>
      </w:r>
      <w:r>
        <w:rPr>
          <w:spacing w:val="-2"/>
        </w:rPr>
        <w:t>合法有效，案件取得阶段性成果。目前，案件已进入执行阶段。由于土地使用权将于</w:t>
      </w:r>
      <w:r>
        <w:rPr>
          <w:rFonts w:ascii="宋体" w:hAnsi="宋体" w:cs="宋体" w:eastAsia="宋体" w:hint="default"/>
          <w:spacing w:val="-2"/>
        </w:rPr>
        <w:t>2013</w:t>
      </w:r>
      <w:r>
        <w:rPr>
          <w:spacing w:val="-2"/>
        </w:rPr>
        <w:t>年底到期，加之土地上存在抵押登</w:t>
      </w:r>
      <w:r>
        <w:rPr>
          <w:spacing w:val="-64"/>
        </w:rPr>
        <w:t> </w:t>
      </w:r>
      <w:r>
        <w:rPr>
          <w:spacing w:val="-64"/>
        </w:rPr>
      </w:r>
      <w:r>
        <w:rPr/>
        <w:t>记等历史遗留问题，故土地的过户、延期工作仍存在不确定性。</w:t>
      </w:r>
    </w:p>
    <w:p>
      <w:pPr>
        <w:spacing w:after="0" w:line="489" w:lineRule="auto"/>
        <w:jc w:val="both"/>
        <w:sectPr>
          <w:pgSz w:w="11910" w:h="16840"/>
          <w:pgMar w:header="745" w:footer="1315" w:top="1060" w:bottom="150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369" w:lineRule="exact"/>
        <w:ind w:right="0"/>
        <w:jc w:val="left"/>
        <w:rPr>
          <w:b w:val="0"/>
          <w:bCs w:val="0"/>
        </w:rPr>
      </w:pPr>
      <w:r>
        <w:rPr/>
        <w:t>十五、公司发行公司债券的情况</w:t>
      </w:r>
      <w:r>
        <w:rPr>
          <w:b w:val="0"/>
          <w:bCs w:val="0"/>
        </w:rPr>
      </w:r>
    </w:p>
    <w:p>
      <w:pPr>
        <w:spacing w:line="240" w:lineRule="auto" w:before="6"/>
        <w:rPr>
          <w:rFonts w:ascii="微软雅黑" w:hAnsi="微软雅黑" w:cs="微软雅黑" w:eastAsia="微软雅黑" w:hint="default"/>
          <w:b/>
          <w:bCs/>
          <w:sz w:val="18"/>
          <w:szCs w:val="18"/>
        </w:rPr>
      </w:pPr>
    </w:p>
    <w:p>
      <w:pPr>
        <w:pStyle w:val="BodyText"/>
        <w:spacing w:line="240" w:lineRule="auto"/>
        <w:ind w:right="0"/>
        <w:jc w:val="left"/>
      </w:pPr>
      <w:r>
        <w:rPr/>
        <w:t>无</w:t>
      </w:r>
    </w:p>
    <w:p>
      <w:pPr>
        <w:spacing w:after="0" w:line="240" w:lineRule="auto"/>
        <w:jc w:val="left"/>
        <w:sectPr>
          <w:pgSz w:w="11910" w:h="16840"/>
          <w:pgMar w:header="745" w:footer="1315" w:top="106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8" w:lineRule="exact"/>
        <w:ind w:left="2964" w:right="0"/>
        <w:jc w:val="left"/>
        <w:rPr>
          <w:b w:val="0"/>
          <w:bCs w:val="0"/>
        </w:rPr>
      </w:pPr>
      <w:r>
        <w:rPr/>
        <w:t>第六节</w:t>
      </w:r>
      <w:r>
        <w:rPr>
          <w:spacing w:val="75"/>
        </w:rPr>
        <w:t> </w:t>
      </w:r>
      <w:r>
        <w:rPr/>
        <w:t>股份变动及股东情况</w:t>
      </w:r>
      <w:r>
        <w:rPr>
          <w:b w:val="0"/>
          <w:bCs w:val="0"/>
        </w:rPr>
      </w:r>
    </w:p>
    <w:p>
      <w:pPr>
        <w:spacing w:line="240" w:lineRule="auto" w:before="13"/>
        <w:rPr>
          <w:rFonts w:ascii="微软雅黑" w:hAnsi="微软雅黑" w:cs="微软雅黑" w:eastAsia="微软雅黑" w:hint="default"/>
          <w:b/>
          <w:bCs/>
          <w:sz w:val="25"/>
          <w:szCs w:val="25"/>
        </w:rPr>
      </w:pPr>
    </w:p>
    <w:p>
      <w:pPr>
        <w:pStyle w:val="Heading2"/>
        <w:spacing w:line="369" w:lineRule="exact"/>
        <w:ind w:right="0"/>
        <w:jc w:val="left"/>
        <w:rPr>
          <w:b w:val="0"/>
          <w:bCs w:val="0"/>
        </w:rPr>
      </w:pPr>
      <w:r>
        <w:rPr/>
        <w:t>一、股份变动情况</w:t>
      </w:r>
      <w:r>
        <w:rPr>
          <w:b w:val="0"/>
          <w:bCs w:val="0"/>
        </w:rPr>
      </w:r>
    </w:p>
    <w:p>
      <w:pPr>
        <w:spacing w:line="240" w:lineRule="auto" w:before="16"/>
        <w:rPr>
          <w:rFonts w:ascii="微软雅黑" w:hAnsi="微软雅黑" w:cs="微软雅黑" w:eastAsia="微软雅黑"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1778"/>
        <w:gridCol w:w="1087"/>
        <w:gridCol w:w="845"/>
        <w:gridCol w:w="845"/>
        <w:gridCol w:w="843"/>
        <w:gridCol w:w="842"/>
        <w:gridCol w:w="842"/>
        <w:gridCol w:w="845"/>
        <w:gridCol w:w="1063"/>
        <w:gridCol w:w="715"/>
      </w:tblGrid>
      <w:tr>
        <w:trPr>
          <w:trHeight w:val="401" w:hRule="exact"/>
        </w:trPr>
        <w:tc>
          <w:tcPr>
            <w:tcW w:w="1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778" w:type="dxa"/>
            <w:vMerge w:val="restart"/>
            <w:tcBorders>
              <w:top w:val="nil" w:sz="6" w:space="0" w:color="auto"/>
              <w:left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78" w:type="dxa"/>
            <w:vMerge/>
            <w:tcBorders>
              <w:left w:val="single" w:sz="4" w:space="0" w:color="000000"/>
              <w:bottom w:val="nil" w:sz="6" w:space="0" w:color="auto"/>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202" w:hRule="exact"/>
        </w:trPr>
        <w:tc>
          <w:tcPr>
            <w:tcW w:w="1778" w:type="dxa"/>
            <w:vMerge w:val="restart"/>
            <w:tcBorders>
              <w:top w:val="nil" w:sz="6" w:space="0" w:color="auto"/>
              <w:left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78" w:type="dxa"/>
            <w:vMerge/>
            <w:tcBorders>
              <w:left w:val="single" w:sz="4" w:space="0" w:color="000000"/>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17,910,324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17,909,223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r>
      <w:tr>
        <w:trPr>
          <w:trHeight w:val="404"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17,901,671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17,901,671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3,598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3,598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3,598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3,598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3,954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340,063,207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340,064,308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95%</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340,063,207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340,064,308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95%</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357,973,531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357,973,531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r>
    </w:tbl>
    <w:p>
      <w:pPr>
        <w:pStyle w:val="BodyText"/>
        <w:spacing w:line="357" w:lineRule="auto" w:before="49"/>
        <w:ind w:left="513" w:right="5173" w:hanging="361"/>
        <w:jc w:val="left"/>
      </w:pPr>
      <w:r>
        <w:rPr/>
        <w:t>股份变动的原因 股份变化的主要原因为，报告期内公司高管锁定股部分解除限售。</w:t>
      </w:r>
    </w:p>
    <w:p>
      <w:pPr>
        <w:pStyle w:val="BodyText"/>
        <w:spacing w:line="240" w:lineRule="auto" w:before="29"/>
        <w:ind w:right="0"/>
        <w:jc w:val="left"/>
      </w:pPr>
      <w:r>
        <w:rPr/>
        <w:t>股份变动的批准情况</w:t>
      </w:r>
    </w:p>
    <w:p>
      <w:pPr>
        <w:pStyle w:val="BodyText"/>
        <w:spacing w:line="357" w:lineRule="auto" w:before="117"/>
        <w:ind w:right="9134"/>
        <w:jc w:val="left"/>
      </w:pPr>
      <w:r>
        <w:rPr/>
        <w:t>□ 适用 √ 不适用 股份变动的过户情况</w:t>
      </w:r>
    </w:p>
    <w:p>
      <w:pPr>
        <w:pStyle w:val="BodyText"/>
        <w:spacing w:line="240" w:lineRule="auto" w:before="29"/>
        <w:ind w:right="0"/>
        <w:jc w:val="left"/>
      </w:pPr>
      <w:r>
        <w:rPr/>
        <w:t>股份变动对最近一年和最近一期基本每股收益和稀释每股收益、归属于公司普通股股东的每股净资产等财务指标的影响</w:t>
      </w:r>
    </w:p>
    <w:p>
      <w:pPr>
        <w:pStyle w:val="BodyText"/>
        <w:spacing w:line="240" w:lineRule="auto" w:before="117"/>
        <w:ind w:right="0"/>
        <w:jc w:val="left"/>
      </w:pPr>
      <w:r>
        <w:rPr/>
        <w:t>□ 适用 √ 不适用</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二、证券发行与上市情况</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、报告期末近三年历次证券发行情况</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513" w:right="0"/>
        <w:jc w:val="left"/>
      </w:pPr>
      <w:r>
        <w:rPr/>
        <w:t>报告期末，公司近三年未发生证券发行情况。</w:t>
      </w:r>
    </w:p>
    <w:p>
      <w:pPr>
        <w:spacing w:after="0" w:line="240" w:lineRule="auto"/>
        <w:jc w:val="left"/>
        <w:sectPr>
          <w:pgSz w:w="11910" w:h="16840"/>
          <w:pgMar w:header="745" w:footer="1315" w:top="1060" w:bottom="150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781600" type="#_x0000_t75" stroked="false">
            <v:imagedata r:id="rId13" o:title=""/>
          </v:shape>
        </w:pict>
      </w:r>
    </w:p>
    <w:p>
      <w:pPr>
        <w:spacing w:line="240" w:lineRule="auto" w:before="1"/>
        <w:rPr>
          <w:rFonts w:ascii="宋体" w:hAnsi="宋体" w:cs="宋体" w:eastAsia="宋体" w:hint="default"/>
          <w:sz w:val="24"/>
          <w:szCs w:val="24"/>
        </w:rPr>
      </w:pPr>
    </w:p>
    <w:p>
      <w:pPr>
        <w:pStyle w:val="BodyText"/>
        <w:spacing w:line="240" w:lineRule="auto" w:before="44"/>
        <w:ind w:right="0"/>
        <w:jc w:val="left"/>
      </w:pPr>
      <w:r>
        <w:rPr/>
        <w:t>前三年历次证券发行情况的说明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公司近</w:t>
      </w:r>
      <w:r>
        <w:rPr>
          <w:spacing w:val="-45"/>
        </w:rPr>
        <w:t> </w:t>
      </w:r>
      <w:r>
        <w:rPr>
          <w:rFonts w:ascii="宋体" w:hAnsi="宋体" w:cs="宋体" w:eastAsia="宋体" w:hint="default"/>
        </w:rPr>
        <w:t>3</w:t>
      </w:r>
      <w:r>
        <w:rPr>
          <w:rFonts w:ascii="宋体" w:hAnsi="宋体" w:cs="宋体" w:eastAsia="宋体" w:hint="default"/>
          <w:spacing w:val="-46"/>
        </w:rPr>
        <w:t> </w:t>
      </w:r>
      <w:r>
        <w:rPr/>
        <w:t>年内没有发行股票、可转换债券、分离交易的可转换公司债券，也没发行相关衍生证券。</w:t>
      </w: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r>
        <w:rPr>
          <w:rFonts w:ascii="Arial" w:hAnsi="Arial" w:cs="Arial" w:eastAsia="Arial" w:hint="default"/>
        </w:rPr>
        <w:t>2</w:t>
      </w:r>
      <w:r>
        <w:rPr/>
        <w:t>、公司股份总数及股东结构的变动、公司资产和负债结构的变动情况说明</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报告期内公司无因送股、转增股本、配股、增发新股、非公开发行股票、权证行权、实施股权激励计划、企业合并、可</w:t>
      </w:r>
      <w:r>
        <w:rPr/>
        <w:t> 转换公司债券转股、减资、内部职工股上市、债券发行或其他原因引起公司股份总数及股东结构的变动情况。</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3</w:t>
      </w:r>
      <w:r>
        <w:rPr/>
        <w:t>、现存的内部职工股情况</w:t>
      </w:r>
      <w:r>
        <w:rPr>
          <w:b w:val="0"/>
          <w:bCs w:val="0"/>
        </w:rPr>
      </w:r>
    </w:p>
    <w:p>
      <w:pPr>
        <w:spacing w:line="240" w:lineRule="auto" w:before="10"/>
        <w:rPr>
          <w:rFonts w:ascii="微软雅黑" w:hAnsi="微软雅黑" w:cs="微软雅黑" w:eastAsia="微软雅黑" w:hint="default"/>
          <w:b/>
          <w:bCs/>
          <w:sz w:val="19"/>
          <w:szCs w:val="19"/>
        </w:rPr>
      </w:pPr>
    </w:p>
    <w:p>
      <w:pPr>
        <w:pStyle w:val="BodyText"/>
        <w:spacing w:line="240" w:lineRule="auto"/>
        <w:ind w:left="513" w:right="0"/>
        <w:jc w:val="left"/>
      </w:pPr>
      <w:r>
        <w:rPr/>
        <w:t>报告期内，公司不存在内部职工持股情况。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三、股东和实际控制人情况</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、公司股东数量及持股情况</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069"/>
        <w:gridCol w:w="317"/>
        <w:gridCol w:w="672"/>
        <w:gridCol w:w="509"/>
        <w:gridCol w:w="1008"/>
        <w:gridCol w:w="1080"/>
        <w:gridCol w:w="809"/>
        <w:gridCol w:w="271"/>
        <w:gridCol w:w="1109"/>
      </w:tblGrid>
      <w:tr>
        <w:trPr>
          <w:trHeight w:val="408" w:hRule="exact"/>
        </w:trPr>
        <w:tc>
          <w:tcPr>
            <w:tcW w:w="27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5"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795" w:right="0"/>
              <w:jc w:val="left"/>
              <w:rPr>
                <w:rFonts w:ascii="宋体" w:hAnsi="宋体" w:cs="宋体" w:eastAsia="宋体" w:hint="default"/>
                <w:sz w:val="18"/>
                <w:szCs w:val="18"/>
              </w:rPr>
            </w:pPr>
            <w:r>
              <w:rPr>
                <w:rFonts w:ascii="宋体"/>
                <w:sz w:val="18"/>
              </w:rPr>
              <w:t>33,934</w:t>
            </w:r>
          </w:p>
        </w:tc>
        <w:tc>
          <w:tcPr>
            <w:tcW w:w="40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796" w:right="0"/>
              <w:jc w:val="left"/>
              <w:rPr>
                <w:rFonts w:ascii="宋体" w:hAnsi="宋体" w:cs="宋体" w:eastAsia="宋体" w:hint="default"/>
                <w:sz w:val="18"/>
                <w:szCs w:val="18"/>
              </w:rPr>
            </w:pPr>
            <w:r>
              <w:rPr>
                <w:rFonts w:ascii="宋体"/>
                <w:sz w:val="18"/>
              </w:rPr>
              <w:t>32,850</w:t>
            </w:r>
          </w:p>
        </w:tc>
      </w:tr>
      <w:tr>
        <w:trPr>
          <w:trHeight w:val="39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365"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FFFFFF"/>
            </w:tcBorders>
            <w:shd w:val="clear" w:color="auto" w:fill="D2D2D2"/>
          </w:tcPr>
          <w:p>
            <w:pPr/>
          </w:p>
        </w:tc>
        <w:tc>
          <w:tcPr>
            <w:tcW w:w="989" w:type="dxa"/>
            <w:gridSpan w:val="2"/>
            <w:vMerge w:val="restart"/>
            <w:tcBorders>
              <w:top w:val="single" w:sz="4" w:space="0" w:color="000000"/>
              <w:left w:val="single" w:sz="4" w:space="0" w:color="FFFFFF"/>
              <w:right w:val="single" w:sz="4" w:space="0" w:color="000000"/>
            </w:tcBorders>
            <w:shd w:val="clear" w:color="auto" w:fill="D2D2D2"/>
          </w:tcPr>
          <w:p>
            <w:pP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9" w:right="69"/>
              <w:jc w:val="both"/>
              <w:rPr>
                <w:rFonts w:ascii="宋体" w:hAnsi="宋体" w:cs="宋体" w:eastAsia="宋体" w:hint="default"/>
                <w:sz w:val="18"/>
                <w:szCs w:val="18"/>
              </w:rPr>
            </w:pPr>
            <w:r>
              <w:rPr>
                <w:rFonts w:ascii="宋体" w:hAnsi="宋体" w:cs="宋体" w:eastAsia="宋体" w:hint="default"/>
                <w:sz w:val="18"/>
                <w:szCs w:val="18"/>
              </w:rPr>
              <w:t>报告 期内 增减 变动 情况</w:t>
            </w: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13" w:hRule="exact"/>
        </w:trPr>
        <w:tc>
          <w:tcPr>
            <w:tcW w:w="136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right w:val="single" w:sz="4" w:space="0" w:color="FFFFFF"/>
            </w:tcBorders>
            <w:shd w:val="clear" w:color="auto" w:fill="D2D2D2"/>
          </w:tcPr>
          <w:p>
            <w:pPr/>
          </w:p>
        </w:tc>
        <w:tc>
          <w:tcPr>
            <w:tcW w:w="989" w:type="dxa"/>
            <w:gridSpan w:val="2"/>
            <w:vMerge/>
            <w:tcBorders>
              <w:left w:val="single" w:sz="4" w:space="0" w:color="FFFFFF"/>
              <w:bottom w:val="nil" w:sz="6" w:space="0" w:color="auto"/>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
              <w:ind w:left="50" w:right="47"/>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
              <w:ind w:left="86" w:right="8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081" w:type="dxa"/>
            <w:gridSpan w:val="2"/>
            <w:vMerge w:val="restart"/>
            <w:tcBorders>
              <w:top w:val="single" w:sz="4" w:space="0" w:color="000000"/>
              <w:left w:val="single" w:sz="4" w:space="0" w:color="000000"/>
              <w:right w:val="single" w:sz="4" w:space="0" w:color="000000"/>
            </w:tcBorders>
            <w:shd w:val="clear" w:color="auto" w:fill="D2D2D2"/>
          </w:tcPr>
          <w:p>
            <w:pPr/>
          </w:p>
        </w:tc>
        <w:tc>
          <w:tcPr>
            <w:tcW w:w="1109"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FFFFFF"/>
            </w:tcBorders>
            <w:shd w:val="clear" w:color="auto" w:fill="D2D2D2"/>
          </w:tcPr>
          <w:p>
            <w:pPr/>
          </w:p>
        </w:tc>
        <w:tc>
          <w:tcPr>
            <w:tcW w:w="989" w:type="dxa"/>
            <w:gridSpan w:val="2"/>
            <w:vMerge w:val="restart"/>
            <w:tcBorders>
              <w:top w:val="nil" w:sz="6" w:space="0" w:color="auto"/>
              <w:left w:val="single" w:sz="4" w:space="0" w:color="FFFFFF"/>
              <w:right w:val="single" w:sz="4" w:space="0" w:color="000000"/>
            </w:tcBorders>
            <w:shd w:val="clear" w:color="auto" w:fill="D2D2D2"/>
          </w:tcPr>
          <w:p>
            <w:pPr>
              <w:pStyle w:val="TableParagraph"/>
              <w:spacing w:line="196" w:lineRule="exact" w:before="49"/>
              <w:ind w:left="2" w:right="0"/>
              <w:jc w:val="center"/>
              <w:rPr>
                <w:rFonts w:ascii="宋体" w:hAnsi="宋体" w:cs="宋体" w:eastAsia="宋体" w:hint="default"/>
                <w:sz w:val="18"/>
                <w:szCs w:val="18"/>
              </w:rPr>
            </w:pPr>
            <w:r>
              <w:rPr>
                <w:rFonts w:ascii="宋体" w:hAnsi="宋体" w:cs="宋体" w:eastAsia="宋体" w:hint="default"/>
                <w:sz w:val="18"/>
                <w:szCs w:val="18"/>
              </w:rPr>
              <w:t>报告期末持</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9" w:lineRule="exact"/>
              <w:ind w:left="2" w:right="0"/>
              <w:jc w:val="center"/>
              <w:rPr>
                <w:rFonts w:ascii="宋体" w:hAnsi="宋体" w:cs="宋体" w:eastAsia="宋体" w:hint="default"/>
                <w:sz w:val="18"/>
                <w:szCs w:val="18"/>
              </w:rPr>
            </w:pPr>
            <w:r>
              <w:rPr>
                <w:rFonts w:ascii="宋体" w:hAnsi="宋体" w:cs="宋体" w:eastAsia="宋体" w:hint="default"/>
                <w:sz w:val="18"/>
                <w:szCs w:val="18"/>
              </w:rPr>
              <w:t>股数量</w:t>
            </w:r>
          </w:p>
        </w:tc>
        <w:tc>
          <w:tcPr>
            <w:tcW w:w="509"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081" w:type="dxa"/>
            <w:gridSpan w:val="2"/>
            <w:vMerge/>
            <w:tcBorders>
              <w:left w:val="single" w:sz="4" w:space="0" w:color="000000"/>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r>
      <w:tr>
        <w:trPr>
          <w:trHeight w:val="20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69"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75"/>
                <w:sz w:val="18"/>
                <w:szCs w:val="18"/>
              </w:rPr>
              <w:t>例</w:t>
            </w:r>
            <w:r>
              <w:rPr>
                <w:rFonts w:ascii="宋体" w:hAnsi="宋体" w:cs="宋体" w:eastAsia="宋体" w:hint="default"/>
                <w:spacing w:val="2"/>
                <w:sz w:val="18"/>
                <w:szCs w:val="18"/>
              </w:rPr>
              <w:t>（</w:t>
            </w:r>
            <w:r>
              <w:rPr>
                <w:rFonts w:ascii="宋体" w:hAnsi="宋体" w:cs="宋体" w:eastAsia="宋体" w:hint="default"/>
                <w:sz w:val="18"/>
                <w:szCs w:val="18"/>
              </w:rPr>
              <w:t>%</w:t>
            </w:r>
          </w:p>
        </w:tc>
        <w:tc>
          <w:tcPr>
            <w:tcW w:w="989" w:type="dxa"/>
            <w:gridSpan w:val="2"/>
            <w:vMerge/>
            <w:tcBorders>
              <w:left w:val="single" w:sz="4" w:space="0" w:color="FFFFFF"/>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081" w:type="dxa"/>
            <w:gridSpan w:val="2"/>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FFFFFF"/>
            </w:tcBorders>
            <w:shd w:val="clear" w:color="auto" w:fill="D2D2D2"/>
          </w:tcPr>
          <w:p>
            <w:pPr/>
          </w:p>
        </w:tc>
        <w:tc>
          <w:tcPr>
            <w:tcW w:w="989" w:type="dxa"/>
            <w:gridSpan w:val="2"/>
            <w:vMerge/>
            <w:tcBorders>
              <w:left w:val="single" w:sz="4" w:space="0" w:color="FFFFFF"/>
              <w:bottom w:val="nil" w:sz="6" w:space="0" w:color="auto"/>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0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FFFFFF"/>
            </w:tcBorders>
            <w:shd w:val="clear" w:color="auto" w:fill="D2D2D2"/>
          </w:tcPr>
          <w:p>
            <w:pPr/>
          </w:p>
        </w:tc>
        <w:tc>
          <w:tcPr>
            <w:tcW w:w="317" w:type="dxa"/>
            <w:tcBorders>
              <w:top w:val="nil" w:sz="6" w:space="0" w:color="auto"/>
              <w:left w:val="single" w:sz="4" w:space="0" w:color="FFFFFF"/>
              <w:bottom w:val="nil" w:sz="6" w:space="0" w:color="auto"/>
              <w:right w:val="nil" w:sz="6" w:space="0" w:color="auto"/>
            </w:tcBorders>
            <w:shd w:val="clear" w:color="auto" w:fill="D2D2D2"/>
          </w:tcPr>
          <w:p>
            <w:pPr/>
          </w:p>
        </w:tc>
        <w:tc>
          <w:tcPr>
            <w:tcW w:w="672" w:type="dxa"/>
            <w:tcBorders>
              <w:top w:val="nil" w:sz="6" w:space="0" w:color="auto"/>
              <w:left w:val="single" w:sz="4" w:space="0" w:color="FFFFFF"/>
              <w:bottom w:val="nil" w:sz="6" w:space="0" w:color="auto"/>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081" w:type="dxa"/>
            <w:gridSpan w:val="2"/>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136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right w:val="single" w:sz="4" w:space="0" w:color="FFFFFF"/>
            </w:tcBorders>
            <w:shd w:val="clear" w:color="auto" w:fill="D2D2D2"/>
          </w:tcPr>
          <w:p>
            <w:pPr/>
          </w:p>
        </w:tc>
        <w:tc>
          <w:tcPr>
            <w:tcW w:w="989" w:type="dxa"/>
            <w:gridSpan w:val="2"/>
            <w:vMerge w:val="restart"/>
            <w:tcBorders>
              <w:top w:val="nil" w:sz="6" w:space="0" w:color="auto"/>
              <w:left w:val="single" w:sz="4" w:space="0" w:color="FFFFFF"/>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1081" w:type="dxa"/>
            <w:gridSpan w:val="2"/>
            <w:vMerge w:val="restart"/>
            <w:tcBorders>
              <w:top w:val="nil" w:sz="6" w:space="0" w:color="auto"/>
              <w:left w:val="single" w:sz="4" w:space="0" w:color="000000"/>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
        </w:tc>
      </w:tr>
      <w:tr>
        <w:trPr>
          <w:trHeight w:val="317"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FFFFFF"/>
            </w:tcBorders>
            <w:shd w:val="clear" w:color="auto" w:fill="D2D2D2"/>
          </w:tcPr>
          <w:p>
            <w:pPr/>
          </w:p>
        </w:tc>
        <w:tc>
          <w:tcPr>
            <w:tcW w:w="989" w:type="dxa"/>
            <w:gridSpan w:val="2"/>
            <w:vMerge/>
            <w:tcBorders>
              <w:left w:val="single" w:sz="4" w:space="0" w:color="FFFFFF"/>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gridSpan w:val="2"/>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21.88%</w:t>
            </w:r>
          </w:p>
        </w:tc>
        <w:tc>
          <w:tcPr>
            <w:tcW w:w="98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78,306,968</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78,306,968</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质押、冻结</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78,306,968</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深圳市宝安区投 资管理有限公司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0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7.34%</w:t>
            </w:r>
          </w:p>
        </w:tc>
        <w:tc>
          <w:tcPr>
            <w:tcW w:w="98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26,261,759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26,261,759</w:t>
            </w:r>
          </w:p>
        </w:tc>
        <w:tc>
          <w:tcPr>
            <w:tcW w:w="1081" w:type="dxa"/>
            <w:gridSpan w:val="2"/>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重庆润江基础设 施投资有限公司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5.53%</w:t>
            </w:r>
          </w:p>
        </w:tc>
        <w:tc>
          <w:tcPr>
            <w:tcW w:w="98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19,783,695</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19,783,695</w:t>
            </w:r>
          </w:p>
        </w:tc>
        <w:tc>
          <w:tcPr>
            <w:tcW w:w="1081" w:type="dxa"/>
            <w:gridSpan w:val="2"/>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华润深国投信托 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0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w:t>
            </w:r>
          </w:p>
        </w:tc>
        <w:tc>
          <w:tcPr>
            <w:tcW w:w="98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17,901,671</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17,901,671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17,901,671</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中国农业银行深 圳红岭北路支行</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1.19%</w:t>
            </w:r>
          </w:p>
        </w:tc>
        <w:tc>
          <w:tcPr>
            <w:tcW w:w="98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4,246,817</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gridSpan w:val="2"/>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叶柱光</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0.69%</w:t>
            </w:r>
          </w:p>
        </w:tc>
        <w:tc>
          <w:tcPr>
            <w:tcW w:w="98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146" w:right="0"/>
              <w:jc w:val="left"/>
              <w:rPr>
                <w:rFonts w:ascii="宋体" w:hAnsi="宋体" w:cs="宋体" w:eastAsia="宋体" w:hint="default"/>
                <w:sz w:val="18"/>
                <w:szCs w:val="18"/>
              </w:rPr>
            </w:pPr>
            <w:r>
              <w:rPr>
                <w:rFonts w:ascii="宋体"/>
                <w:sz w:val="18"/>
              </w:rPr>
              <w:t>2,455,451</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gridSpan w:val="2"/>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深圳市深航投资 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0.61%</w:t>
            </w:r>
          </w:p>
        </w:tc>
        <w:tc>
          <w:tcPr>
            <w:tcW w:w="98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2,170,000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gridSpan w:val="2"/>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深圳市海王健康 连锁店有限公司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0.51%</w:t>
            </w:r>
          </w:p>
        </w:tc>
        <w:tc>
          <w:tcPr>
            <w:tcW w:w="98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1,819,143</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1,819,143</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1,819,143</w:t>
            </w:r>
          </w:p>
        </w:tc>
      </w:tr>
    </w:tbl>
    <w:p>
      <w:pPr>
        <w:spacing w:after="0" w:line="240" w:lineRule="auto"/>
        <w:jc w:val="right"/>
        <w:rPr>
          <w:rFonts w:ascii="宋体" w:hAnsi="宋体" w:cs="宋体" w:eastAsia="宋体" w:hint="default"/>
          <w:sz w:val="18"/>
          <w:szCs w:val="18"/>
        </w:rPr>
        <w:sectPr>
          <w:footerReference w:type="default" r:id="rId16"/>
          <w:pgSz w:w="11910" w:h="16840"/>
          <w:pgMar w:footer="980" w:header="745" w:top="1060" w:bottom="1160" w:left="980" w:right="0"/>
          <w:pgNumType w:start="28"/>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456" type="#_x0000_t75" stroked="false">
            <v:imagedata r:id="rId13" o:title=""/>
          </v:shape>
        </w:pict>
      </w:r>
    </w:p>
    <w:tbl>
      <w:tblPr>
        <w:tblW w:w="0" w:type="auto"/>
        <w:jc w:val="left"/>
        <w:tblInd w:w="148" w:type="dxa"/>
        <w:tblLayout w:type="fixed"/>
        <w:tblCellMar>
          <w:top w:w="0" w:type="dxa"/>
          <w:left w:w="0" w:type="dxa"/>
          <w:bottom w:w="0" w:type="dxa"/>
          <w:right w:w="0" w:type="dxa"/>
        </w:tblCellMar>
        <w:tblLook w:val="01E0"/>
      </w:tblPr>
      <w:tblGrid>
        <w:gridCol w:w="1364"/>
        <w:gridCol w:w="1369"/>
        <w:gridCol w:w="1063"/>
        <w:gridCol w:w="989"/>
        <w:gridCol w:w="509"/>
        <w:gridCol w:w="1008"/>
        <w:gridCol w:w="533"/>
        <w:gridCol w:w="547"/>
        <w:gridCol w:w="821"/>
        <w:gridCol w:w="259"/>
        <w:gridCol w:w="1109"/>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深圳市深国投实 业发展有限公司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0.47%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1,687,349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1081" w:type="dxa"/>
            <w:gridSpan w:val="2"/>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中国宝安集团股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0.43%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154,399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1081" w:type="dxa"/>
            <w:gridSpan w:val="2"/>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27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39" w:type="dxa"/>
            <w:gridSpan w:val="9"/>
            <w:vMerge w:val="restart"/>
            <w:tcBorders>
              <w:top w:val="single" w:sz="4" w:space="0" w:color="000000"/>
              <w:left w:val="single" w:sz="10" w:space="0" w:color="D2D2D2"/>
              <w:right w:val="single" w:sz="4" w:space="0" w:color="000000"/>
            </w:tcBorders>
          </w:tcPr>
          <w:p>
            <w:pPr>
              <w:pStyle w:val="TableParagraph"/>
              <w:spacing w:line="316" w:lineRule="auto" w:before="49"/>
              <w:ind w:left="16" w:right="20"/>
              <w:jc w:val="both"/>
              <w:rPr>
                <w:rFonts w:ascii="宋体" w:hAnsi="宋体" w:cs="宋体" w:eastAsia="宋体" w:hint="default"/>
                <w:sz w:val="18"/>
                <w:szCs w:val="18"/>
              </w:rPr>
            </w:pPr>
            <w:r>
              <w:rPr>
                <w:rFonts w:ascii="宋体" w:hAnsi="宋体" w:cs="宋体" w:eastAsia="宋体" w:hint="default"/>
                <w:spacing w:val="-2"/>
                <w:sz w:val="18"/>
                <w:szCs w:val="18"/>
              </w:rPr>
              <w:t>上述股东中，公司第一大股东与其他股东之间不存在关联关系，也不属于《上市公司股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东持股变动信息披露管理办法》规定的一致行动人。华润深国投信托有限公司和深圳市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深国投实业发展有限公司之间存在关联关系，深圳市宝安区投资管理有限公司和中国宝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安集团股份有限公司之间存在关联关系。其他股东之间的关联关系不详，也未知其之间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是否属于《上市公司股东持股变动信息披露管理办法》规定的一致行动人。</w:t>
            </w:r>
          </w:p>
        </w:tc>
      </w:tr>
      <w:tr>
        <w:trPr>
          <w:trHeight w:val="703" w:hRule="exact"/>
        </w:trPr>
        <w:tc>
          <w:tcPr>
            <w:tcW w:w="273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39" w:type="dxa"/>
            <w:gridSpan w:val="9"/>
            <w:vMerge/>
            <w:tcBorders>
              <w:left w:val="single" w:sz="10" w:space="0" w:color="D2D2D2"/>
              <w:right w:val="single" w:sz="4" w:space="0" w:color="000000"/>
            </w:tcBorders>
          </w:tcPr>
          <w:p>
            <w:pPr/>
          </w:p>
        </w:tc>
      </w:tr>
      <w:tr>
        <w:trPr>
          <w:trHeight w:val="474" w:hRule="exact"/>
        </w:trPr>
        <w:tc>
          <w:tcPr>
            <w:tcW w:w="27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39" w:type="dxa"/>
            <w:gridSpan w:val="9"/>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6" w:hRule="exact"/>
        </w:trPr>
        <w:tc>
          <w:tcPr>
            <w:tcW w:w="27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37"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2" w:type="dxa"/>
            <w:gridSpan w:val="2"/>
            <w:vMerge/>
            <w:tcBorders>
              <w:left w:val="single" w:sz="4" w:space="0" w:color="000000"/>
              <w:bottom w:val="nil" w:sz="6" w:space="0" w:color="auto"/>
              <w:right w:val="single" w:sz="4" w:space="0" w:color="000000"/>
            </w:tcBorders>
            <w:shd w:val="clear" w:color="auto" w:fill="D2D2D2"/>
          </w:tcPr>
          <w:p>
            <w:pPr/>
          </w:p>
        </w:tc>
        <w:tc>
          <w:tcPr>
            <w:tcW w:w="4102" w:type="dxa"/>
            <w:gridSpan w:val="5"/>
            <w:vMerge/>
            <w:tcBorders>
              <w:left w:val="single" w:sz="4" w:space="0" w:color="000000"/>
              <w:bottom w:val="nil" w:sz="6" w:space="0" w:color="auto"/>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78,306,968</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sz w:val="18"/>
              </w:rPr>
              <w:t>78,306,968</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深圳市宝安区投资管理有限公司</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26,261,759</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sz w:val="18"/>
              </w:rPr>
              <w:t>26,261,759</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重庆润江基础设施投资有限公司</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19,783,695</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sz w:val="18"/>
              </w:rPr>
              <w:t>19,783,695</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中国农业银行深圳红岭北路支行</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4,246,817</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sz w:val="18"/>
              </w:rPr>
              <w:t>4,246,817</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叶柱光</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2,455,451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5" w:right="0"/>
              <w:jc w:val="left"/>
              <w:rPr>
                <w:rFonts w:ascii="宋体" w:hAnsi="宋体" w:cs="宋体" w:eastAsia="宋体" w:hint="default"/>
                <w:sz w:val="18"/>
                <w:szCs w:val="18"/>
              </w:rPr>
            </w:pPr>
            <w:r>
              <w:rPr>
                <w:rFonts w:ascii="宋体"/>
                <w:sz w:val="18"/>
              </w:rPr>
              <w:t>2,455,451</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深圳市深航投资有限公司</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2,170,000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sz w:val="18"/>
              </w:rPr>
              <w:t>2,170,000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深圳市海王健康连锁店有限公司</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1,819,143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5" w:right="0"/>
              <w:jc w:val="left"/>
              <w:rPr>
                <w:rFonts w:ascii="宋体" w:hAnsi="宋体" w:cs="宋体" w:eastAsia="宋体" w:hint="default"/>
                <w:sz w:val="18"/>
                <w:szCs w:val="18"/>
              </w:rPr>
            </w:pPr>
            <w:r>
              <w:rPr>
                <w:rFonts w:ascii="宋体"/>
                <w:sz w:val="18"/>
              </w:rPr>
              <w:t>1,819,143</w:t>
            </w: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深圳市深国投实业发展有限公司</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1,687,349</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sz w:val="18"/>
              </w:rPr>
              <w:t>1,687,349</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1,543,993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5" w:right="0"/>
              <w:jc w:val="left"/>
              <w:rPr>
                <w:rFonts w:ascii="宋体" w:hAnsi="宋体" w:cs="宋体" w:eastAsia="宋体" w:hint="default"/>
                <w:sz w:val="18"/>
                <w:szCs w:val="18"/>
              </w:rPr>
            </w:pPr>
            <w:r>
              <w:rPr>
                <w:rFonts w:ascii="宋体"/>
                <w:sz w:val="18"/>
              </w:rPr>
              <w:t>1,543,993</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重庆国际信托有限公司－新泉结 构化证券投资集合资金信托计划</w:t>
            </w:r>
          </w:p>
        </w:tc>
        <w:tc>
          <w:tcPr>
            <w:tcW w:w="4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1,167,600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sz w:val="18"/>
              </w:rPr>
              <w:t>1,167,600</w:t>
            </w:r>
          </w:p>
        </w:tc>
      </w:tr>
      <w:tr>
        <w:trPr>
          <w:trHeight w:val="1339"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w:t>
            </w:r>
          </w:p>
          <w:p>
            <w:pPr>
              <w:pStyle w:val="TableParagraph"/>
              <w:spacing w:line="316" w:lineRule="auto" w:before="76"/>
              <w:ind w:left="24"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名股东之间关联关系或一致 行动的说明</w:t>
            </w:r>
          </w:p>
        </w:tc>
        <w:tc>
          <w:tcPr>
            <w:tcW w:w="683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firstLine="360"/>
              <w:jc w:val="both"/>
              <w:rPr>
                <w:rFonts w:ascii="宋体" w:hAnsi="宋体" w:cs="宋体" w:eastAsia="宋体" w:hint="default"/>
                <w:sz w:val="18"/>
                <w:szCs w:val="18"/>
              </w:rPr>
            </w:pPr>
            <w:r>
              <w:rPr>
                <w:rFonts w:ascii="宋体" w:hAnsi="宋体" w:cs="宋体" w:eastAsia="宋体" w:hint="default"/>
                <w:spacing w:val="-2"/>
                <w:sz w:val="18"/>
                <w:szCs w:val="18"/>
              </w:rPr>
              <w:t>上述股东中，公司第一大股东与其他股东之间不存在关联关系，也不属于《上市公</w:t>
            </w:r>
            <w:r>
              <w:rPr>
                <w:rFonts w:ascii="宋体" w:hAnsi="宋体" w:cs="宋体" w:eastAsia="宋体" w:hint="default"/>
                <w:sz w:val="18"/>
                <w:szCs w:val="18"/>
              </w:rPr>
              <w:t> </w:t>
            </w:r>
            <w:r>
              <w:rPr>
                <w:rFonts w:ascii="宋体" w:hAnsi="宋体" w:cs="宋体" w:eastAsia="宋体" w:hint="default"/>
                <w:spacing w:val="-2"/>
                <w:sz w:val="18"/>
                <w:szCs w:val="18"/>
              </w:rPr>
              <w:t>司股东持股变动信息披露管理办法》规定的一致行动人。深圳市宝安区投资管理有限公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司和中国宝安集团股份有限公司之间存在关联关系。其他股东之间的关联关系不详，也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未知其之间是否属于《上市公司股东持股变动信息披露管理办法》规定的一致行动人。</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2</w:t>
      </w:r>
      <w:r>
        <w:rPr/>
        <w:t>、公司控股股东情况</w:t>
      </w:r>
      <w:r>
        <w:rPr>
          <w:b w:val="0"/>
          <w:bCs w:val="0"/>
        </w:rPr>
      </w:r>
    </w:p>
    <w:p>
      <w:pPr>
        <w:spacing w:line="240" w:lineRule="auto" w:before="5"/>
        <w:rPr>
          <w:rFonts w:ascii="微软雅黑" w:hAnsi="微软雅黑" w:cs="微软雅黑" w:eastAsia="微软雅黑" w:hint="default"/>
          <w:b/>
          <w:bCs/>
          <w:sz w:val="19"/>
          <w:szCs w:val="19"/>
        </w:rPr>
      </w:pPr>
    </w:p>
    <w:p>
      <w:pPr>
        <w:pStyle w:val="BodyText"/>
        <w:spacing w:line="240" w:lineRule="auto"/>
        <w:ind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1137"/>
        <w:jc w:val="right"/>
      </w:pPr>
      <w:r>
        <w:rPr/>
        <w:pict>
          <v:shape style="position:absolute;margin-left:56.400002pt;margin-top:-36.488281pt;width:479.15pt;height:132.2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5"/>
                    <w:gridCol w:w="888"/>
                    <w:gridCol w:w="1296"/>
                    <w:gridCol w:w="1498"/>
                    <w:gridCol w:w="2609"/>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42"/>
                          <w:jc w:val="righ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44"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2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525"/>
                          <w:jc w:val="righ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1987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sz w:val="18"/>
                          </w:rPr>
                          <w:t>10203160-9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10,037</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4"/>
                            <w:sz w:val="18"/>
                            <w:szCs w:val="18"/>
                          </w:rPr>
                          <w:t>高新技术、新工艺、新产品开发</w:t>
                        </w:r>
                        <w:r>
                          <w:rPr>
                            <w:rFonts w:ascii="宋体" w:hAnsi="宋体" w:cs="宋体" w:eastAsia="宋体" w:hint="default"/>
                            <w:sz w:val="18"/>
                            <w:szCs w:val="18"/>
                          </w:rPr>
                          <w:t> 生产、销售；化工原材料（危险 </w:t>
                        </w:r>
                        <w:r>
                          <w:rPr>
                            <w:rFonts w:ascii="宋体" w:hAnsi="宋体" w:cs="宋体" w:eastAsia="宋体" w:hint="default"/>
                            <w:spacing w:val="-10"/>
                            <w:sz w:val="18"/>
                            <w:szCs w:val="18"/>
                          </w:rPr>
                          <w:t>品除外）、建筑材料、计算机软硬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件、电子电器设备、有线通讯设 备、机械设备、家用电器开发、 生产、销售；装饰装修工程；百</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6"/>
          <w:szCs w:val="26"/>
        </w:rPr>
      </w:pPr>
      <w:r>
        <w:rPr/>
        <w:pict>
          <v:shape style="position:absolute;margin-left:460.320007pt;margin-top:764.919983pt;width:135.0pt;height:77pt;mso-position-horizontal-relative:page;mso-position-vertical-relative:page;z-index:1504" type="#_x0000_t75" stroked="false">
            <v:imagedata r:id="rId13" o:title=""/>
          </v:shape>
        </w:pict>
      </w:r>
    </w:p>
    <w:p>
      <w:pPr>
        <w:pStyle w:val="BodyText"/>
        <w:spacing w:line="240" w:lineRule="auto" w:before="44"/>
        <w:ind w:left="0" w:right="1136"/>
        <w:jc w:val="right"/>
      </w:pPr>
      <w:r>
        <w:rPr/>
        <w:pict>
          <v:shape style="position:absolute;margin-left:56.400002pt;margin-top:1.311738pt;width:479.15pt;height:69.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5"/>
                    <w:gridCol w:w="888"/>
                    <w:gridCol w:w="1296"/>
                    <w:gridCol w:w="1498"/>
                    <w:gridCol w:w="2609"/>
                  </w:tblGrid>
                  <w:tr>
                    <w:trPr>
                      <w:trHeight w:val="675" w:hRule="exact"/>
                    </w:trPr>
                    <w:tc>
                      <w:tcPr>
                        <w:tcW w:w="218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9"/>
                          <w:jc w:val="left"/>
                          <w:rPr>
                            <w:rFonts w:ascii="宋体" w:hAnsi="宋体" w:cs="宋体" w:eastAsia="宋体" w:hint="default"/>
                            <w:sz w:val="18"/>
                            <w:szCs w:val="18"/>
                          </w:rPr>
                        </w:pPr>
                        <w:r>
                          <w:rPr>
                            <w:rFonts w:ascii="宋体" w:hAnsi="宋体" w:cs="宋体" w:eastAsia="宋体" w:hint="default"/>
                            <w:spacing w:val="-4"/>
                            <w:sz w:val="18"/>
                            <w:szCs w:val="18"/>
                          </w:rPr>
                          <w:t>货的销售；上述范围的项目承包</w:t>
                        </w:r>
                        <w:r>
                          <w:rPr>
                            <w:rFonts w:ascii="宋体" w:hAnsi="宋体" w:cs="宋体" w:eastAsia="宋体" w:hint="default"/>
                            <w:sz w:val="18"/>
                            <w:szCs w:val="18"/>
                          </w:rPr>
                          <w:t> 技术咨询、信息咨询。</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希格玛公司 </w:t>
                        </w: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年度的审计工作尚未完成。未来发展战略：中国希格玛有限公司秉承稳健发 展的一贯原则，在房地产开发、物业管理、高新技术、金融、文化产业继续稳步发展。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right="0"/>
        <w:jc w:val="left"/>
      </w:pPr>
      <w:r>
        <w:rPr/>
        <w:t>报告期控股股东变更</w:t>
      </w:r>
    </w:p>
    <w:p>
      <w:pPr>
        <w:pStyle w:val="BodyText"/>
        <w:spacing w:line="240" w:lineRule="auto" w:before="117"/>
        <w:ind w:right="0"/>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w:t>
      </w:r>
      <w:r>
        <w:rPr/>
        <w:t>、公司实际控制人情况</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自然人</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1993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月至今，王晓岩先生担任中国希格玛有限公司董事长、总裁，北京东</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方太阳城房地产开发有限责任公司董事长。</w:t>
            </w:r>
            <w:r>
              <w:rPr>
                <w:rFonts w:ascii="宋体" w:hAnsi="宋体" w:cs="宋体" w:eastAsia="宋体" w:hint="default"/>
                <w:sz w:val="18"/>
                <w:szCs w:val="18"/>
              </w:rPr>
              <w:t>2008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27</w:t>
            </w:r>
            <w:r>
              <w:rPr>
                <w:rFonts w:ascii="宋体" w:hAnsi="宋体" w:cs="宋体" w:eastAsia="宋体" w:hint="default"/>
                <w:spacing w:val="-53"/>
                <w:sz w:val="18"/>
                <w:szCs w:val="18"/>
              </w:rPr>
              <w:t> </w:t>
            </w:r>
            <w:r>
              <w:rPr>
                <w:rFonts w:ascii="宋体" w:hAnsi="宋体" w:cs="宋体" w:eastAsia="宋体" w:hint="default"/>
                <w:spacing w:val="-5"/>
                <w:sz w:val="18"/>
                <w:szCs w:val="18"/>
              </w:rPr>
              <w:t>日至今，担任深圳市</w:t>
            </w:r>
            <w:r>
              <w:rPr>
                <w:rFonts w:ascii="宋体" w:hAnsi="宋体" w:cs="宋体" w:eastAsia="宋体" w:hint="default"/>
                <w:sz w:val="18"/>
                <w:szCs w:val="18"/>
              </w:rPr>
              <w:t> 深信泰丰（集团）股份有限公司董事。</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报告期实际控制人变更</w:t>
      </w:r>
    </w:p>
    <w:p>
      <w:pPr>
        <w:pStyle w:val="BodyText"/>
        <w:spacing w:line="357" w:lineRule="auto" w:before="117"/>
        <w:ind w:right="6794"/>
        <w:jc w:val="left"/>
      </w:pPr>
      <w:r>
        <w:rPr/>
        <w:t>□ 适用 √ 不适用 公司与实际控制人之间的产权及控制关系的方框图</w:t>
      </w:r>
    </w:p>
    <w:p>
      <w:pPr>
        <w:spacing w:line="240" w:lineRule="auto" w:before="1"/>
        <w:rPr>
          <w:rFonts w:ascii="宋体" w:hAnsi="宋体" w:cs="宋体" w:eastAsia="宋体" w:hint="default"/>
          <w:sz w:val="21"/>
          <w:szCs w:val="21"/>
        </w:rPr>
      </w:pPr>
    </w:p>
    <w:p>
      <w:pPr>
        <w:spacing w:line="4797" w:lineRule="exact"/>
        <w:ind w:left="515"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5656852" cy="304609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7" cstate="print"/>
                    <a:stretch>
                      <a:fillRect/>
                    </a:stretch>
                  </pic:blipFill>
                  <pic:spPr>
                    <a:xfrm>
                      <a:off x="0" y="0"/>
                      <a:ext cx="5656852" cy="3046095"/>
                    </a:xfrm>
                    <a:prstGeom prst="rect">
                      <a:avLst/>
                    </a:prstGeom>
                  </pic:spPr>
                </pic:pic>
              </a:graphicData>
            </a:graphic>
          </wp:inline>
        </w:drawing>
      </w:r>
      <w:r>
        <w:rPr>
          <w:rFonts w:ascii="宋体" w:hAnsi="宋体" w:cs="宋体" w:eastAsia="宋体" w:hint="default"/>
          <w:position w:val="-95"/>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0"/>
        <w:jc w:val="left"/>
      </w:pPr>
      <w:r>
        <w:rPr/>
        <w:t>□ 适用 √ 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w w:val="95"/>
        </w:rPr>
        <w:t>4</w:t>
      </w:r>
      <w:r>
        <w:rPr>
          <w:w w:val="95"/>
        </w:rPr>
        <w:t>、其他持股在</w:t>
      </w:r>
      <w:r>
        <w:rPr>
          <w:spacing w:val="54"/>
          <w:w w:val="95"/>
        </w:rPr>
        <w:t> </w:t>
      </w:r>
      <w:r>
        <w:rPr>
          <w:rFonts w:ascii="Arial" w:hAnsi="Arial" w:cs="Arial" w:eastAsia="Arial" w:hint="default"/>
          <w:w w:val="95"/>
        </w:rPr>
        <w:t>10%</w:t>
      </w:r>
      <w:r>
        <w:rPr>
          <w:w w:val="95"/>
        </w:rPr>
        <w:t>以上的法人股东</w:t>
      </w:r>
      <w:r>
        <w:rPr>
          <w:b w:val="0"/>
          <w:bCs w:val="0"/>
          <w:w w:val="95"/>
        </w:rPr>
      </w:r>
    </w:p>
    <w:p>
      <w:pPr>
        <w:spacing w:line="240" w:lineRule="auto" w:before="9"/>
        <w:rPr>
          <w:rFonts w:ascii="微软雅黑" w:hAnsi="微软雅黑" w:cs="微软雅黑" w:eastAsia="微软雅黑" w:hint="default"/>
          <w:b/>
          <w:bCs/>
          <w:sz w:val="19"/>
          <w:szCs w:val="19"/>
        </w:rPr>
      </w:pPr>
    </w:p>
    <w:p>
      <w:pPr>
        <w:pStyle w:val="BodyText"/>
        <w:spacing w:line="240" w:lineRule="auto"/>
        <w:ind w:left="513" w:right="0"/>
        <w:jc w:val="left"/>
      </w:pPr>
      <w:r>
        <w:rPr/>
        <w:t>报告期内，公司不存在其他持股在</w:t>
      </w:r>
      <w:r>
        <w:rPr>
          <w:spacing w:val="-47"/>
        </w:rPr>
        <w:t> </w:t>
      </w:r>
      <w:r>
        <w:rPr>
          <w:rFonts w:ascii="宋体" w:hAnsi="宋体" w:cs="宋体" w:eastAsia="宋体" w:hint="default"/>
        </w:rPr>
        <w:t>10%</w:t>
      </w:r>
      <w:r>
        <w:rPr/>
        <w:t>以上的法人股东。</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9"/>
        <w:rPr>
          <w:rFonts w:ascii="微软雅黑" w:hAnsi="微软雅黑" w:cs="微软雅黑" w:eastAsia="微软雅黑" w:hint="default"/>
          <w:b/>
          <w:bCs/>
          <w:sz w:val="18"/>
          <w:szCs w:val="18"/>
        </w:rPr>
      </w:pPr>
    </w:p>
    <w:p>
      <w:pPr>
        <w:pStyle w:val="BodyText"/>
        <w:spacing w:line="240" w:lineRule="auto"/>
        <w:ind w:left="513" w:right="0"/>
        <w:jc w:val="left"/>
      </w:pPr>
      <w:r>
        <w:rPr/>
        <w:t>报告期内，公司股东及其一致行动人在未提出或实施股份增持计划的情况。</w:t>
      </w:r>
    </w:p>
    <w:p>
      <w:pPr>
        <w:spacing w:after="0" w:line="240" w:lineRule="auto"/>
        <w:jc w:val="left"/>
        <w:sectPr>
          <w:footerReference w:type="default" r:id="rId18"/>
          <w:pgSz w:w="11910" w:h="16840"/>
          <w:pgMar w:footer="1340" w:header="745" w:top="1060" w:bottom="1540" w:left="980" w:right="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8" w:lineRule="exact"/>
        <w:ind w:left="2039" w:right="1124"/>
        <w:jc w:val="left"/>
        <w:rPr>
          <w:b w:val="0"/>
          <w:bCs w:val="0"/>
        </w:rPr>
      </w:pPr>
      <w:r>
        <w:rPr/>
        <w:t>第七节</w:t>
      </w:r>
      <w:r>
        <w:rPr>
          <w:spacing w:val="84"/>
        </w:rPr>
        <w:t> </w:t>
      </w:r>
      <w:r>
        <w:rPr/>
        <w:t>董事、监事、高级管理人员和员工情况</w:t>
      </w:r>
      <w:r>
        <w:rPr>
          <w:b w:val="0"/>
          <w:bCs w:val="0"/>
        </w:rPr>
      </w:r>
    </w:p>
    <w:p>
      <w:pPr>
        <w:spacing w:line="240" w:lineRule="auto" w:before="3"/>
        <w:rPr>
          <w:rFonts w:ascii="微软雅黑" w:hAnsi="微软雅黑" w:cs="微软雅黑" w:eastAsia="微软雅黑" w:hint="default"/>
          <w:b/>
          <w:bCs/>
          <w:sz w:val="23"/>
          <w:szCs w:val="23"/>
        </w:rPr>
      </w:pPr>
    </w:p>
    <w:p>
      <w:pPr>
        <w:pStyle w:val="Heading2"/>
        <w:spacing w:line="240" w:lineRule="auto"/>
        <w:ind w:left="512" w:right="1124"/>
        <w:jc w:val="left"/>
        <w:rPr>
          <w:b w:val="0"/>
          <w:bCs w:val="0"/>
        </w:rPr>
      </w:pPr>
      <w:r>
        <w:rPr/>
        <w:t>一、董事、监事和高级管理人员持股变动</w:t>
      </w:r>
      <w:r>
        <w:rPr>
          <w:b w:val="0"/>
          <w:bCs w:val="0"/>
        </w:rPr>
      </w:r>
    </w:p>
    <w:p>
      <w:pPr>
        <w:spacing w:line="240" w:lineRule="auto" w:before="16"/>
        <w:rPr>
          <w:rFonts w:ascii="微软雅黑" w:hAnsi="微软雅黑" w:cs="微软雅黑" w:eastAsia="微软雅黑" w:hint="default"/>
          <w:b/>
          <w:bCs/>
          <w:sz w:val="17"/>
          <w:szCs w:val="17"/>
        </w:rPr>
      </w:pPr>
    </w:p>
    <w:tbl>
      <w:tblPr>
        <w:tblW w:w="0" w:type="auto"/>
        <w:jc w:val="left"/>
        <w:tblInd w:w="116" w:type="dxa"/>
        <w:tblLayout w:type="fixed"/>
        <w:tblCellMar>
          <w:top w:w="0" w:type="dxa"/>
          <w:left w:w="0" w:type="dxa"/>
          <w:bottom w:w="0" w:type="dxa"/>
          <w:right w:w="0" w:type="dxa"/>
        </w:tblCellMar>
        <w:tblLook w:val="01E0"/>
      </w:tblPr>
      <w:tblGrid>
        <w:gridCol w:w="728"/>
        <w:gridCol w:w="1106"/>
        <w:gridCol w:w="686"/>
        <w:gridCol w:w="504"/>
        <w:gridCol w:w="608"/>
        <w:gridCol w:w="1591"/>
        <w:gridCol w:w="1510"/>
        <w:gridCol w:w="715"/>
        <w:gridCol w:w="833"/>
        <w:gridCol w:w="756"/>
        <w:gridCol w:w="718"/>
      </w:tblGrid>
      <w:tr>
        <w:trPr>
          <w:trHeight w:val="1337" w:hRule="exact"/>
        </w:trPr>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b/>
                <w:bCs/>
                <w:sz w:val="19"/>
                <w:szCs w:val="19"/>
              </w:rPr>
            </w:pPr>
          </w:p>
          <w:p>
            <w:pPr>
              <w:pStyle w:val="TableParagraph"/>
              <w:spacing w:line="357" w:lineRule="auto"/>
              <w:ind w:left="158" w:right="15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316" w:lineRule="auto"/>
              <w:ind w:left="172" w:right="83"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8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316" w:lineRule="auto"/>
              <w:ind w:left="52" w:right="5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4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316" w:lineRule="auto"/>
              <w:ind w:left="172" w:right="83"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8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5"/>
                <w:sz w:val="18"/>
                <w:szCs w:val="18"/>
              </w:rPr>
              <w:t>董事长、董事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吴成智</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45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吴军</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刘崇</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林俊</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王祖荣</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费泳洁</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71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张小立</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9" w:right="-10" w:hanging="166"/>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sz w:val="18"/>
              </w:rPr>
              <w:t>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梁侠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总会计师</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4,403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4,403</w:t>
            </w:r>
          </w:p>
        </w:tc>
      </w:tr>
      <w:tr>
        <w:trPr>
          <w:trHeight w:val="403" w:hRule="exact"/>
        </w:trPr>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4,403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4,403</w:t>
            </w:r>
          </w:p>
        </w:tc>
      </w:tr>
    </w:tbl>
    <w:p>
      <w:pPr>
        <w:spacing w:line="240" w:lineRule="auto" w:before="12"/>
        <w:rPr>
          <w:rFonts w:ascii="微软雅黑" w:hAnsi="微软雅黑" w:cs="微软雅黑" w:eastAsia="微软雅黑" w:hint="default"/>
          <w:b/>
          <w:bCs/>
          <w:sz w:val="13"/>
          <w:szCs w:val="13"/>
        </w:rPr>
      </w:pPr>
    </w:p>
    <w:p>
      <w:pPr>
        <w:spacing w:line="369" w:lineRule="exact" w:before="0"/>
        <w:ind w:left="512" w:right="1124"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二、任职情况</w:t>
      </w:r>
      <w:r>
        <w:rPr>
          <w:rFonts w:ascii="微软雅黑" w:hAnsi="微软雅黑" w:cs="微软雅黑" w:eastAsia="微软雅黑" w:hint="default"/>
          <w:sz w:val="24"/>
          <w:szCs w:val="24"/>
        </w:rPr>
      </w:r>
    </w:p>
    <w:p>
      <w:pPr>
        <w:spacing w:line="240" w:lineRule="auto" w:before="1"/>
        <w:rPr>
          <w:rFonts w:ascii="微软雅黑" w:hAnsi="微软雅黑" w:cs="微软雅黑" w:eastAsia="微软雅黑" w:hint="default"/>
          <w:b/>
          <w:bCs/>
          <w:sz w:val="24"/>
          <w:szCs w:val="24"/>
        </w:rPr>
      </w:pPr>
    </w:p>
    <w:p>
      <w:pPr>
        <w:pStyle w:val="BodyText"/>
        <w:spacing w:line="240" w:lineRule="auto"/>
        <w:ind w:left="873" w:right="1124"/>
        <w:jc w:val="left"/>
      </w:pPr>
      <w:r>
        <w:rPr/>
        <w:t>公司现任董事、监事、高级管理人员最近</w:t>
      </w:r>
      <w:r>
        <w:rPr>
          <w:rFonts w:ascii="宋体" w:hAnsi="宋体" w:cs="宋体" w:eastAsia="宋体" w:hint="default"/>
        </w:rPr>
        <w:t>5</w:t>
      </w:r>
      <w:r>
        <w:rPr/>
        <w:t>年的主要工作经历</w:t>
      </w:r>
    </w:p>
    <w:p>
      <w:pPr>
        <w:spacing w:line="240" w:lineRule="auto" w:before="8"/>
        <w:rPr>
          <w:rFonts w:ascii="宋体" w:hAnsi="宋体" w:cs="宋体" w:eastAsia="宋体" w:hint="default"/>
          <w:sz w:val="12"/>
          <w:szCs w:val="12"/>
        </w:rPr>
      </w:pPr>
    </w:p>
    <w:p>
      <w:pPr>
        <w:pStyle w:val="BodyText"/>
        <w:spacing w:line="408" w:lineRule="auto"/>
        <w:ind w:left="512" w:right="1124" w:firstLine="360"/>
        <w:jc w:val="left"/>
      </w:pPr>
      <w:r>
        <w:rPr>
          <w:spacing w:val="-2"/>
        </w:rPr>
        <w:t>（一）王晓岩，最近五年任中国希格玛有限公司董事长兼总裁、北京东方太阳城房地产开发有限责任公司董事长、深圳</w:t>
      </w:r>
      <w:r>
        <w:rPr/>
        <w:t> 市深信泰丰（集团）股份有限公司董事。</w:t>
      </w:r>
    </w:p>
    <w:p>
      <w:pPr>
        <w:pStyle w:val="BodyText"/>
        <w:spacing w:line="408" w:lineRule="auto" w:before="37"/>
        <w:ind w:left="512" w:right="1124" w:firstLine="360"/>
        <w:jc w:val="left"/>
      </w:pPr>
      <w:r>
        <w:rPr/>
        <w:t>（二）晏群，最近五年曾在中国希格玛有限公司工作，</w:t>
      </w:r>
      <w:r>
        <w:rPr>
          <w:rFonts w:ascii="宋体" w:hAnsi="宋体" w:cs="宋体" w:eastAsia="宋体" w:hint="default"/>
        </w:rPr>
        <w:t>2008</w:t>
      </w:r>
      <w:r>
        <w:rPr/>
        <w:t>年</w:t>
      </w:r>
      <w:r>
        <w:rPr>
          <w:rFonts w:ascii="宋体" w:hAnsi="宋体" w:cs="宋体" w:eastAsia="宋体" w:hint="default"/>
        </w:rPr>
        <w:t>6</w:t>
      </w:r>
      <w:r>
        <w:rPr/>
        <w:t>月起在深圳市深信泰丰（集团）股份有限公司工作，任 董事长、总经理。</w:t>
      </w:r>
    </w:p>
    <w:p>
      <w:pPr>
        <w:pStyle w:val="BodyText"/>
        <w:spacing w:line="408" w:lineRule="auto" w:before="39"/>
        <w:ind w:left="512" w:right="0" w:firstLine="360"/>
        <w:jc w:val="left"/>
      </w:pPr>
      <w:r>
        <w:rPr>
          <w:spacing w:val="-2"/>
        </w:rPr>
        <w:t>（三）吴成智，最近五年任深圳市生元农机有限公司副总经理，深圳市宝牧实业有限公司副经理，深圳市宝安区投资管</w:t>
      </w:r>
      <w:r>
        <w:rPr/>
        <w:t> </w:t>
      </w:r>
      <w:r>
        <w:rPr>
          <w:spacing w:val="-4"/>
        </w:rPr>
        <w:t>理有限公司副总裁、党委委员，深圳市资兴源实业有限公司董事长。报告期内任深圳市深信泰丰（集团）股份有限公司董事，</w:t>
      </w:r>
      <w:r>
        <w:rPr>
          <w:spacing w:val="-44"/>
        </w:rPr>
        <w:t> </w:t>
      </w:r>
      <w:r>
        <w:rPr>
          <w:spacing w:val="-44"/>
        </w:rPr>
      </w:r>
      <w:r>
        <w:rPr/>
        <w:t>中国宝安集团股份有限公司董事。</w:t>
      </w:r>
    </w:p>
    <w:p>
      <w:pPr>
        <w:pStyle w:val="BodyText"/>
        <w:spacing w:line="240" w:lineRule="auto" w:before="39"/>
        <w:ind w:left="873" w:right="1124"/>
        <w:jc w:val="left"/>
      </w:pPr>
      <w:r>
        <w:rPr/>
        <w:t>（四）鲁功亮，最近五年在重庆润江基础设施投资有限公司工作，任深圳市深信泰丰（集团）股份有限公司董事。</w:t>
      </w:r>
    </w:p>
    <w:p>
      <w:pPr>
        <w:spacing w:line="240" w:lineRule="auto" w:before="6"/>
        <w:rPr>
          <w:rFonts w:ascii="宋体" w:hAnsi="宋体" w:cs="宋体" w:eastAsia="宋体" w:hint="default"/>
          <w:sz w:val="12"/>
          <w:szCs w:val="12"/>
        </w:rPr>
      </w:pPr>
    </w:p>
    <w:p>
      <w:pPr>
        <w:pStyle w:val="BodyText"/>
        <w:spacing w:line="240" w:lineRule="auto"/>
        <w:ind w:left="873" w:right="0"/>
        <w:jc w:val="left"/>
      </w:pPr>
      <w:r>
        <w:rPr/>
        <w:t>（五）吴军，最近五年任对外经济贸易大学教授、博士生导师，对外经济贸易大学金融学院院长，中国金融学会常务理</w:t>
      </w:r>
    </w:p>
    <w:p>
      <w:pPr>
        <w:spacing w:after="0" w:line="240" w:lineRule="auto"/>
        <w:jc w:val="left"/>
        <w:sectPr>
          <w:pgSz w:w="11910" w:h="16840"/>
          <w:pgMar w:header="745" w:footer="1340" w:top="1060" w:bottom="1540" w:left="6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408" w:lineRule="auto"/>
        <w:ind w:right="0"/>
        <w:jc w:val="left"/>
      </w:pPr>
      <w:r>
        <w:rPr>
          <w:spacing w:val="-4"/>
        </w:rPr>
        <w:t>事，北京市金融学会副会长，中国城市金融学会常务理事、学术委员，刘鸿儒金融教育基金会理事、学术委员会常务副主任，</w:t>
      </w:r>
      <w:r>
        <w:rPr>
          <w:spacing w:val="-41"/>
        </w:rPr>
        <w:t> </w:t>
      </w:r>
      <w:r>
        <w:rPr>
          <w:spacing w:val="-41"/>
        </w:rPr>
      </w:r>
      <w:r>
        <w:rPr/>
        <w:t>西南证券股份有限公司独立董事，深圳市深信泰丰（集团）股份有限公司独立董事。</w:t>
      </w:r>
    </w:p>
    <w:p>
      <w:pPr>
        <w:pStyle w:val="BodyText"/>
        <w:spacing w:line="408" w:lineRule="auto" w:before="37"/>
        <w:ind w:right="0" w:firstLine="360"/>
        <w:jc w:val="left"/>
      </w:pPr>
      <w:r>
        <w:rPr>
          <w:spacing w:val="-2"/>
        </w:rPr>
        <w:t>（六）刘崇，最近五年先任深圳市特发集团有限公司董事、财务总监，后任该公司副总经理、财务总监。报告期内任深</w:t>
      </w:r>
      <w:r>
        <w:rPr/>
        <w:t> 业集团有限公司副总经理、深圳市深信泰丰（集团）股份有限公司独立董事。</w:t>
      </w:r>
    </w:p>
    <w:p>
      <w:pPr>
        <w:pStyle w:val="BodyText"/>
        <w:spacing w:line="405" w:lineRule="auto" w:before="39"/>
        <w:ind w:right="0" w:firstLine="360"/>
        <w:jc w:val="left"/>
      </w:pPr>
      <w:r>
        <w:rPr>
          <w:spacing w:val="-2"/>
        </w:rPr>
        <w:t>（七）叶翔，最近五年担任过香港证监会总监，报告期内任汇信资本有限公司董事总经理、深圳市深信泰丰（集团）股</w:t>
      </w:r>
      <w:r>
        <w:rPr/>
        <w:t> 份有限公司独立董事。</w:t>
      </w:r>
    </w:p>
    <w:p>
      <w:pPr>
        <w:pStyle w:val="BodyText"/>
        <w:spacing w:line="408" w:lineRule="auto" w:before="41"/>
        <w:ind w:right="0" w:firstLine="360"/>
        <w:jc w:val="left"/>
      </w:pPr>
      <w:r>
        <w:rPr>
          <w:spacing w:val="-2"/>
        </w:rPr>
        <w:t>（八）林俊，最近五年任任宝安区投资管理有限公司副总裁，深圳市鹏劳人力资源管理有限公司董事、副董事长，深圳</w:t>
      </w:r>
      <w:r>
        <w:rPr/>
        <w:t> 市安捷交通场站开发有限公司董事长，深圳市深信泰丰（集团）股份有限公司监事、监事会主席。</w:t>
      </w:r>
    </w:p>
    <w:p>
      <w:pPr>
        <w:pStyle w:val="BodyText"/>
        <w:spacing w:line="240" w:lineRule="auto" w:before="37"/>
        <w:ind w:left="513" w:right="0"/>
        <w:jc w:val="left"/>
      </w:pPr>
      <w:r>
        <w:rPr/>
        <w:t>（九）王祖荣，最近五年任深圳市宝岩投资咨询有限公司董事、副总经理，任深圳市深信泰丰（集团）股份有限公司监</w:t>
      </w:r>
    </w:p>
    <w:p>
      <w:pPr>
        <w:spacing w:line="240" w:lineRule="auto" w:before="9"/>
        <w:rPr>
          <w:rFonts w:ascii="宋体" w:hAnsi="宋体" w:cs="宋体" w:eastAsia="宋体" w:hint="default"/>
          <w:sz w:val="12"/>
          <w:szCs w:val="12"/>
        </w:rPr>
      </w:pPr>
    </w:p>
    <w:p>
      <w:pPr>
        <w:pStyle w:val="BodyText"/>
        <w:spacing w:line="240" w:lineRule="auto"/>
        <w:ind w:right="0"/>
        <w:jc w:val="left"/>
      </w:pPr>
      <w:r>
        <w:rPr/>
        <w:t>事。</w:t>
      </w:r>
    </w:p>
    <w:p>
      <w:pPr>
        <w:spacing w:line="240" w:lineRule="auto" w:before="8"/>
        <w:rPr>
          <w:rFonts w:ascii="宋体" w:hAnsi="宋体" w:cs="宋体" w:eastAsia="宋体" w:hint="default"/>
          <w:sz w:val="12"/>
          <w:szCs w:val="12"/>
        </w:rPr>
      </w:pPr>
    </w:p>
    <w:p>
      <w:pPr>
        <w:pStyle w:val="BodyText"/>
        <w:spacing w:line="240" w:lineRule="auto"/>
        <w:ind w:left="513" w:right="0"/>
        <w:jc w:val="left"/>
      </w:pPr>
      <w:r>
        <w:rPr/>
        <w:t>（十）费泳洁，最近五年在深圳市深信泰丰（集团）股份有限公司工作，任公司职工代表监事。</w:t>
      </w:r>
    </w:p>
    <w:p>
      <w:pPr>
        <w:spacing w:line="240" w:lineRule="auto" w:before="6"/>
        <w:rPr>
          <w:rFonts w:ascii="宋体" w:hAnsi="宋体" w:cs="宋体" w:eastAsia="宋体" w:hint="default"/>
          <w:sz w:val="12"/>
          <w:szCs w:val="12"/>
        </w:rPr>
      </w:pPr>
    </w:p>
    <w:p>
      <w:pPr>
        <w:pStyle w:val="BodyText"/>
        <w:spacing w:line="240" w:lineRule="auto"/>
        <w:ind w:left="513" w:right="0"/>
        <w:jc w:val="left"/>
      </w:pPr>
      <w:r>
        <w:rPr/>
        <w:t>（十一）张小立，最近五年在深圳市深信泰丰（集团）股份有限公司工作，任副总经理、董事会秘书。</w:t>
      </w:r>
    </w:p>
    <w:p>
      <w:pPr>
        <w:spacing w:line="240" w:lineRule="auto" w:before="8"/>
        <w:rPr>
          <w:rFonts w:ascii="宋体" w:hAnsi="宋体" w:cs="宋体" w:eastAsia="宋体" w:hint="default"/>
          <w:sz w:val="12"/>
          <w:szCs w:val="12"/>
        </w:rPr>
      </w:pPr>
    </w:p>
    <w:p>
      <w:pPr>
        <w:pStyle w:val="BodyText"/>
        <w:spacing w:line="408" w:lineRule="auto"/>
        <w:ind w:right="0" w:firstLine="360"/>
        <w:jc w:val="left"/>
      </w:pPr>
      <w:r>
        <w:rPr>
          <w:spacing w:val="-5"/>
        </w:rPr>
        <w:t>（十二）梁侠，最近五年在深圳市深信泰丰（集团）股份有限公司工作，任总会计师、党总支副书记、工委会主席；</w:t>
      </w:r>
      <w:r>
        <w:rPr>
          <w:rFonts w:ascii="宋体" w:hAnsi="宋体" w:cs="宋体" w:eastAsia="宋体" w:hint="default"/>
          <w:spacing w:val="-5"/>
        </w:rPr>
        <w:t>2012</w:t>
      </w:r>
      <w:r>
        <w:rPr>
          <w:rFonts w:ascii="宋体" w:hAnsi="宋体" w:cs="宋体" w:eastAsia="宋体" w:hint="default"/>
        </w:rPr>
        <w:t> </w:t>
      </w:r>
      <w:r>
        <w:rPr/>
        <w:t>年</w:t>
      </w:r>
      <w:r>
        <w:rPr>
          <w:rFonts w:ascii="宋体" w:hAnsi="宋体" w:cs="宋体" w:eastAsia="宋体" w:hint="default"/>
        </w:rPr>
        <w:t>9</w:t>
      </w:r>
      <w:r>
        <w:rPr/>
        <w:t>月</w:t>
      </w:r>
      <w:r>
        <w:rPr>
          <w:rFonts w:ascii="宋体" w:hAnsi="宋体" w:cs="宋体" w:eastAsia="宋体" w:hint="default"/>
        </w:rPr>
        <w:t>25</w:t>
      </w:r>
      <w:r>
        <w:rPr/>
        <w:t>日起担任深圳信隆实业股份有限公司独立董事。</w:t>
      </w:r>
    </w:p>
    <w:p>
      <w:pPr>
        <w:spacing w:line="240" w:lineRule="auto" w:before="1"/>
        <w:rPr>
          <w:rFonts w:ascii="宋体" w:hAnsi="宋体" w:cs="宋体" w:eastAsia="宋体" w:hint="default"/>
          <w:sz w:val="22"/>
          <w:szCs w:val="22"/>
        </w:rPr>
      </w:pPr>
    </w:p>
    <w:p>
      <w:pPr>
        <w:pStyle w:val="BodyText"/>
        <w:spacing w:line="240" w:lineRule="auto"/>
        <w:ind w:right="0"/>
        <w:jc w:val="left"/>
      </w:pPr>
      <w:r>
        <w:rPr/>
        <w:t>在股东单位任职情况</w:t>
      </w:r>
    </w:p>
    <w:p>
      <w:pPr>
        <w:pStyle w:val="BodyText"/>
        <w:spacing w:line="240" w:lineRule="auto" w:before="117"/>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王晓岩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12"/>
                <w:sz w:val="18"/>
                <w:szCs w:val="18"/>
              </w:rPr>
              <w:t>董事长、总裁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吴成智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深圳市宝安区投资管理有限公司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深圳市宝安区投资管理有限公司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鲁功亮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重庆润江基础设施投资有限公司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部门经理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在其他单位任职情况</w:t>
      </w:r>
    </w:p>
    <w:p>
      <w:pPr>
        <w:pStyle w:val="BodyText"/>
        <w:spacing w:line="240" w:lineRule="auto" w:before="117"/>
        <w:ind w:right="0"/>
        <w:jc w:val="left"/>
      </w:pPr>
      <w:r>
        <w:rPr/>
        <w:t>√ 适用 □ 不适用</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322"/>
        <w:gridCol w:w="1066"/>
        <w:gridCol w:w="1063"/>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7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41" w:right="7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王晓岩</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北京东方太阳城房地产开发有限责任公司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吴成智</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深圳市安捷交通场站开发有限公司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吴军</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刘崇</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深业集团有限公司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叶翔</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汇信资本有限公司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5" w:footer="1340" w:top="1060" w:bottom="154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199"/>
        <w:gridCol w:w="8370"/>
      </w:tblGrid>
      <w:tr>
        <w:trPr>
          <w:trHeight w:val="334" w:hRule="exact"/>
        </w:trPr>
        <w:tc>
          <w:tcPr>
            <w:tcW w:w="1199" w:type="dxa"/>
            <w:tcBorders>
              <w:top w:val="single" w:sz="6" w:space="0" w:color="000000"/>
              <w:left w:val="nil" w:sz="6" w:space="0" w:color="auto"/>
              <w:bottom w:val="single" w:sz="4" w:space="0" w:color="000000"/>
              <w:right w:val="nil" w:sz="6" w:space="0" w:color="auto"/>
            </w:tcBorders>
          </w:tcPr>
          <w:p>
            <w:pPr/>
          </w:p>
        </w:tc>
        <w:tc>
          <w:tcPr>
            <w:tcW w:w="8370"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369" w:lineRule="exact"/>
        <w:ind w:left="112" w:right="0"/>
        <w:jc w:val="both"/>
        <w:rPr>
          <w:b w:val="0"/>
          <w:bCs w:val="0"/>
        </w:rPr>
      </w:pPr>
      <w:r>
        <w:rPr/>
        <w:t>三、董事、监事、高级管理人员报酬情况</w:t>
      </w:r>
      <w:r>
        <w:rPr>
          <w:b w:val="0"/>
          <w:bCs w:val="0"/>
        </w:rPr>
      </w:r>
    </w:p>
    <w:p>
      <w:pPr>
        <w:spacing w:line="240" w:lineRule="auto" w:before="1"/>
        <w:rPr>
          <w:rFonts w:ascii="微软雅黑" w:hAnsi="微软雅黑" w:cs="微软雅黑" w:eastAsia="微软雅黑" w:hint="default"/>
          <w:b/>
          <w:bCs/>
          <w:sz w:val="24"/>
          <w:szCs w:val="24"/>
        </w:rPr>
      </w:pPr>
    </w:p>
    <w:p>
      <w:pPr>
        <w:pStyle w:val="BodyText"/>
        <w:spacing w:line="408" w:lineRule="auto"/>
        <w:ind w:left="653" w:right="1073"/>
        <w:jc w:val="left"/>
      </w:pPr>
      <w:r>
        <w:rPr/>
        <w:t>董事、监事、高级管理人员报酬的决策程序、确定依据、实际支付情况 董事、监事、高级管理人员报酬的决策程序： </w:t>
      </w:r>
      <w:r>
        <w:rPr>
          <w:spacing w:val="-2"/>
        </w:rPr>
        <w:t>公司依据</w:t>
      </w:r>
      <w:r>
        <w:rPr>
          <w:rFonts w:ascii="宋体" w:hAnsi="宋体" w:cs="宋体" w:eastAsia="宋体" w:hint="default"/>
          <w:spacing w:val="-2"/>
        </w:rPr>
        <w:t>2012</w:t>
      </w:r>
      <w:r>
        <w:rPr>
          <w:spacing w:val="-2"/>
        </w:rPr>
        <w:t>年度经营管理考核办法对高管人员实行考核，按考核结果发放考核奖励。公司董事会绩效与薪酬委员会</w:t>
      </w:r>
    </w:p>
    <w:p>
      <w:pPr>
        <w:pStyle w:val="BodyText"/>
        <w:spacing w:line="408" w:lineRule="auto" w:before="37"/>
        <w:ind w:left="112" w:right="1135"/>
        <w:jc w:val="both"/>
      </w:pPr>
      <w:r>
        <w:rPr>
          <w:spacing w:val="-2"/>
        </w:rPr>
        <w:t>负责审查公司的薪酬计划与方案，负责审查公司董事（不含独立董事）、监事及高管人员的薪酬方案与考核标准，负责考核</w:t>
      </w:r>
      <w:r>
        <w:rPr>
          <w:spacing w:val="-67"/>
        </w:rPr>
        <w:t> </w:t>
      </w:r>
      <w:r>
        <w:rPr>
          <w:spacing w:val="-67"/>
        </w:rPr>
      </w:r>
      <w:r>
        <w:rPr/>
        <w:t>公司董事、监事及高管人员履行职责的情况，并依照考核标准、薪酬方案进行年度绩效考核。</w:t>
      </w:r>
    </w:p>
    <w:p>
      <w:pPr>
        <w:pStyle w:val="BodyText"/>
        <w:spacing w:line="405" w:lineRule="auto" w:before="40"/>
        <w:ind w:left="653" w:right="0"/>
        <w:jc w:val="left"/>
      </w:pPr>
      <w:r>
        <w:rPr/>
        <w:t>董事、监事、高级管理人员报酬确定依据： </w:t>
      </w:r>
      <w:r>
        <w:rPr>
          <w:spacing w:val="-4"/>
        </w:rPr>
        <w:t>制定公司薪酬标准的主要原则是：（</w:t>
      </w:r>
      <w:r>
        <w:rPr>
          <w:rFonts w:ascii="宋体" w:hAnsi="宋体" w:cs="宋体" w:eastAsia="宋体" w:hint="default"/>
          <w:spacing w:val="-4"/>
        </w:rPr>
        <w:t>1</w:t>
      </w:r>
      <w:r>
        <w:rPr>
          <w:spacing w:val="-4"/>
        </w:rPr>
        <w:t>）公司总体经营情况和盈利水平；（</w:t>
      </w:r>
      <w:r>
        <w:rPr>
          <w:rFonts w:ascii="宋体" w:hAnsi="宋体" w:cs="宋体" w:eastAsia="宋体" w:hint="default"/>
          <w:spacing w:val="-4"/>
        </w:rPr>
        <w:t>2</w:t>
      </w:r>
      <w:r>
        <w:rPr>
          <w:spacing w:val="-4"/>
        </w:rPr>
        <w:t>）公司总体薪酬水平和历年薪酬动态指标；</w:t>
      </w:r>
    </w:p>
    <w:p>
      <w:pPr>
        <w:pStyle w:val="BodyText"/>
        <w:spacing w:line="408" w:lineRule="auto" w:before="41"/>
        <w:ind w:left="112" w:right="1128"/>
        <w:jc w:val="both"/>
      </w:pPr>
      <w:r>
        <w:rPr>
          <w:spacing w:val="-2"/>
        </w:rPr>
        <w:t>（</w:t>
      </w:r>
      <w:r>
        <w:rPr>
          <w:rFonts w:ascii="宋体" w:hAnsi="宋体" w:cs="宋体" w:eastAsia="宋体" w:hint="default"/>
          <w:spacing w:val="-2"/>
        </w:rPr>
        <w:t>3</w:t>
      </w:r>
      <w:r>
        <w:rPr>
          <w:spacing w:val="-2"/>
        </w:rPr>
        <w:t>）职位、职责的大小；（</w:t>
      </w:r>
      <w:r>
        <w:rPr>
          <w:rFonts w:ascii="宋体" w:hAnsi="宋体" w:cs="宋体" w:eastAsia="宋体" w:hint="default"/>
          <w:spacing w:val="-2"/>
        </w:rPr>
        <w:t>4</w:t>
      </w:r>
      <w:r>
        <w:rPr>
          <w:spacing w:val="-2"/>
        </w:rPr>
        <w:t>）岗位的重要性、风险性、特殊性；（</w:t>
      </w:r>
      <w:r>
        <w:rPr>
          <w:rFonts w:ascii="宋体" w:hAnsi="宋体" w:cs="宋体" w:eastAsia="宋体" w:hint="default"/>
          <w:spacing w:val="-2"/>
        </w:rPr>
        <w:t>5</w:t>
      </w:r>
      <w:r>
        <w:rPr>
          <w:spacing w:val="-2"/>
        </w:rPr>
        <w:t>）同行业相关岗位的薪酬水平；（</w:t>
      </w:r>
      <w:r>
        <w:rPr>
          <w:rFonts w:ascii="宋体" w:hAnsi="宋体" w:cs="宋体" w:eastAsia="宋体" w:hint="default"/>
          <w:spacing w:val="-2"/>
        </w:rPr>
        <w:t>6</w:t>
      </w:r>
      <w:r>
        <w:rPr>
          <w:spacing w:val="-2"/>
        </w:rPr>
        <w:t>）个人学识水平和</w:t>
      </w:r>
      <w:r>
        <w:rPr>
          <w:spacing w:val="-68"/>
        </w:rPr>
        <w:t> </w:t>
      </w:r>
      <w:r>
        <w:rPr>
          <w:spacing w:val="-68"/>
        </w:rPr>
      </w:r>
      <w:r>
        <w:rPr/>
        <w:t>专业技能；（</w:t>
      </w:r>
      <w:r>
        <w:rPr>
          <w:rFonts w:ascii="宋体" w:hAnsi="宋体" w:cs="宋体" w:eastAsia="宋体" w:hint="default"/>
        </w:rPr>
        <w:t>7</w:t>
      </w:r>
      <w:r>
        <w:rPr/>
        <w:t>）尽可能量化的工作指标。董事、监事和高级管理人员报酬的实际支付情况：按月只发放基本薪酬，经年度 考核后发放年度绩效考核奖励。</w:t>
      </w:r>
    </w:p>
    <w:p>
      <w:pPr>
        <w:spacing w:line="240" w:lineRule="auto" w:before="3"/>
        <w:rPr>
          <w:rFonts w:ascii="宋体" w:hAnsi="宋体" w:cs="宋体" w:eastAsia="宋体" w:hint="default"/>
          <w:sz w:val="22"/>
          <w:szCs w:val="22"/>
        </w:rPr>
      </w:pPr>
    </w:p>
    <w:p>
      <w:pPr>
        <w:pStyle w:val="BodyText"/>
        <w:spacing w:line="240" w:lineRule="auto"/>
        <w:ind w:left="112" w:right="0"/>
        <w:jc w:val="both"/>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8"/>
        <w:gridCol w:w="2331"/>
        <w:gridCol w:w="1140"/>
        <w:gridCol w:w="1349"/>
        <w:gridCol w:w="1829"/>
        <w:gridCol w:w="1822"/>
      </w:tblGrid>
      <w:tr>
        <w:trPr>
          <w:trHeight w:val="75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724" w:right="185" w:hanging="540"/>
              <w:jc w:val="left"/>
              <w:rPr>
                <w:rFonts w:ascii="宋体" w:hAnsi="宋体" w:cs="宋体" w:eastAsia="宋体" w:hint="default"/>
                <w:sz w:val="18"/>
                <w:szCs w:val="18"/>
              </w:rPr>
            </w:pPr>
            <w:r>
              <w:rPr>
                <w:rFonts w:ascii="宋体" w:hAnsi="宋体" w:cs="宋体" w:eastAsia="宋体" w:hint="default"/>
                <w:sz w:val="18"/>
                <w:szCs w:val="18"/>
              </w:rPr>
              <w:t>从公司获得的报酬 总额</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晏  群</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50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720,000.00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王晓岩</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52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吴成智</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50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鲁功亮</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45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  军</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59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  崇</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52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叶  翔</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49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林俊</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50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王祖荣</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56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31,200.00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费泳洁</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48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张小立</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48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梁  侠</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总会计师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53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8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2,451,200.00</w:t>
            </w:r>
          </w:p>
        </w:tc>
      </w:tr>
    </w:tbl>
    <w:p>
      <w:pPr>
        <w:pStyle w:val="BodyText"/>
        <w:spacing w:line="240" w:lineRule="auto" w:before="49"/>
        <w:ind w:left="112" w:right="1073"/>
        <w:jc w:val="left"/>
      </w:pPr>
      <w:r>
        <w:rPr/>
        <w:t>公司董事、监事、高级管理人员报告期内被授予的股权激励情况</w:t>
      </w:r>
    </w:p>
    <w:p>
      <w:pPr>
        <w:pStyle w:val="BodyText"/>
        <w:spacing w:line="240" w:lineRule="auto" w:before="115"/>
        <w:ind w:left="112" w:right="1073"/>
        <w:jc w:val="left"/>
      </w:pPr>
      <w:r>
        <w:rPr/>
        <w:t>□ 适用 √ 不适用</w:t>
      </w:r>
    </w:p>
    <w:p>
      <w:pPr>
        <w:spacing w:line="240" w:lineRule="auto" w:before="10"/>
        <w:rPr>
          <w:rFonts w:ascii="宋体" w:hAnsi="宋体" w:cs="宋体" w:eastAsia="宋体" w:hint="default"/>
          <w:sz w:val="26"/>
          <w:szCs w:val="26"/>
        </w:rPr>
      </w:pPr>
    </w:p>
    <w:p>
      <w:pPr>
        <w:pStyle w:val="Heading2"/>
        <w:spacing w:line="240" w:lineRule="auto"/>
        <w:ind w:left="112" w:right="1073"/>
        <w:jc w:val="left"/>
        <w:rPr>
          <w:b w:val="0"/>
          <w:bCs w:val="0"/>
        </w:rPr>
      </w:pPr>
      <w:r>
        <w:rPr/>
        <w:t>四、公司董事、监事、高级管理人员离职和解聘情况</w:t>
      </w:r>
      <w:r>
        <w:rPr>
          <w:b w:val="0"/>
          <w:bCs w:val="0"/>
        </w:rPr>
      </w:r>
    </w:p>
    <w:p>
      <w:pPr>
        <w:spacing w:after="0" w:line="240" w:lineRule="auto"/>
        <w:jc w:val="left"/>
        <w:sectPr>
          <w:pgSz w:w="11910" w:h="16840"/>
          <w:pgMar w:header="745" w:footer="1340" w:top="1060" w:bottom="1540" w:left="1020" w:right="0"/>
        </w:sectPr>
      </w:pPr>
    </w:p>
    <w:p>
      <w:pPr>
        <w:spacing w:line="240" w:lineRule="auto" w:before="2"/>
        <w:rPr>
          <w:rFonts w:ascii="微软雅黑" w:hAnsi="微软雅黑" w:cs="微软雅黑" w:eastAsia="微软雅黑" w:hint="default"/>
          <w:b/>
          <w:bCs/>
          <w:sz w:val="2"/>
          <w:szCs w:val="2"/>
        </w:rPr>
      </w:pPr>
    </w:p>
    <w:p>
      <w:pPr>
        <w:spacing w:line="20" w:lineRule="exact"/>
        <w:ind w:left="116" w:right="0" w:firstLine="0"/>
        <w:rPr>
          <w:rFonts w:ascii="微软雅黑" w:hAnsi="微软雅黑" w:cs="微软雅黑" w:eastAsia="微软雅黑" w:hint="default"/>
          <w:sz w:val="2"/>
          <w:szCs w:val="2"/>
        </w:rPr>
      </w:pPr>
      <w:r>
        <w:rPr>
          <w:rFonts w:ascii="微软雅黑" w:hAnsi="微软雅黑" w:cs="微软雅黑" w:eastAsia="微软雅黑"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微软雅黑" w:hAnsi="微软雅黑" w:cs="微软雅黑" w:eastAsia="微软雅黑" w:hint="default"/>
          <w:sz w:val="2"/>
          <w:szCs w:val="2"/>
        </w:rPr>
      </w:r>
    </w:p>
    <w:p>
      <w:pPr>
        <w:spacing w:line="240" w:lineRule="auto" w:before="1"/>
        <w:rPr>
          <w:rFonts w:ascii="微软雅黑" w:hAnsi="微软雅黑" w:cs="微软雅黑" w:eastAsia="微软雅黑" w:hint="default"/>
          <w:b/>
          <w:bCs/>
          <w:sz w:val="22"/>
          <w:szCs w:val="22"/>
        </w:rPr>
      </w:pPr>
    </w:p>
    <w:p>
      <w:pPr>
        <w:pStyle w:val="BodyText"/>
        <w:spacing w:line="240" w:lineRule="auto" w:before="44"/>
        <w:ind w:left="693" w:right="0"/>
        <w:jc w:val="left"/>
      </w:pPr>
      <w:r>
        <w:rPr/>
        <w:t>报告期内，公司董事、监事、高级管理人员不存在离职和解聘情况。</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1"/>
        <w:rPr>
          <w:rFonts w:ascii="微软雅黑" w:hAnsi="微软雅黑" w:cs="微软雅黑" w:eastAsia="微软雅黑" w:hint="default"/>
          <w:b/>
          <w:bCs/>
          <w:sz w:val="24"/>
          <w:szCs w:val="24"/>
        </w:rPr>
      </w:pPr>
    </w:p>
    <w:p>
      <w:pPr>
        <w:pStyle w:val="BodyText"/>
        <w:spacing w:line="240" w:lineRule="auto"/>
        <w:ind w:left="693" w:right="0"/>
        <w:jc w:val="left"/>
      </w:pPr>
      <w:r>
        <w:rPr/>
        <w:t>报告期内，公司核心技术团队或关键技术人员不存在离职和解聘情况。</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六、公司员工情况</w:t>
      </w:r>
      <w:r>
        <w:rPr>
          <w:b w:val="0"/>
          <w:bCs w:val="0"/>
        </w:rPr>
      </w:r>
    </w:p>
    <w:p>
      <w:pPr>
        <w:spacing w:line="240" w:lineRule="auto" w:before="1"/>
        <w:rPr>
          <w:rFonts w:ascii="微软雅黑" w:hAnsi="微软雅黑" w:cs="微软雅黑" w:eastAsia="微软雅黑" w:hint="default"/>
          <w:b/>
          <w:bCs/>
          <w:sz w:val="22"/>
          <w:szCs w:val="22"/>
        </w:rPr>
      </w:pPr>
    </w:p>
    <w:p>
      <w:pPr>
        <w:pStyle w:val="Heading4"/>
        <w:spacing w:line="240" w:lineRule="auto" w:before="0"/>
        <w:ind w:right="0"/>
        <w:jc w:val="left"/>
      </w:pPr>
      <w:r>
        <w:rPr/>
        <w:t>（一）在职员工的数量：</w:t>
      </w:r>
    </w:p>
    <w:p>
      <w:pPr>
        <w:pStyle w:val="BodyText"/>
        <w:spacing w:line="240" w:lineRule="auto" w:before="161"/>
        <w:ind w:left="693" w:right="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日，公司在职员工总数为</w:t>
      </w:r>
      <w:r>
        <w:rPr>
          <w:rFonts w:ascii="宋体" w:hAnsi="宋体" w:cs="宋体" w:eastAsia="宋体" w:hint="default"/>
        </w:rPr>
        <w:t>1095</w:t>
      </w:r>
      <w:r>
        <w:rPr/>
        <w:t>人。</w:t>
      </w:r>
    </w:p>
    <w:p>
      <w:pPr>
        <w:pStyle w:val="Heading4"/>
        <w:spacing w:line="240" w:lineRule="auto" w:before="130"/>
        <w:ind w:right="0"/>
        <w:jc w:val="left"/>
      </w:pPr>
      <w:r>
        <w:rPr/>
        <w:t>（二）专业构成及教育程度情况如下：</w:t>
      </w:r>
    </w:p>
    <w:p>
      <w:pPr>
        <w:spacing w:before="124"/>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）专业构成类别</w:t>
      </w:r>
    </w:p>
    <w:p>
      <w:pPr>
        <w:spacing w:line="240" w:lineRule="auto" w:before="11"/>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773"/>
        <w:gridCol w:w="3708"/>
        <w:gridCol w:w="3082"/>
      </w:tblGrid>
      <w:tr>
        <w:trPr>
          <w:trHeight w:val="346" w:hRule="exact"/>
        </w:trPr>
        <w:tc>
          <w:tcPr>
            <w:tcW w:w="2773" w:type="dxa"/>
            <w:tcBorders>
              <w:top w:val="single" w:sz="4" w:space="0" w:color="000000"/>
              <w:left w:val="single" w:sz="4" w:space="0" w:color="000000"/>
              <w:bottom w:val="single" w:sz="6" w:space="0" w:color="000000"/>
              <w:right w:val="single" w:sz="6" w:space="0" w:color="000000"/>
            </w:tcBorders>
          </w:tcPr>
          <w:p>
            <w:pPr>
              <w:pStyle w:val="TableParagraph"/>
              <w:spacing w:line="275" w:lineRule="exact"/>
              <w:ind w:left="6"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专业构成的类别</w:t>
            </w:r>
            <w:r>
              <w:rPr>
                <w:rFonts w:ascii="微软雅黑" w:hAnsi="微软雅黑" w:cs="微软雅黑" w:eastAsia="微软雅黑" w:hint="default"/>
                <w:sz w:val="18"/>
                <w:szCs w:val="18"/>
              </w:rPr>
            </w:r>
          </w:p>
        </w:tc>
        <w:tc>
          <w:tcPr>
            <w:tcW w:w="3708" w:type="dxa"/>
            <w:tcBorders>
              <w:top w:val="single" w:sz="4" w:space="0" w:color="000000"/>
              <w:left w:val="single" w:sz="6" w:space="0" w:color="000000"/>
              <w:bottom w:val="single" w:sz="6" w:space="0" w:color="000000"/>
              <w:right w:val="single" w:sz="6" w:space="0" w:color="000000"/>
            </w:tcBorders>
          </w:tcPr>
          <w:p>
            <w:pPr>
              <w:pStyle w:val="TableParagraph"/>
              <w:spacing w:line="275" w:lineRule="exact"/>
              <w:ind w:left="1"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人数（人）</w:t>
            </w:r>
            <w:r>
              <w:rPr>
                <w:rFonts w:ascii="微软雅黑" w:hAnsi="微软雅黑" w:cs="微软雅黑" w:eastAsia="微软雅黑" w:hint="default"/>
                <w:sz w:val="18"/>
                <w:szCs w:val="18"/>
              </w:rPr>
            </w:r>
          </w:p>
        </w:tc>
        <w:tc>
          <w:tcPr>
            <w:tcW w:w="3082" w:type="dxa"/>
            <w:tcBorders>
              <w:top w:val="single" w:sz="4" w:space="0" w:color="000000"/>
              <w:left w:val="single" w:sz="6" w:space="0" w:color="000000"/>
              <w:bottom w:val="single" w:sz="6" w:space="0" w:color="000000"/>
              <w:right w:val="single" w:sz="6" w:space="0" w:color="000000"/>
            </w:tcBorders>
          </w:tcPr>
          <w:p>
            <w:pPr>
              <w:pStyle w:val="TableParagraph"/>
              <w:spacing w:line="275" w:lineRule="exact"/>
              <w:ind w:left="2"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比例（</w:t>
            </w:r>
            <w:r>
              <w:rPr>
                <w:rFonts w:ascii="Arial" w:hAnsi="Arial" w:cs="Arial" w:eastAsia="Arial" w:hint="default"/>
                <w:b/>
                <w:bCs/>
                <w:sz w:val="18"/>
                <w:szCs w:val="18"/>
              </w:rPr>
              <w:t>%</w:t>
            </w:r>
            <w:r>
              <w:rPr>
                <w:rFonts w:ascii="微软雅黑" w:hAnsi="微软雅黑" w:cs="微软雅黑" w:eastAsia="微软雅黑" w:hint="default"/>
                <w:b/>
                <w:bCs/>
                <w:sz w:val="18"/>
                <w:szCs w:val="18"/>
              </w:rPr>
              <w:t>）</w:t>
            </w:r>
            <w:r>
              <w:rPr>
                <w:rFonts w:ascii="微软雅黑" w:hAnsi="微软雅黑" w:cs="微软雅黑" w:eastAsia="微软雅黑" w:hint="default"/>
                <w:sz w:val="18"/>
                <w:szCs w:val="18"/>
              </w:rPr>
            </w:r>
          </w:p>
        </w:tc>
      </w:tr>
      <w:tr>
        <w:trPr>
          <w:trHeight w:val="336" w:hRule="exact"/>
        </w:trPr>
        <w:tc>
          <w:tcPr>
            <w:tcW w:w="277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764</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69.77%</w:t>
            </w:r>
          </w:p>
        </w:tc>
      </w:tr>
      <w:tr>
        <w:trPr>
          <w:trHeight w:val="336" w:hRule="exact"/>
        </w:trPr>
        <w:tc>
          <w:tcPr>
            <w:tcW w:w="277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179</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16.35%</w:t>
            </w:r>
          </w:p>
        </w:tc>
      </w:tr>
      <w:tr>
        <w:trPr>
          <w:trHeight w:val="338" w:hRule="exact"/>
        </w:trPr>
        <w:tc>
          <w:tcPr>
            <w:tcW w:w="277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58</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5.30%</w:t>
            </w:r>
          </w:p>
        </w:tc>
      </w:tr>
      <w:tr>
        <w:trPr>
          <w:trHeight w:val="336" w:hRule="exact"/>
        </w:trPr>
        <w:tc>
          <w:tcPr>
            <w:tcW w:w="277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z w:val="18"/>
              </w:rPr>
              <w:t>76</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6.94%</w:t>
            </w:r>
          </w:p>
        </w:tc>
      </w:tr>
      <w:tr>
        <w:trPr>
          <w:trHeight w:val="338" w:hRule="exact"/>
        </w:trPr>
        <w:tc>
          <w:tcPr>
            <w:tcW w:w="2773"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z w:val="18"/>
              </w:rPr>
              <w:t>18</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1.64%</w:t>
            </w:r>
          </w:p>
        </w:tc>
      </w:tr>
      <w:tr>
        <w:trPr>
          <w:trHeight w:val="341" w:hRule="exact"/>
        </w:trPr>
        <w:tc>
          <w:tcPr>
            <w:tcW w:w="2773" w:type="dxa"/>
            <w:tcBorders>
              <w:top w:val="single" w:sz="4" w:space="0" w:color="000000"/>
              <w:left w:val="single" w:sz="4" w:space="0" w:color="000000"/>
              <w:bottom w:val="single" w:sz="6" w:space="0" w:color="000000"/>
              <w:right w:val="single" w:sz="6" w:space="0" w:color="000000"/>
            </w:tcBorders>
          </w:tcPr>
          <w:p>
            <w:pPr>
              <w:pStyle w:val="TableParagraph"/>
              <w:spacing w:line="273" w:lineRule="exact"/>
              <w:ind w:left="9"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总计</w:t>
            </w:r>
            <w:r>
              <w:rPr>
                <w:rFonts w:ascii="微软雅黑" w:hAnsi="微软雅黑" w:cs="微软雅黑" w:eastAsia="微软雅黑" w:hint="default"/>
                <w:sz w:val="18"/>
                <w:szCs w:val="18"/>
              </w:rPr>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1095</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）人员专业构成饼状图</w:t>
      </w:r>
    </w:p>
    <w:p>
      <w:pPr>
        <w:spacing w:line="240" w:lineRule="auto" w:before="10"/>
        <w:rPr>
          <w:rFonts w:ascii="宋体" w:hAnsi="宋体" w:cs="宋体" w:eastAsia="宋体" w:hint="default"/>
          <w:sz w:val="19"/>
          <w:szCs w:val="19"/>
        </w:rPr>
      </w:pPr>
    </w:p>
    <w:p>
      <w:pPr>
        <w:spacing w:line="5049" w:lineRule="exact"/>
        <w:ind w:left="334"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954213" cy="320611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9" cstate="print"/>
                    <a:stretch>
                      <a:fillRect/>
                    </a:stretch>
                  </pic:blipFill>
                  <pic:spPr>
                    <a:xfrm>
                      <a:off x="0" y="0"/>
                      <a:ext cx="5954213" cy="320611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4"/>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）教育程度类别</w:t>
      </w:r>
    </w:p>
    <w:p>
      <w:pPr>
        <w:spacing w:after="0"/>
        <w:jc w:val="left"/>
        <w:rPr>
          <w:rFonts w:ascii="宋体" w:hAnsi="宋体" w:cs="宋体" w:eastAsia="宋体" w:hint="default"/>
          <w:sz w:val="21"/>
          <w:szCs w:val="21"/>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3277"/>
        <w:gridCol w:w="2940"/>
        <w:gridCol w:w="3164"/>
      </w:tblGrid>
      <w:tr>
        <w:trPr>
          <w:trHeight w:val="545" w:hRule="exact"/>
        </w:trPr>
        <w:tc>
          <w:tcPr>
            <w:tcW w:w="327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5"/>
              <w:ind w:left="6"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教育程度的类别</w:t>
            </w:r>
            <w:r>
              <w:rPr>
                <w:rFonts w:ascii="微软雅黑" w:hAnsi="微软雅黑" w:cs="微软雅黑" w:eastAsia="微软雅黑" w:hint="default"/>
                <w:sz w:val="18"/>
                <w:szCs w:val="18"/>
              </w:rPr>
            </w:r>
          </w:p>
        </w:tc>
        <w:tc>
          <w:tcPr>
            <w:tcW w:w="294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5"/>
              <w:ind w:left="1"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人数（人）</w:t>
            </w:r>
            <w:r>
              <w:rPr>
                <w:rFonts w:ascii="微软雅黑" w:hAnsi="微软雅黑" w:cs="微软雅黑" w:eastAsia="微软雅黑" w:hint="default"/>
                <w:sz w:val="18"/>
                <w:szCs w:val="18"/>
              </w:rPr>
            </w:r>
          </w:p>
        </w:tc>
        <w:tc>
          <w:tcPr>
            <w:tcW w:w="316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比例（</w:t>
            </w:r>
            <w:r>
              <w:rPr>
                <w:rFonts w:ascii="Arial" w:hAnsi="Arial" w:cs="Arial" w:eastAsia="Arial" w:hint="default"/>
                <w:b/>
                <w:bCs/>
                <w:sz w:val="18"/>
                <w:szCs w:val="18"/>
              </w:rPr>
              <w:t>%</w:t>
            </w:r>
            <w:r>
              <w:rPr>
                <w:rFonts w:ascii="微软雅黑" w:hAnsi="微软雅黑" w:cs="微软雅黑" w:eastAsia="微软雅黑" w:hint="default"/>
                <w:b/>
                <w:bCs/>
                <w:sz w:val="18"/>
                <w:szCs w:val="18"/>
              </w:rPr>
              <w:t>）</w:t>
            </w:r>
            <w:r>
              <w:rPr>
                <w:rFonts w:ascii="微软雅黑" w:hAnsi="微软雅黑" w:cs="微软雅黑" w:eastAsia="微软雅黑" w:hint="default"/>
                <w:sz w:val="18"/>
                <w:szCs w:val="18"/>
              </w:rPr>
            </w:r>
          </w:p>
        </w:tc>
      </w:tr>
      <w:tr>
        <w:trPr>
          <w:trHeight w:val="538" w:hRule="exact"/>
        </w:trPr>
        <w:tc>
          <w:tcPr>
            <w:tcW w:w="3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1</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0.09%</w:t>
            </w:r>
          </w:p>
        </w:tc>
      </w:tr>
      <w:tr>
        <w:trPr>
          <w:trHeight w:val="535" w:hRule="exact"/>
        </w:trPr>
        <w:tc>
          <w:tcPr>
            <w:tcW w:w="3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9</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0.82%</w:t>
            </w:r>
          </w:p>
        </w:tc>
      </w:tr>
      <w:tr>
        <w:trPr>
          <w:trHeight w:val="538" w:hRule="exact"/>
        </w:trPr>
        <w:tc>
          <w:tcPr>
            <w:tcW w:w="3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7" w:right="0"/>
              <w:jc w:val="center"/>
              <w:rPr>
                <w:rFonts w:ascii="宋体" w:hAnsi="宋体" w:cs="宋体" w:eastAsia="宋体" w:hint="default"/>
                <w:sz w:val="18"/>
                <w:szCs w:val="18"/>
              </w:rPr>
            </w:pPr>
            <w:r>
              <w:rPr>
                <w:rFonts w:ascii="宋体" w:hAnsi="宋体" w:cs="宋体" w:eastAsia="宋体" w:hint="default"/>
                <w:sz w:val="18"/>
                <w:szCs w:val="18"/>
              </w:rPr>
              <w:t>大学本科及以上</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54</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4.93%</w:t>
            </w:r>
          </w:p>
        </w:tc>
      </w:tr>
      <w:tr>
        <w:trPr>
          <w:trHeight w:val="538" w:hRule="exact"/>
        </w:trPr>
        <w:tc>
          <w:tcPr>
            <w:tcW w:w="3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58</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5.30%</w:t>
            </w:r>
          </w:p>
        </w:tc>
      </w:tr>
      <w:tr>
        <w:trPr>
          <w:trHeight w:val="538" w:hRule="exact"/>
        </w:trPr>
        <w:tc>
          <w:tcPr>
            <w:tcW w:w="3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中专、技校及高中</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266</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pacing w:val="-1"/>
                <w:sz w:val="18"/>
              </w:rPr>
              <w:t>24.29%</w:t>
            </w:r>
          </w:p>
        </w:tc>
      </w:tr>
      <w:tr>
        <w:trPr>
          <w:trHeight w:val="536" w:hRule="exact"/>
        </w:trPr>
        <w:tc>
          <w:tcPr>
            <w:tcW w:w="3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left="7" w:right="0"/>
              <w:jc w:val="center"/>
              <w:rPr>
                <w:rFonts w:ascii="宋体" w:hAnsi="宋体" w:cs="宋体" w:eastAsia="宋体" w:hint="default"/>
                <w:sz w:val="18"/>
                <w:szCs w:val="18"/>
              </w:rPr>
            </w:pPr>
            <w:r>
              <w:rPr>
                <w:rFonts w:ascii="宋体" w:hAnsi="宋体" w:cs="宋体" w:eastAsia="宋体" w:hint="default"/>
                <w:sz w:val="18"/>
                <w:szCs w:val="18"/>
              </w:rPr>
              <w:t>初中及以下</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z w:val="18"/>
              </w:rPr>
              <w:t>707</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right"/>
              <w:rPr>
                <w:rFonts w:ascii="宋体" w:hAnsi="宋体" w:cs="宋体" w:eastAsia="宋体" w:hint="default"/>
                <w:sz w:val="18"/>
                <w:szCs w:val="18"/>
              </w:rPr>
            </w:pPr>
            <w:r>
              <w:rPr>
                <w:rFonts w:ascii="宋体"/>
                <w:spacing w:val="-1"/>
                <w:sz w:val="18"/>
              </w:rPr>
              <w:t>64.57%</w:t>
            </w:r>
          </w:p>
        </w:tc>
      </w:tr>
      <w:tr>
        <w:trPr>
          <w:trHeight w:val="538" w:hRule="exact"/>
        </w:trPr>
        <w:tc>
          <w:tcPr>
            <w:tcW w:w="3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8"/>
              <w:ind w:left="9"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总计</w:t>
            </w:r>
            <w:r>
              <w:rPr>
                <w:rFonts w:ascii="微软雅黑" w:hAnsi="微软雅黑" w:cs="微软雅黑" w:eastAsia="微软雅黑" w:hint="default"/>
                <w:sz w:val="18"/>
                <w:szCs w:val="18"/>
              </w:rPr>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1095</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sz w:val="20"/>
          <w:szCs w:val="20"/>
        </w:rPr>
      </w:pPr>
    </w:p>
    <w:p>
      <w:pPr>
        <w:spacing w:before="36"/>
        <w:ind w:left="29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）人员教育构成饼状图</w:t>
      </w:r>
    </w:p>
    <w:p>
      <w:pPr>
        <w:spacing w:line="240" w:lineRule="auto" w:before="9"/>
        <w:rPr>
          <w:rFonts w:ascii="宋体" w:hAnsi="宋体" w:cs="宋体" w:eastAsia="宋体" w:hint="default"/>
          <w:sz w:val="19"/>
          <w:szCs w:val="19"/>
        </w:rPr>
      </w:pPr>
    </w:p>
    <w:p>
      <w:pPr>
        <w:spacing w:line="5922" w:lineRule="exact"/>
        <w:ind w:left="114" w:right="0" w:firstLine="0"/>
        <w:rPr>
          <w:rFonts w:ascii="宋体" w:hAnsi="宋体" w:cs="宋体" w:eastAsia="宋体" w:hint="default"/>
          <w:sz w:val="20"/>
          <w:szCs w:val="20"/>
        </w:rPr>
      </w:pPr>
      <w:r>
        <w:rPr>
          <w:rFonts w:ascii="宋体" w:hAnsi="宋体" w:cs="宋体" w:eastAsia="宋体" w:hint="default"/>
          <w:position w:val="-117"/>
          <w:sz w:val="20"/>
          <w:szCs w:val="20"/>
        </w:rPr>
        <w:drawing>
          <wp:inline distT="0" distB="0" distL="0" distR="0">
            <wp:extent cx="6343163" cy="376094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0" cstate="print"/>
                    <a:stretch>
                      <a:fillRect/>
                    </a:stretch>
                  </pic:blipFill>
                  <pic:spPr>
                    <a:xfrm>
                      <a:off x="0" y="0"/>
                      <a:ext cx="6343163" cy="3760946"/>
                    </a:xfrm>
                    <a:prstGeom prst="rect">
                      <a:avLst/>
                    </a:prstGeom>
                  </pic:spPr>
                </pic:pic>
              </a:graphicData>
            </a:graphic>
          </wp:inline>
        </w:drawing>
      </w:r>
      <w:r>
        <w:rPr>
          <w:rFonts w:ascii="宋体" w:hAnsi="宋体" w:cs="宋体" w:eastAsia="宋体" w:hint="default"/>
          <w:position w:val="-117"/>
          <w:sz w:val="20"/>
          <w:szCs w:val="20"/>
        </w:rPr>
      </w:r>
    </w:p>
    <w:p>
      <w:pPr>
        <w:spacing w:after="0" w:line="5922" w:lineRule="exact"/>
        <w:rPr>
          <w:rFonts w:ascii="宋体" w:hAnsi="宋体" w:cs="宋体" w:eastAsia="宋体" w:hint="default"/>
          <w:sz w:val="20"/>
          <w:szCs w:val="20"/>
        </w:rPr>
        <w:sectPr>
          <w:pgSz w:w="11910" w:h="16840"/>
          <w:pgMar w:header="745" w:footer="1340" w:top="1060" w:bottom="154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458" w:lineRule="exact" w:before="0"/>
        <w:ind w:left="0" w:right="976"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第八节</w:t>
      </w:r>
      <w:r>
        <w:rPr>
          <w:rFonts w:ascii="微软雅黑" w:hAnsi="微软雅黑" w:cs="微软雅黑" w:eastAsia="微软雅黑" w:hint="default"/>
          <w:b/>
          <w:bCs/>
          <w:spacing w:val="73"/>
          <w:sz w:val="32"/>
          <w:szCs w:val="32"/>
        </w:rPr>
        <w:t> </w:t>
      </w:r>
      <w:r>
        <w:rPr>
          <w:rFonts w:ascii="微软雅黑" w:hAnsi="微软雅黑" w:cs="微软雅黑" w:eastAsia="微软雅黑" w:hint="default"/>
          <w:b/>
          <w:bCs/>
          <w:sz w:val="32"/>
          <w:szCs w:val="32"/>
        </w:rPr>
        <w:t>公司治理</w:t>
      </w:r>
      <w:r>
        <w:rPr>
          <w:rFonts w:ascii="微软雅黑" w:hAnsi="微软雅黑" w:cs="微软雅黑" w:eastAsia="微软雅黑" w:hint="default"/>
          <w:sz w:val="32"/>
          <w:szCs w:val="32"/>
        </w:rPr>
      </w:r>
    </w:p>
    <w:p>
      <w:pPr>
        <w:spacing w:line="240" w:lineRule="auto" w:before="13"/>
        <w:rPr>
          <w:rFonts w:ascii="微软雅黑" w:hAnsi="微软雅黑" w:cs="微软雅黑" w:eastAsia="微软雅黑" w:hint="default"/>
          <w:b/>
          <w:bCs/>
          <w:sz w:val="25"/>
          <w:szCs w:val="25"/>
        </w:rPr>
      </w:pPr>
    </w:p>
    <w:p>
      <w:pPr>
        <w:spacing w:line="369" w:lineRule="exact"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一、公司治理的基本状况</w:t>
      </w:r>
      <w:r>
        <w:rPr>
          <w:rFonts w:ascii="微软雅黑" w:hAnsi="微软雅黑" w:cs="微软雅黑" w:eastAsia="微软雅黑" w:hint="default"/>
          <w:sz w:val="24"/>
          <w:szCs w:val="24"/>
        </w:rPr>
      </w:r>
    </w:p>
    <w:p>
      <w:pPr>
        <w:spacing w:line="240" w:lineRule="auto" w:before="17"/>
        <w:rPr>
          <w:rFonts w:ascii="微软雅黑" w:hAnsi="微软雅黑" w:cs="微软雅黑" w:eastAsia="微软雅黑" w:hint="default"/>
          <w:b/>
          <w:bCs/>
          <w:sz w:val="27"/>
          <w:szCs w:val="27"/>
        </w:rPr>
      </w:pPr>
    </w:p>
    <w:p>
      <w:pPr>
        <w:pStyle w:val="BodyText"/>
        <w:spacing w:line="489" w:lineRule="auto"/>
        <w:ind w:right="1039" w:firstLine="360"/>
        <w:jc w:val="left"/>
      </w:pPr>
      <w:r>
        <w:rPr>
          <w:spacing w:val="-2"/>
        </w:rPr>
        <w:t>报告期内，公司严格按照《公司法》、《证券法》和《上市公司治理准则》等法律法规及规范性文件的要求，不断完善</w:t>
      </w:r>
      <w:r>
        <w:rPr/>
        <w:t> </w:t>
      </w:r>
      <w:r>
        <w:rPr>
          <w:spacing w:val="-2"/>
        </w:rPr>
        <w:t>公司法人治理结构，建立健全现代企业制度，以促进公司规范运作。报告期内，公司全面修订完善了《公司章程》、《股东</w:t>
      </w:r>
      <w:r>
        <w:rPr>
          <w:spacing w:val="-65"/>
        </w:rPr>
        <w:t> </w:t>
      </w:r>
      <w:r>
        <w:rPr>
          <w:spacing w:val="-65"/>
        </w:rPr>
      </w:r>
      <w:r>
        <w:rPr>
          <w:spacing w:val="-2"/>
        </w:rPr>
        <w:t>大会议事规则》、《董事会议事规则》、《监事会议事规则》、《独立董事工作细则》、《对外担保管理制度》、《关联交</w:t>
      </w:r>
      <w:r>
        <w:rPr>
          <w:spacing w:val="-68"/>
        </w:rPr>
        <w:t> </w:t>
      </w:r>
      <w:r>
        <w:rPr>
          <w:spacing w:val="-68"/>
        </w:rPr>
      </w:r>
      <w:r>
        <w:rPr>
          <w:spacing w:val="-6"/>
        </w:rPr>
        <w:t>易管理制度》、《内幕信息管理人登记管理制度》等</w:t>
      </w:r>
      <w:r>
        <w:rPr>
          <w:rFonts w:ascii="宋体" w:hAnsi="宋体" w:cs="宋体" w:eastAsia="宋体" w:hint="default"/>
          <w:spacing w:val="-6"/>
        </w:rPr>
        <w:t>108</w:t>
      </w:r>
      <w:r>
        <w:rPr>
          <w:spacing w:val="-6"/>
        </w:rPr>
        <w:t>项制度，编制了《关于公司未来三年（</w:t>
      </w:r>
      <w:r>
        <w:rPr>
          <w:rFonts w:ascii="宋体" w:hAnsi="宋体" w:cs="宋体" w:eastAsia="宋体" w:hint="default"/>
          <w:spacing w:val="-6"/>
        </w:rPr>
        <w:t>2012-2014</w:t>
      </w:r>
      <w:r>
        <w:rPr>
          <w:spacing w:val="-6"/>
        </w:rPr>
        <w:t>年）股东回报规划》，</w:t>
      </w:r>
      <w:r>
        <w:rPr>
          <w:spacing w:val="-79"/>
        </w:rPr>
        <w:t> </w:t>
      </w:r>
      <w:r>
        <w:rPr>
          <w:spacing w:val="-79"/>
        </w:rPr>
      </w:r>
      <w:r>
        <w:rPr>
          <w:spacing w:val="-2"/>
        </w:rPr>
        <w:t>并依法履行了相关审批程序。截至报告期末，公司已建立了较为完善的法人治理结构，公司法人治理的实际状况与中国证监</w:t>
      </w:r>
      <w:r>
        <w:rPr>
          <w:spacing w:val="-63"/>
        </w:rPr>
        <w:t> </w:t>
      </w:r>
      <w:r>
        <w:rPr>
          <w:spacing w:val="-63"/>
        </w:rPr>
      </w:r>
      <w:r>
        <w:rPr/>
        <w:t>会发布的有关上市公司治理的规范性文件的要求基本一致。</w:t>
      </w:r>
    </w:p>
    <w:p>
      <w:pPr>
        <w:pStyle w:val="Heading4"/>
        <w:spacing w:line="240" w:lineRule="auto"/>
        <w:ind w:left="573" w:right="0"/>
        <w:jc w:val="left"/>
      </w:pPr>
      <w:r>
        <w:rPr>
          <w:rFonts w:ascii="宋体" w:hAnsi="宋体" w:cs="宋体" w:eastAsia="宋体" w:hint="default"/>
        </w:rPr>
        <w:t>1</w:t>
      </w:r>
      <w:r>
        <w:rPr/>
        <w:t>、关于股东与股东大会：</w:t>
      </w:r>
    </w:p>
    <w:p>
      <w:pPr>
        <w:spacing w:line="240" w:lineRule="auto" w:before="5"/>
        <w:rPr>
          <w:rFonts w:ascii="宋体" w:hAnsi="宋体" w:cs="宋体" w:eastAsia="宋体" w:hint="default"/>
          <w:sz w:val="18"/>
          <w:szCs w:val="18"/>
        </w:rPr>
      </w:pPr>
    </w:p>
    <w:p>
      <w:pPr>
        <w:pStyle w:val="BodyText"/>
        <w:spacing w:line="489" w:lineRule="auto"/>
        <w:ind w:right="1034" w:firstLine="360"/>
        <w:jc w:val="left"/>
      </w:pPr>
      <w:r>
        <w:rPr/>
        <w:t>公司严格按照《股东大会规范意见》的要求召集、召开股东大会，并由律师出席见证：公司与股东保持了有效的沟通， 确保所有股东平等、充分地行使权利。报告期内，公司召开了</w:t>
      </w:r>
      <w:r>
        <w:rPr>
          <w:rFonts w:ascii="宋体" w:hAnsi="宋体" w:cs="宋体" w:eastAsia="宋体" w:hint="default"/>
        </w:rPr>
        <w:t>2011</w:t>
      </w:r>
      <w:r>
        <w:rPr/>
        <w:t>年度股东大会和三次临时股东大会。</w:t>
      </w:r>
    </w:p>
    <w:p>
      <w:pPr>
        <w:pStyle w:val="Heading4"/>
        <w:spacing w:line="240" w:lineRule="auto"/>
        <w:ind w:left="573" w:right="0"/>
        <w:jc w:val="left"/>
      </w:pPr>
      <w:r>
        <w:rPr>
          <w:rFonts w:ascii="宋体" w:hAnsi="宋体" w:cs="宋体" w:eastAsia="宋体" w:hint="default"/>
        </w:rPr>
        <w:t>2</w:t>
      </w:r>
      <w:r>
        <w:rPr/>
        <w:t>、关于控股股东与公司的关系：</w:t>
      </w:r>
    </w:p>
    <w:p>
      <w:pPr>
        <w:spacing w:line="240" w:lineRule="auto" w:before="5"/>
        <w:rPr>
          <w:rFonts w:ascii="宋体" w:hAnsi="宋体" w:cs="宋体" w:eastAsia="宋体" w:hint="default"/>
          <w:sz w:val="18"/>
          <w:szCs w:val="18"/>
        </w:rPr>
      </w:pPr>
    </w:p>
    <w:p>
      <w:pPr>
        <w:pStyle w:val="BodyText"/>
        <w:spacing w:line="489" w:lineRule="auto"/>
        <w:ind w:right="0" w:firstLine="360"/>
        <w:jc w:val="left"/>
      </w:pPr>
      <w:r>
        <w:rPr>
          <w:spacing w:val="-2"/>
        </w:rPr>
        <w:t>公司与控股股东在资产、人员、机构等方面保持独立，控股股东没有超越股东大会直接或间接干预公司的决策和经营活</w:t>
      </w:r>
      <w:r>
        <w:rPr/>
        <w:t> 动，不存在控股股东及其关联方占用公司资金或资产的情况。</w:t>
      </w:r>
    </w:p>
    <w:p>
      <w:pPr>
        <w:pStyle w:val="Heading4"/>
        <w:spacing w:line="240" w:lineRule="auto"/>
        <w:ind w:left="573" w:right="0"/>
        <w:jc w:val="left"/>
      </w:pPr>
      <w:r>
        <w:rPr>
          <w:rFonts w:ascii="宋体" w:hAnsi="宋体" w:cs="宋体" w:eastAsia="宋体" w:hint="default"/>
        </w:rPr>
        <w:t>3</w:t>
      </w:r>
      <w:r>
        <w:rPr/>
        <w:t>、关于董事与董事会：</w:t>
      </w:r>
    </w:p>
    <w:p>
      <w:pPr>
        <w:spacing w:line="240" w:lineRule="auto" w:before="5"/>
        <w:rPr>
          <w:rFonts w:ascii="宋体" w:hAnsi="宋体" w:cs="宋体" w:eastAsia="宋体" w:hint="default"/>
          <w:sz w:val="18"/>
          <w:szCs w:val="18"/>
        </w:rPr>
      </w:pPr>
    </w:p>
    <w:p>
      <w:pPr>
        <w:pStyle w:val="BodyText"/>
        <w:spacing w:line="489" w:lineRule="auto"/>
        <w:ind w:right="1131" w:firstLine="360"/>
        <w:jc w:val="both"/>
      </w:pPr>
      <w:r>
        <w:rPr>
          <w:spacing w:val="-2"/>
        </w:rPr>
        <w:t>报告期内，公司董事会能够严格按照相关法律法规及《公司章程》的规定召开董事会会议、召集股东大会。公司设有三</w:t>
      </w:r>
      <w:r>
        <w:rPr/>
        <w:t> </w:t>
      </w:r>
      <w:r>
        <w:rPr>
          <w:spacing w:val="-2"/>
        </w:rPr>
        <w:t>名独立董事，占董事会总人数的三分之一以上：公司各位董事能够严格按照《董事会议事规则》的要求，以认真负责的态度</w:t>
      </w:r>
      <w:r>
        <w:rPr>
          <w:spacing w:val="-67"/>
        </w:rPr>
        <w:t> </w:t>
      </w:r>
      <w:r>
        <w:rPr>
          <w:spacing w:val="-67"/>
        </w:rPr>
      </w:r>
      <w:r>
        <w:rPr/>
        <w:t>出席董事会和股东大会，公司全体董事均能够亲自出席报告期内召开的</w:t>
      </w:r>
      <w:r>
        <w:rPr>
          <w:rFonts w:ascii="宋体" w:hAnsi="宋体" w:cs="宋体" w:eastAsia="宋体" w:hint="default"/>
        </w:rPr>
        <w:t>6</w:t>
      </w:r>
      <w:r>
        <w:rPr/>
        <w:t>次董事会，没有发生缺席或委托他人出席的情况，</w:t>
      </w:r>
      <w:r>
        <w:rPr>
          <w:spacing w:val="-84"/>
        </w:rPr>
        <w:t> </w:t>
      </w:r>
      <w:r>
        <w:rPr>
          <w:spacing w:val="-84"/>
        </w:rPr>
      </w:r>
      <w:r>
        <w:rPr>
          <w:spacing w:val="-2"/>
        </w:rPr>
        <w:t>同时，公司董事还能够为公司的经营和发展献计献策，能够积极参加中国证监会组织的相关培训。报告期内，公司董事会召</w:t>
      </w:r>
      <w:r>
        <w:rPr>
          <w:spacing w:val="-64"/>
        </w:rPr>
        <w:t> </w:t>
      </w:r>
      <w:r>
        <w:rPr>
          <w:spacing w:val="-64"/>
        </w:rPr>
      </w:r>
      <w:r>
        <w:rPr/>
        <w:t>开了</w:t>
      </w:r>
      <w:r>
        <w:rPr>
          <w:rFonts w:ascii="宋体" w:hAnsi="宋体" w:cs="宋体" w:eastAsia="宋体" w:hint="default"/>
        </w:rPr>
        <w:t>6</w:t>
      </w:r>
      <w:r>
        <w:rPr/>
        <w:t>次董事会，召集了一次</w:t>
      </w:r>
      <w:r>
        <w:rPr>
          <w:rFonts w:ascii="宋体" w:hAnsi="宋体" w:cs="宋体" w:eastAsia="宋体" w:hint="default"/>
        </w:rPr>
        <w:t>2011</w:t>
      </w:r>
      <w:r>
        <w:rPr/>
        <w:t>年度股东大会和三次</w:t>
      </w:r>
      <w:r>
        <w:rPr>
          <w:rFonts w:ascii="宋体" w:hAnsi="宋体" w:cs="宋体" w:eastAsia="宋体" w:hint="default"/>
        </w:rPr>
        <w:t>2012</w:t>
      </w:r>
      <w:r>
        <w:rPr/>
        <w:t>年临时股东大会。</w:t>
      </w:r>
    </w:p>
    <w:p>
      <w:pPr>
        <w:pStyle w:val="Heading4"/>
        <w:spacing w:line="240" w:lineRule="auto" w:before="23"/>
        <w:ind w:left="573" w:right="0"/>
        <w:jc w:val="left"/>
      </w:pPr>
      <w:r>
        <w:rPr>
          <w:rFonts w:ascii="宋体" w:hAnsi="宋体" w:cs="宋体" w:eastAsia="宋体" w:hint="default"/>
        </w:rPr>
        <w:t>4</w:t>
      </w:r>
      <w:r>
        <w:rPr/>
        <w:t>、关于监事和监事会：</w:t>
      </w:r>
    </w:p>
    <w:p>
      <w:pPr>
        <w:spacing w:line="240" w:lineRule="auto" w:before="5"/>
        <w:rPr>
          <w:rFonts w:ascii="宋体" w:hAnsi="宋体" w:cs="宋体" w:eastAsia="宋体" w:hint="default"/>
          <w:sz w:val="18"/>
          <w:szCs w:val="18"/>
        </w:rPr>
      </w:pPr>
    </w:p>
    <w:p>
      <w:pPr>
        <w:pStyle w:val="BodyText"/>
        <w:spacing w:line="489" w:lineRule="auto"/>
        <w:ind w:right="0" w:firstLine="360"/>
        <w:jc w:val="left"/>
      </w:pPr>
      <w:r>
        <w:rPr>
          <w:spacing w:val="-2"/>
        </w:rPr>
        <w:t>报告期内，公司严格按照相关法律法规及《公司章程》的规定召开监事会会议。公司监事能勤勉履行职责，对公司经营</w:t>
      </w:r>
      <w:r>
        <w:rPr/>
        <w:t> 情况以及董事和高级管理人员履行职责的合法性进行监督，并独立发表意见。</w:t>
      </w:r>
    </w:p>
    <w:p>
      <w:pPr>
        <w:pStyle w:val="Heading4"/>
        <w:spacing w:line="240" w:lineRule="auto"/>
        <w:ind w:left="573" w:right="0"/>
        <w:jc w:val="left"/>
      </w:pPr>
      <w:r>
        <w:rPr>
          <w:rFonts w:ascii="宋体" w:hAnsi="宋体" w:cs="宋体" w:eastAsia="宋体" w:hint="default"/>
        </w:rPr>
        <w:t>5</w:t>
      </w:r>
      <w:r>
        <w:rPr/>
        <w:t>、关于信息披露与透明度：</w:t>
      </w:r>
    </w:p>
    <w:p>
      <w:pPr>
        <w:spacing w:line="240" w:lineRule="auto" w:before="5"/>
        <w:rPr>
          <w:rFonts w:ascii="宋体" w:hAnsi="宋体" w:cs="宋体" w:eastAsia="宋体" w:hint="default"/>
          <w:sz w:val="18"/>
          <w:szCs w:val="18"/>
        </w:rPr>
      </w:pPr>
    </w:p>
    <w:p>
      <w:pPr>
        <w:pStyle w:val="BodyText"/>
        <w:spacing w:line="489" w:lineRule="auto"/>
        <w:ind w:right="0" w:firstLine="360"/>
        <w:jc w:val="left"/>
      </w:pPr>
      <w:r>
        <w:rPr>
          <w:spacing w:val="-2"/>
        </w:rPr>
        <w:t>报告期内，公司认真接待股东来访和咨询，及时答复投资者在线提问；来访接待工作坚持公平、公正、公开的原则，有</w:t>
      </w:r>
      <w:r>
        <w:rPr/>
        <w:t> 利地保障了所有投资者平等地享有知情权及其他合法权益。</w:t>
      </w:r>
    </w:p>
    <w:p>
      <w:pPr>
        <w:spacing w:after="0" w:line="489"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781456" type="#_x0000_t75" stroked="false">
            <v:imagedata r:id="rId13" o:titl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公司治理与《公司法》和中国证监会相关规定的要求是否存在差异</w:t>
      </w:r>
    </w:p>
    <w:p>
      <w:pPr>
        <w:pStyle w:val="BodyText"/>
        <w:spacing w:line="360" w:lineRule="auto" w:before="115"/>
        <w:ind w:right="5534"/>
        <w:jc w:val="left"/>
      </w:pPr>
      <w:r>
        <w:rPr/>
        <w:t>□ 是 √ 否 公司治理与《公司法》和中国证监会相关规定的要求不存在差异。</w:t>
      </w:r>
    </w:p>
    <w:p>
      <w:pPr>
        <w:pStyle w:val="BodyText"/>
        <w:spacing w:line="525" w:lineRule="auto" w:before="27"/>
        <w:ind w:left="513" w:right="1120" w:hanging="361"/>
        <w:jc w:val="left"/>
      </w:pPr>
      <w:r>
        <w:rPr/>
        <w:t>公司治理专项活动开展情况以及内幕信息知情人登记管理制度的制定、实施情况 公司七届二次董事会、七届二次监事会于</w:t>
      </w:r>
      <w:r>
        <w:rPr>
          <w:rFonts w:ascii="宋体" w:hAnsi="宋体" w:cs="宋体" w:eastAsia="宋体" w:hint="default"/>
        </w:rPr>
        <w:t>2012</w:t>
      </w:r>
      <w:r>
        <w:rPr>
          <w:rFonts w:ascii="宋体" w:hAnsi="宋体" w:cs="宋体" w:eastAsia="宋体" w:hint="default"/>
          <w:spacing w:val="3"/>
        </w:rPr>
        <w:t> </w:t>
      </w:r>
      <w:r>
        <w:rPr/>
        <w:t>年</w:t>
      </w:r>
      <w:r>
        <w:rPr>
          <w:rFonts w:ascii="宋体" w:hAnsi="宋体" w:cs="宋体" w:eastAsia="宋体" w:hint="default"/>
        </w:rPr>
        <w:t>8</w:t>
      </w:r>
      <w:r>
        <w:rPr/>
        <w:t>月</w:t>
      </w:r>
      <w:r>
        <w:rPr>
          <w:rFonts w:ascii="宋体" w:hAnsi="宋体" w:cs="宋体" w:eastAsia="宋体" w:hint="default"/>
        </w:rPr>
        <w:t>9</w:t>
      </w:r>
      <w:r>
        <w:rPr/>
        <w:t>日审议通过了包括《深圳市深信泰丰（集团）股份有限公司内幕</w:t>
      </w:r>
    </w:p>
    <w:p>
      <w:pPr>
        <w:pStyle w:val="BodyText"/>
        <w:spacing w:line="240" w:lineRule="auto" w:before="30"/>
        <w:ind w:right="0"/>
        <w:jc w:val="left"/>
      </w:pPr>
      <w:r>
        <w:rPr/>
        <w:t>信息知情人登记管理制度》等在内的</w:t>
      </w:r>
      <w:r>
        <w:rPr>
          <w:rFonts w:ascii="宋体" w:hAnsi="宋体" w:cs="宋体" w:eastAsia="宋体" w:hint="default"/>
        </w:rPr>
        <w:t>108</w:t>
      </w:r>
      <w:r>
        <w:rPr/>
        <w:t>项制度，相关公告详见巨潮资讯网（</w:t>
      </w:r>
      <w:hyperlink r:id="rId8">
        <w:r>
          <w:rPr>
            <w:rFonts w:ascii="宋体" w:hAnsi="宋体" w:cs="宋体" w:eastAsia="宋体" w:hint="default"/>
          </w:rPr>
          <w:t>http://www.cninfo.com.cn</w:t>
        </w:r>
      </w:hyperlink>
      <w:r>
        <w:rPr/>
        <w:t>）。</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、本报告期年度股东大会情况</w:t>
      </w:r>
      <w:r>
        <w:rPr>
          <w:b w:val="0"/>
          <w:bCs w:val="0"/>
        </w:rPr>
      </w:r>
    </w:p>
    <w:p>
      <w:pPr>
        <w:spacing w:line="240" w:lineRule="auto" w:before="15"/>
        <w:rPr>
          <w:rFonts w:ascii="微软雅黑" w:hAnsi="微软雅黑" w:cs="微软雅黑" w:eastAsia="微软雅黑"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33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8"/>
              <w:ind w:right="0"/>
              <w:jc w:val="left"/>
              <w:rPr>
                <w:rFonts w:ascii="微软雅黑" w:hAnsi="微软雅黑" w:cs="微软雅黑" w:eastAsia="微软雅黑" w:hint="default"/>
                <w:b/>
                <w:bCs/>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8"/>
              <w:ind w:right="0"/>
              <w:jc w:val="left"/>
              <w:rPr>
                <w:rFonts w:ascii="微软雅黑" w:hAnsi="微软雅黑" w:cs="微软雅黑" w:eastAsia="微软雅黑"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、审议《公司</w:t>
            </w:r>
            <w:r>
              <w:rPr>
                <w:rFonts w:ascii="宋体" w:hAnsi="宋体" w:cs="宋体" w:eastAsia="宋体" w:hint="default"/>
                <w:spacing w:val="-43"/>
                <w:sz w:val="18"/>
                <w:szCs w:val="18"/>
              </w:rPr>
              <w:t> </w:t>
            </w:r>
            <w:r>
              <w:rPr>
                <w:rFonts w:ascii="宋体" w:hAnsi="宋体" w:cs="宋体" w:eastAsia="宋体" w:hint="default"/>
                <w:sz w:val="18"/>
                <w:szCs w:val="18"/>
              </w:rPr>
              <w:t>2011 </w:t>
            </w:r>
            <w:r>
              <w:rPr>
                <w:rFonts w:ascii="宋体" w:hAnsi="宋体" w:cs="宋体" w:eastAsia="宋体" w:hint="default"/>
                <w:sz w:val="18"/>
                <w:szCs w:val="18"/>
              </w:rPr>
              <w:t>年度董事会工作报 告》的议案；</w:t>
            </w:r>
            <w:r>
              <w:rPr>
                <w:rFonts w:ascii="宋体" w:hAnsi="宋体" w:cs="宋体" w:eastAsia="宋体" w:hint="default"/>
                <w:sz w:val="18"/>
                <w:szCs w:val="18"/>
              </w:rPr>
              <w:t>2</w:t>
            </w:r>
            <w:r>
              <w:rPr>
                <w:rFonts w:ascii="宋体" w:hAnsi="宋体" w:cs="宋体" w:eastAsia="宋体" w:hint="default"/>
                <w:sz w:val="18"/>
                <w:szCs w:val="18"/>
              </w:rPr>
              <w:t>、审 议《公司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 </w:t>
            </w:r>
            <w:r>
              <w:rPr>
                <w:rFonts w:ascii="宋体" w:hAnsi="宋体" w:cs="宋体" w:eastAsia="宋体" w:hint="default"/>
                <w:spacing w:val="-10"/>
                <w:sz w:val="18"/>
                <w:szCs w:val="18"/>
              </w:rPr>
              <w:t>监事会工作报告》的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r>
              <w:rPr>
                <w:rFonts w:ascii="宋体" w:hAnsi="宋体" w:cs="宋体" w:eastAsia="宋体" w:hint="default"/>
                <w:sz w:val="18"/>
                <w:szCs w:val="18"/>
              </w:rPr>
              <w:t>3</w:t>
            </w:r>
            <w:r>
              <w:rPr>
                <w:rFonts w:ascii="宋体" w:hAnsi="宋体" w:cs="宋体" w:eastAsia="宋体" w:hint="default"/>
                <w:sz w:val="18"/>
                <w:szCs w:val="18"/>
              </w:rPr>
              <w:t>、审议《公 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年度报告全 文》及其摘要；</w:t>
            </w:r>
            <w:r>
              <w:rPr>
                <w:rFonts w:ascii="宋体" w:hAnsi="宋体" w:cs="宋体" w:eastAsia="宋体" w:hint="default"/>
                <w:sz w:val="18"/>
                <w:szCs w:val="18"/>
              </w:rPr>
              <w:t>4</w:t>
            </w:r>
            <w:r>
              <w:rPr>
                <w:rFonts w:ascii="宋体" w:hAnsi="宋体" w:cs="宋体" w:eastAsia="宋体" w:hint="default"/>
                <w:sz w:val="18"/>
                <w:szCs w:val="18"/>
              </w:rPr>
              <w:t>、 审议《公司关于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年度财务决算 </w:t>
            </w:r>
            <w:r>
              <w:rPr>
                <w:rFonts w:ascii="宋体" w:hAnsi="宋体" w:cs="宋体" w:eastAsia="宋体" w:hint="default"/>
                <w:spacing w:val="-18"/>
                <w:sz w:val="18"/>
                <w:szCs w:val="18"/>
              </w:rPr>
              <w:t>议案》；</w:t>
            </w:r>
            <w:r>
              <w:rPr>
                <w:rFonts w:ascii="宋体" w:hAnsi="宋体" w:cs="宋体" w:eastAsia="宋体" w:hint="default"/>
                <w:spacing w:val="-18"/>
                <w:sz w:val="18"/>
                <w:szCs w:val="18"/>
              </w:rPr>
              <w:t>5</w:t>
            </w:r>
            <w:r>
              <w:rPr>
                <w:rFonts w:ascii="宋体" w:hAnsi="宋体" w:cs="宋体" w:eastAsia="宋体" w:hint="default"/>
                <w:spacing w:val="-18"/>
                <w:sz w:val="18"/>
                <w:szCs w:val="18"/>
              </w:rPr>
              <w:t>、审议《公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年度利润分 </w:t>
            </w:r>
            <w:r>
              <w:rPr>
                <w:rFonts w:ascii="宋体" w:hAnsi="宋体" w:cs="宋体" w:eastAsia="宋体" w:hint="default"/>
                <w:spacing w:val="-33"/>
                <w:sz w:val="18"/>
                <w:szCs w:val="18"/>
              </w:rPr>
              <w:t>配方案》；</w:t>
            </w:r>
            <w:r>
              <w:rPr>
                <w:rFonts w:ascii="宋体" w:hAnsi="宋体" w:cs="宋体" w:eastAsia="宋体" w:hint="default"/>
                <w:spacing w:val="-33"/>
                <w:sz w:val="18"/>
                <w:szCs w:val="18"/>
              </w:rPr>
              <w:t>6</w:t>
            </w:r>
            <w:r>
              <w:rPr>
                <w:rFonts w:ascii="宋体" w:hAnsi="宋体" w:cs="宋体" w:eastAsia="宋体" w:hint="default"/>
                <w:spacing w:val="-33"/>
                <w:sz w:val="18"/>
                <w:szCs w:val="18"/>
              </w:rPr>
              <w:t>、审议《关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于聘请公司</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 度审计机构及支付 </w:t>
            </w:r>
            <w:r>
              <w:rPr>
                <w:rFonts w:ascii="宋体" w:hAnsi="宋体" w:cs="宋体" w:eastAsia="宋体" w:hint="default"/>
                <w:spacing w:val="-33"/>
                <w:sz w:val="18"/>
                <w:szCs w:val="18"/>
              </w:rPr>
              <w:t>报酬的议案》；</w:t>
            </w:r>
            <w:r>
              <w:rPr>
                <w:rFonts w:ascii="宋体" w:hAnsi="宋体" w:cs="宋体" w:eastAsia="宋体" w:hint="default"/>
                <w:spacing w:val="-33"/>
                <w:sz w:val="18"/>
                <w:szCs w:val="18"/>
              </w:rPr>
              <w:t>7</w:t>
            </w:r>
            <w:r>
              <w:rPr>
                <w:rFonts w:ascii="宋体" w:hAnsi="宋体" w:cs="宋体" w:eastAsia="宋体" w:hint="default"/>
                <w:spacing w:val="-33"/>
                <w:sz w:val="18"/>
                <w:szCs w:val="18"/>
              </w:rPr>
              <w:t>、《公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司关于董事会换届 </w:t>
            </w:r>
            <w:r>
              <w:rPr>
                <w:rFonts w:ascii="宋体" w:hAnsi="宋体" w:cs="宋体" w:eastAsia="宋体" w:hint="default"/>
                <w:spacing w:val="-19"/>
                <w:sz w:val="18"/>
                <w:szCs w:val="18"/>
              </w:rPr>
              <w:t>的议案》；</w:t>
            </w:r>
            <w:r>
              <w:rPr>
                <w:rFonts w:ascii="宋体" w:hAnsi="宋体" w:cs="宋体" w:eastAsia="宋体" w:hint="default"/>
                <w:spacing w:val="-19"/>
                <w:sz w:val="18"/>
                <w:szCs w:val="18"/>
              </w:rPr>
              <w:t>8</w:t>
            </w:r>
            <w:r>
              <w:rPr>
                <w:rFonts w:ascii="宋体" w:hAnsi="宋体" w:cs="宋体" w:eastAsia="宋体" w:hint="default"/>
                <w:spacing w:val="-19"/>
                <w:sz w:val="18"/>
                <w:szCs w:val="18"/>
              </w:rPr>
              <w:t>、《公司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关于监事会换届的 </w:t>
            </w:r>
            <w:r>
              <w:rPr>
                <w:rFonts w:ascii="宋体" w:hAnsi="宋体" w:cs="宋体" w:eastAsia="宋体" w:hint="default"/>
                <w:spacing w:val="-23"/>
                <w:sz w:val="18"/>
                <w:szCs w:val="18"/>
              </w:rPr>
              <w:t>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4"/>
              <w:ind w:right="0"/>
              <w:jc w:val="left"/>
              <w:rPr>
                <w:rFonts w:ascii="微软雅黑" w:hAnsi="微软雅黑" w:cs="微软雅黑" w:eastAsia="微软雅黑" w:hint="default"/>
                <w:b/>
                <w:bCs/>
                <w:sz w:val="12"/>
                <w:szCs w:val="1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八项议案均以同意 </w:t>
            </w:r>
            <w:r>
              <w:rPr>
                <w:rFonts w:ascii="宋体" w:hAnsi="宋体" w:cs="宋体" w:eastAsia="宋体" w:hint="default"/>
                <w:sz w:val="18"/>
                <w:szCs w:val="18"/>
              </w:rPr>
              <w:t>125,896,257</w:t>
            </w:r>
            <w:r>
              <w:rPr>
                <w:rFonts w:ascii="宋体" w:hAnsi="宋体" w:cs="宋体" w:eastAsia="宋体" w:hint="default"/>
                <w:spacing w:val="-50"/>
                <w:sz w:val="18"/>
                <w:szCs w:val="18"/>
              </w:rPr>
              <w:t> </w:t>
            </w:r>
            <w:r>
              <w:rPr>
                <w:rFonts w:ascii="宋体" w:hAnsi="宋体" w:cs="宋体" w:eastAsia="宋体" w:hint="default"/>
                <w:spacing w:val="-12"/>
                <w:sz w:val="18"/>
                <w:szCs w:val="18"/>
              </w:rPr>
              <w:t>股，占</w:t>
            </w:r>
          </w:p>
          <w:p>
            <w:pPr>
              <w:pStyle w:val="TableParagraph"/>
              <w:spacing w:line="316" w:lineRule="auto" w:before="19"/>
              <w:ind w:left="23" w:right="-13"/>
              <w:jc w:val="left"/>
              <w:rPr>
                <w:rFonts w:ascii="宋体" w:hAnsi="宋体" w:cs="宋体" w:eastAsia="宋体" w:hint="default"/>
                <w:sz w:val="18"/>
                <w:szCs w:val="18"/>
              </w:rPr>
            </w:pPr>
            <w:r>
              <w:rPr>
                <w:rFonts w:ascii="宋体" w:hAnsi="宋体" w:cs="宋体" w:eastAsia="宋体" w:hint="default"/>
                <w:sz w:val="18"/>
                <w:szCs w:val="18"/>
              </w:rPr>
              <w:t>参加会议股东所持 有表决股份总数的 </w:t>
            </w:r>
            <w:r>
              <w:rPr>
                <w:rFonts w:ascii="宋体" w:hAnsi="宋体" w:cs="宋体" w:eastAsia="宋体" w:hint="default"/>
                <w:sz w:val="18"/>
                <w:szCs w:val="18"/>
              </w:rPr>
              <w:t>100 %</w:t>
            </w:r>
            <w:r>
              <w:rPr>
                <w:rFonts w:ascii="宋体" w:hAnsi="宋体" w:cs="宋体" w:eastAsia="宋体" w:hint="default"/>
                <w:sz w:val="18"/>
                <w:szCs w:val="18"/>
              </w:rPr>
              <w:t>；反对 </w:t>
            </w:r>
            <w:r>
              <w:rPr>
                <w:rFonts w:ascii="宋体" w:hAnsi="宋体" w:cs="宋体" w:eastAsia="宋体" w:hint="default"/>
                <w:sz w:val="18"/>
                <w:szCs w:val="18"/>
              </w:rPr>
              <w:t>0</w:t>
            </w:r>
            <w:r>
              <w:rPr>
                <w:rFonts w:ascii="宋体" w:hAnsi="宋体" w:cs="宋体" w:eastAsia="宋体" w:hint="default"/>
                <w:spacing w:val="-48"/>
                <w:sz w:val="18"/>
                <w:szCs w:val="18"/>
              </w:rPr>
              <w:t> </w:t>
            </w:r>
            <w:r>
              <w:rPr>
                <w:rFonts w:ascii="宋体" w:hAnsi="宋体" w:cs="宋体" w:eastAsia="宋体" w:hint="default"/>
                <w:sz w:val="18"/>
                <w:szCs w:val="18"/>
              </w:rPr>
              <w:t>股，</w:t>
            </w:r>
          </w:p>
          <w:p>
            <w:pPr>
              <w:pStyle w:val="TableParagraph"/>
              <w:spacing w:line="316" w:lineRule="auto" w:before="19"/>
              <w:ind w:left="23" w:right="254"/>
              <w:jc w:val="left"/>
              <w:rPr>
                <w:rFonts w:ascii="宋体" w:hAnsi="宋体" w:cs="宋体" w:eastAsia="宋体" w:hint="default"/>
                <w:sz w:val="18"/>
                <w:szCs w:val="18"/>
              </w:rPr>
            </w:pPr>
            <w:r>
              <w:rPr>
                <w:rFonts w:ascii="宋体" w:hAnsi="宋体" w:cs="宋体" w:eastAsia="宋体" w:hint="default"/>
                <w:sz w:val="18"/>
                <w:szCs w:val="18"/>
              </w:rPr>
              <w:t>弃权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股获得通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8"/>
              <w:ind w:right="0"/>
              <w:jc w:val="left"/>
              <w:rPr>
                <w:rFonts w:ascii="微软雅黑" w:hAnsi="微软雅黑" w:cs="微软雅黑" w:eastAsia="微软雅黑"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7"/>
              <w:ind w:right="0"/>
              <w:jc w:val="left"/>
              <w:rPr>
                <w:rFonts w:ascii="微软雅黑" w:hAnsi="微软雅黑" w:cs="微软雅黑" w:eastAsia="微软雅黑" w:hint="default"/>
                <w:b/>
                <w:bCs/>
                <w:sz w:val="12"/>
                <w:szCs w:val="12"/>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(http://www.cninf o.com.cn)</w:t>
            </w:r>
          </w:p>
        </w:tc>
      </w:tr>
    </w:tbl>
    <w:p>
      <w:pPr>
        <w:spacing w:line="240" w:lineRule="auto" w:before="10"/>
        <w:rPr>
          <w:rFonts w:ascii="微软雅黑" w:hAnsi="微软雅黑" w:cs="微软雅黑" w:eastAsia="微软雅黑" w:hint="default"/>
          <w:b/>
          <w:bCs/>
          <w:sz w:val="14"/>
          <w:szCs w:val="14"/>
        </w:rPr>
      </w:pPr>
    </w:p>
    <w:p>
      <w:pPr>
        <w:spacing w:line="336" w:lineRule="exact"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2</w:t>
      </w:r>
      <w:r>
        <w:rPr>
          <w:rFonts w:ascii="微软雅黑" w:hAnsi="微软雅黑" w:cs="微软雅黑" w:eastAsia="微软雅黑" w:hint="default"/>
          <w:b/>
          <w:bCs/>
          <w:sz w:val="21"/>
          <w:szCs w:val="21"/>
        </w:rPr>
        <w:t>、本报告期临时股东大会情况</w:t>
      </w:r>
      <w:r>
        <w:rPr>
          <w:rFonts w:ascii="微软雅黑" w:hAnsi="微软雅黑" w:cs="微软雅黑" w:eastAsia="微软雅黑" w:hint="default"/>
          <w:sz w:val="21"/>
          <w:szCs w:val="21"/>
        </w:rPr>
      </w:r>
    </w:p>
    <w:p>
      <w:pPr>
        <w:spacing w:line="240" w:lineRule="auto" w:before="13"/>
        <w:rPr>
          <w:rFonts w:ascii="微软雅黑" w:hAnsi="微软雅黑" w:cs="微软雅黑" w:eastAsia="微软雅黑"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2"/>
              <w:ind w:right="0"/>
              <w:jc w:val="left"/>
              <w:rPr>
                <w:rFonts w:ascii="微软雅黑" w:hAnsi="微软雅黑" w:cs="微软雅黑" w:eastAsia="微软雅黑" w:hint="default"/>
                <w:b/>
                <w:bCs/>
                <w:sz w:val="10"/>
                <w:szCs w:val="10"/>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2"/>
              <w:ind w:right="0"/>
              <w:jc w:val="left"/>
              <w:rPr>
                <w:rFonts w:ascii="微软雅黑" w:hAnsi="微软雅黑" w:cs="微软雅黑" w:eastAsia="微软雅黑" w:hint="default"/>
                <w:b/>
                <w:bCs/>
                <w:sz w:val="19"/>
                <w:szCs w:val="19"/>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微软雅黑" w:hAnsi="微软雅黑" w:cs="微软雅黑" w:eastAsia="微软雅黑" w:hint="default"/>
                <w:b/>
                <w:bCs/>
                <w:sz w:val="10"/>
                <w:szCs w:val="10"/>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0"/>
                <w:sz w:val="18"/>
                <w:szCs w:val="18"/>
              </w:rPr>
              <w:t>审议《关于惠州市华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宝饲料有限公司申 请固定资产项目贷 款的议案》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以同意</w:t>
            </w:r>
          </w:p>
          <w:p>
            <w:pPr>
              <w:pStyle w:val="TableParagraph"/>
              <w:spacing w:line="240" w:lineRule="auto" w:before="74"/>
              <w:ind w:left="23" w:right="0"/>
              <w:jc w:val="both"/>
              <w:rPr>
                <w:rFonts w:ascii="宋体" w:hAnsi="宋体" w:cs="宋体" w:eastAsia="宋体" w:hint="default"/>
                <w:sz w:val="18"/>
                <w:szCs w:val="18"/>
              </w:rPr>
            </w:pPr>
            <w:r>
              <w:rPr>
                <w:rFonts w:ascii="宋体" w:hAnsi="宋体" w:cs="宋体" w:eastAsia="宋体" w:hint="default"/>
                <w:sz w:val="18"/>
                <w:szCs w:val="18"/>
              </w:rPr>
              <w:t>127,753,137</w:t>
            </w:r>
            <w:r>
              <w:rPr>
                <w:rFonts w:ascii="宋体" w:hAnsi="宋体" w:cs="宋体" w:eastAsia="宋体" w:hint="default"/>
                <w:spacing w:val="-50"/>
                <w:sz w:val="18"/>
                <w:szCs w:val="18"/>
              </w:rPr>
              <w:t> </w:t>
            </w:r>
            <w:r>
              <w:rPr>
                <w:rFonts w:ascii="宋体" w:hAnsi="宋体" w:cs="宋体" w:eastAsia="宋体" w:hint="default"/>
                <w:spacing w:val="-12"/>
                <w:sz w:val="18"/>
                <w:szCs w:val="18"/>
              </w:rPr>
              <w:t>股，占</w:t>
            </w:r>
          </w:p>
          <w:p>
            <w:pPr>
              <w:pStyle w:val="TableParagraph"/>
              <w:spacing w:line="316" w:lineRule="auto" w:before="76"/>
              <w:ind w:left="23" w:right="29"/>
              <w:jc w:val="both"/>
              <w:rPr>
                <w:rFonts w:ascii="宋体" w:hAnsi="宋体" w:cs="宋体" w:eastAsia="宋体" w:hint="default"/>
                <w:sz w:val="18"/>
                <w:szCs w:val="18"/>
              </w:rPr>
            </w:pPr>
            <w:r>
              <w:rPr>
                <w:rFonts w:ascii="宋体" w:hAnsi="宋体" w:cs="宋体" w:eastAsia="宋体" w:hint="default"/>
                <w:sz w:val="18"/>
                <w:szCs w:val="18"/>
              </w:rPr>
              <w:t>参加会议股东所持 有表决股份总数的 </w:t>
            </w:r>
            <w:r>
              <w:rPr>
                <w:rFonts w:ascii="宋体" w:hAnsi="宋体" w:cs="宋体" w:eastAsia="宋体" w:hint="default"/>
                <w:sz w:val="18"/>
                <w:szCs w:val="18"/>
              </w:rPr>
              <w:t>100</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；反对</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2"/>
              <w:ind w:right="0"/>
              <w:jc w:val="left"/>
              <w:rPr>
                <w:rFonts w:ascii="微软雅黑" w:hAnsi="微软雅黑" w:cs="微软雅黑" w:eastAsia="微软雅黑" w:hint="default"/>
                <w:b/>
                <w:bCs/>
                <w:sz w:val="19"/>
                <w:szCs w:val="19"/>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微软雅黑" w:hAnsi="微软雅黑" w:cs="微软雅黑" w:eastAsia="微软雅黑" w:hint="default"/>
                <w:b/>
                <w:bCs/>
                <w:sz w:val="19"/>
                <w:szCs w:val="19"/>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(http://www.cninf o.com.cn)</w:t>
            </w:r>
          </w:p>
        </w:tc>
      </w:tr>
    </w:tbl>
    <w:p>
      <w:pPr>
        <w:spacing w:after="0" w:line="316" w:lineRule="auto"/>
        <w:jc w:val="left"/>
        <w:rPr>
          <w:rFonts w:ascii="宋体" w:hAnsi="宋体" w:cs="宋体" w:eastAsia="宋体" w:hint="default"/>
          <w:sz w:val="18"/>
          <w:szCs w:val="18"/>
        </w:rPr>
        <w:sectPr>
          <w:footerReference w:type="default" r:id="rId21"/>
          <w:pgSz w:w="11910" w:h="16840"/>
          <w:pgMar w:footer="980" w:header="745" w:top="1060" w:bottom="1160" w:left="980" w:right="0"/>
          <w:pgNumType w:start="38"/>
        </w:sectPr>
      </w:pPr>
    </w:p>
    <w:p>
      <w:pPr>
        <w:spacing w:line="240" w:lineRule="auto" w:before="10"/>
        <w:rPr>
          <w:rFonts w:ascii="微软雅黑" w:hAnsi="微软雅黑" w:cs="微软雅黑" w:eastAsia="微软雅黑" w:hint="default"/>
          <w:b/>
          <w:bCs/>
          <w:sz w:val="21"/>
          <w:szCs w:val="21"/>
        </w:rPr>
      </w:pPr>
      <w:r>
        <w:rPr/>
        <w:pict>
          <v:shape style="position:absolute;margin-left:290.071991pt;margin-top:90.61998pt;width:85.4pt;height:85.8pt;mso-position-horizontal-relative:page;mso-position-vertical-relative:page;z-index:-78140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96.209991pt;margin-top:72.475983pt;width:158.950pt;height:103.95pt;mso-position-horizontal-relative:page;mso-position-vertical-relative:page;z-index:-781384" coordorigin="5924,1450" coordsize="3179,2079">
            <v:group style="position:absolute;left:7518;top:1450;width:1585;height:354" coordorigin="7518,1450" coordsize="1585,354">
              <v:shape style="position:absolute;left:7518;top:1450;width:1585;height:354" coordorigin="7518,1450" coordsize="1585,354" path="m7518,1803l9103,1803,9103,1450,7518,1450,7518,1803xe" filled="true" fillcolor="#ffffff" stroked="false">
                <v:path arrowok="t"/>
                <v:fill type="solid"/>
              </v:shape>
            </v:group>
            <v:group style="position:absolute;left:5924;top:1812;width:1585;height:1716" coordorigin="5924,1812" coordsize="1585,1716">
              <v:shape style="position:absolute;left:5924;top:1812;width:1585;height:1716" coordorigin="5924,1812" coordsize="1585,1716" path="m5924,3528l7509,3528,7509,1812,5924,1812,5924,3528xe" filled="true" fillcolor="#ffffff" stroked="false">
                <v:path arrowok="t"/>
                <v:fill type="solid"/>
              </v:shape>
            </v:group>
            <w10:wrap type="none"/>
          </v:group>
        </w:pict>
      </w:r>
      <w:r>
        <w:rPr/>
        <w:pict>
          <v:shape style="position:absolute;margin-left:460.320007pt;margin-top:764.919983pt;width:135.0pt;height:77pt;mso-position-horizontal-relative:page;mso-position-vertical-relative:page;z-index:1672" type="#_x0000_t75" stroked="false">
            <v:imagedata r:id="rId13" o:title=""/>
          </v:shape>
        </w:pict>
      </w: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弃权</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股获得通过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6"/>
              <w:ind w:right="0"/>
              <w:jc w:val="left"/>
              <w:rPr>
                <w:rFonts w:ascii="微软雅黑" w:hAnsi="微软雅黑" w:cs="微软雅黑" w:eastAsia="微软雅黑" w:hint="default"/>
                <w:b/>
                <w:bCs/>
                <w:sz w:val="12"/>
                <w:szCs w:val="12"/>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6"/>
              <w:ind w:right="0"/>
              <w:jc w:val="left"/>
              <w:rPr>
                <w:rFonts w:ascii="微软雅黑" w:hAnsi="微软雅黑" w:cs="微软雅黑" w:eastAsia="微软雅黑"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、审议《公司章程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修订案；</w:t>
            </w:r>
            <w:r>
              <w:rPr>
                <w:rFonts w:ascii="宋体" w:hAnsi="宋体" w:cs="宋体" w:eastAsia="宋体" w:hint="default"/>
                <w:spacing w:val="-18"/>
                <w:sz w:val="18"/>
                <w:szCs w:val="18"/>
              </w:rPr>
              <w:t>2</w:t>
            </w:r>
            <w:r>
              <w:rPr>
                <w:rFonts w:ascii="宋体" w:hAnsi="宋体" w:cs="宋体" w:eastAsia="宋体" w:hint="default"/>
                <w:spacing w:val="-18"/>
                <w:sz w:val="18"/>
                <w:szCs w:val="18"/>
              </w:rPr>
              <w:t>、审议《股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东大会议事规则》修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订案；</w:t>
            </w:r>
            <w:r>
              <w:rPr>
                <w:rFonts w:ascii="宋体" w:hAnsi="宋体" w:cs="宋体" w:eastAsia="宋体" w:hint="default"/>
                <w:sz w:val="18"/>
                <w:szCs w:val="18"/>
              </w:rPr>
              <w:t>3</w:t>
            </w:r>
            <w:r>
              <w:rPr>
                <w:rFonts w:ascii="宋体" w:hAnsi="宋体" w:cs="宋体" w:eastAsia="宋体" w:hint="default"/>
                <w:sz w:val="18"/>
                <w:szCs w:val="18"/>
              </w:rPr>
              <w:t>、审议《董 </w:t>
            </w:r>
            <w:r>
              <w:rPr>
                <w:rFonts w:ascii="宋体" w:hAnsi="宋体" w:cs="宋体" w:eastAsia="宋体" w:hint="default"/>
                <w:spacing w:val="-10"/>
                <w:sz w:val="18"/>
                <w:szCs w:val="18"/>
              </w:rPr>
              <w:t>事会议事规则》修订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案；</w:t>
            </w:r>
            <w:r>
              <w:rPr>
                <w:rFonts w:ascii="宋体" w:hAnsi="宋体" w:cs="宋体" w:eastAsia="宋体" w:hint="default"/>
                <w:sz w:val="18"/>
                <w:szCs w:val="18"/>
              </w:rPr>
              <w:t>4</w:t>
            </w:r>
            <w:r>
              <w:rPr>
                <w:rFonts w:ascii="宋体" w:hAnsi="宋体" w:cs="宋体" w:eastAsia="宋体" w:hint="default"/>
                <w:sz w:val="18"/>
                <w:szCs w:val="18"/>
              </w:rPr>
              <w:t>、审议《监事 会议事规则》修订 案；</w:t>
            </w:r>
            <w:r>
              <w:rPr>
                <w:rFonts w:ascii="宋体" w:hAnsi="宋体" w:cs="宋体" w:eastAsia="宋体" w:hint="default"/>
                <w:sz w:val="18"/>
                <w:szCs w:val="18"/>
              </w:rPr>
              <w:t>5</w:t>
            </w:r>
            <w:r>
              <w:rPr>
                <w:rFonts w:ascii="宋体" w:hAnsi="宋体" w:cs="宋体" w:eastAsia="宋体" w:hint="default"/>
                <w:sz w:val="18"/>
                <w:szCs w:val="18"/>
              </w:rPr>
              <w:t>、审议《独立 </w:t>
            </w:r>
            <w:r>
              <w:rPr>
                <w:rFonts w:ascii="宋体" w:hAnsi="宋体" w:cs="宋体" w:eastAsia="宋体" w:hint="default"/>
                <w:spacing w:val="-10"/>
                <w:sz w:val="18"/>
                <w:szCs w:val="18"/>
              </w:rPr>
              <w:t>董事工作细则》；</w:t>
            </w:r>
            <w:r>
              <w:rPr>
                <w:rFonts w:ascii="宋体" w:hAnsi="宋体" w:cs="宋体" w:eastAsia="宋体" w:hint="default"/>
                <w:spacing w:val="-10"/>
                <w:sz w:val="18"/>
                <w:szCs w:val="18"/>
              </w:rPr>
              <w:t>6</w:t>
            </w:r>
            <w:r>
              <w:rPr>
                <w:rFonts w:ascii="宋体" w:hAnsi="宋体" w:cs="宋体" w:eastAsia="宋体" w:hint="default"/>
                <w:sz w:val="18"/>
                <w:szCs w:val="18"/>
              </w:rPr>
              <w:t> </w:t>
            </w:r>
            <w:r>
              <w:rPr>
                <w:rFonts w:ascii="宋体" w:hAnsi="宋体" w:cs="宋体" w:eastAsia="宋体" w:hint="default"/>
                <w:spacing w:val="-10"/>
                <w:sz w:val="18"/>
                <w:szCs w:val="18"/>
              </w:rPr>
              <w:t>审议《对外担保管理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制度》修订案；</w:t>
            </w:r>
            <w:r>
              <w:rPr>
                <w:rFonts w:ascii="宋体" w:hAnsi="宋体" w:cs="宋体" w:eastAsia="宋体" w:hint="default"/>
                <w:sz w:val="18"/>
                <w:szCs w:val="18"/>
              </w:rPr>
              <w:t>7</w:t>
            </w:r>
            <w:r>
              <w:rPr>
                <w:rFonts w:ascii="宋体" w:hAnsi="宋体" w:cs="宋体" w:eastAsia="宋体" w:hint="default"/>
                <w:sz w:val="18"/>
                <w:szCs w:val="18"/>
              </w:rPr>
              <w:t>、 </w:t>
            </w:r>
            <w:r>
              <w:rPr>
                <w:rFonts w:ascii="宋体" w:hAnsi="宋体" w:cs="宋体" w:eastAsia="宋体" w:hint="default"/>
                <w:spacing w:val="-10"/>
                <w:sz w:val="18"/>
                <w:szCs w:val="18"/>
              </w:rPr>
              <w:t>审议《关联交易管理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制度》修订案；</w:t>
            </w:r>
            <w:r>
              <w:rPr>
                <w:rFonts w:ascii="宋体" w:hAnsi="宋体" w:cs="宋体" w:eastAsia="宋体" w:hint="default"/>
                <w:sz w:val="18"/>
                <w:szCs w:val="18"/>
              </w:rPr>
              <w:t>8</w:t>
            </w:r>
            <w:r>
              <w:rPr>
                <w:rFonts w:ascii="宋体" w:hAnsi="宋体" w:cs="宋体" w:eastAsia="宋体" w:hint="default"/>
                <w:sz w:val="18"/>
                <w:szCs w:val="18"/>
              </w:rPr>
              <w:t>、 </w:t>
            </w:r>
            <w:r>
              <w:rPr>
                <w:rFonts w:ascii="宋体" w:hAnsi="宋体" w:cs="宋体" w:eastAsia="宋体" w:hint="default"/>
                <w:spacing w:val="-10"/>
                <w:sz w:val="18"/>
                <w:szCs w:val="18"/>
              </w:rPr>
              <w:t>审议《关于公司未来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三年（</w:t>
            </w:r>
            <w:r>
              <w:rPr>
                <w:rFonts w:ascii="宋体" w:hAnsi="宋体" w:cs="宋体" w:eastAsia="宋体" w:hint="default"/>
                <w:sz w:val="18"/>
                <w:szCs w:val="18"/>
              </w:rPr>
              <w:t>2012-2014</w:t>
            </w:r>
          </w:p>
          <w:p>
            <w:pPr>
              <w:pStyle w:val="TableParagraph"/>
              <w:spacing w:line="316" w:lineRule="auto" w:before="19"/>
              <w:ind w:left="23" w:right="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2"/>
                <w:sz w:val="18"/>
                <w:szCs w:val="18"/>
              </w:rPr>
              <w:t>）</w:t>
            </w:r>
            <w:r>
              <w:rPr>
                <w:rFonts w:ascii="宋体" w:hAnsi="宋体" w:cs="宋体" w:eastAsia="宋体" w:hint="default"/>
                <w:sz w:val="18"/>
                <w:szCs w:val="18"/>
              </w:rPr>
              <w:t>股东回报规划的</w:t>
            </w:r>
            <w:r>
              <w:rPr>
                <w:rFonts w:ascii="宋体" w:hAnsi="宋体" w:cs="宋体" w:eastAsia="宋体" w:hint="default"/>
                <w:sz w:val="18"/>
                <w:szCs w:val="18"/>
              </w:rPr>
              <w:t> 议</w:t>
            </w:r>
            <w:r>
              <w:rPr>
                <w:rFonts w:ascii="宋体" w:hAnsi="宋体" w:cs="宋体" w:eastAsia="宋体" w:hint="default"/>
                <w:spacing w:val="2"/>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3"/>
              <w:ind w:right="0"/>
              <w:jc w:val="left"/>
              <w:rPr>
                <w:rFonts w:ascii="微软雅黑" w:hAnsi="微软雅黑" w:cs="微软雅黑" w:eastAsia="微软雅黑" w:hint="default"/>
                <w:b/>
                <w:bCs/>
                <w:sz w:val="12"/>
                <w:szCs w:val="12"/>
              </w:rPr>
            </w:pPr>
          </w:p>
          <w:p>
            <w:pPr>
              <w:pStyle w:val="TableParagraph"/>
              <w:spacing w:line="316" w:lineRule="auto"/>
              <w:ind w:left="12" w:right="23"/>
              <w:jc w:val="left"/>
              <w:rPr>
                <w:rFonts w:ascii="宋体" w:hAnsi="宋体" w:cs="宋体" w:eastAsia="宋体" w:hint="default"/>
                <w:sz w:val="18"/>
                <w:szCs w:val="18"/>
              </w:rPr>
            </w:pPr>
            <w:r>
              <w:rPr>
                <w:rFonts w:ascii="宋体" w:hAnsi="宋体" w:cs="宋体" w:eastAsia="宋体" w:hint="default"/>
                <w:sz w:val="18"/>
                <w:szCs w:val="18"/>
              </w:rPr>
              <w:t>八项议案均以同意 </w:t>
            </w:r>
            <w:r>
              <w:rPr>
                <w:rFonts w:ascii="宋体" w:hAnsi="宋体" w:cs="宋体" w:eastAsia="宋体" w:hint="default"/>
                <w:sz w:val="18"/>
                <w:szCs w:val="18"/>
              </w:rPr>
              <w:t>124,356,825</w:t>
            </w:r>
            <w:r>
              <w:rPr>
                <w:rFonts w:ascii="宋体" w:hAnsi="宋体" w:cs="宋体" w:eastAsia="宋体" w:hint="default"/>
                <w:spacing w:val="-50"/>
                <w:sz w:val="18"/>
                <w:szCs w:val="18"/>
              </w:rPr>
              <w:t> </w:t>
            </w:r>
            <w:r>
              <w:rPr>
                <w:rFonts w:ascii="宋体" w:hAnsi="宋体" w:cs="宋体" w:eastAsia="宋体" w:hint="default"/>
                <w:spacing w:val="-12"/>
                <w:sz w:val="18"/>
                <w:szCs w:val="18"/>
              </w:rPr>
              <w:t>股，占</w:t>
            </w:r>
          </w:p>
          <w:p>
            <w:pPr>
              <w:pStyle w:val="TableParagraph"/>
              <w:spacing w:line="196" w:lineRule="exact" w:before="19"/>
              <w:ind w:left="12" w:right="0"/>
              <w:jc w:val="left"/>
              <w:rPr>
                <w:rFonts w:ascii="宋体" w:hAnsi="宋体" w:cs="宋体" w:eastAsia="宋体" w:hint="default"/>
                <w:sz w:val="18"/>
                <w:szCs w:val="18"/>
              </w:rPr>
            </w:pPr>
            <w:r>
              <w:rPr>
                <w:rFonts w:ascii="宋体" w:hAnsi="宋体" w:cs="宋体" w:eastAsia="宋体" w:hint="default"/>
                <w:sz w:val="18"/>
                <w:szCs w:val="18"/>
              </w:rPr>
              <w:t>参加会议股东所持</w:t>
            </w:r>
          </w:p>
          <w:p>
            <w:pPr>
              <w:pStyle w:val="TableParagraph"/>
              <w:spacing w:line="15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有表决股份总数的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pacing w:val="-6"/>
                <w:sz w:val="18"/>
                <w:szCs w:val="18"/>
              </w:rPr>
              <w:t>100%</w:t>
            </w:r>
            <w:r>
              <w:rPr>
                <w:rFonts w:ascii="宋体" w:hAnsi="宋体" w:cs="宋体" w:eastAsia="宋体" w:hint="default"/>
                <w:spacing w:val="-6"/>
                <w:sz w:val="18"/>
                <w:szCs w:val="18"/>
              </w:rPr>
              <w:t>；反对</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pacing w:val="-14"/>
                <w:sz w:val="18"/>
                <w:szCs w:val="18"/>
              </w:rPr>
              <w:t>股，弃</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股获得通过。</w:t>
            </w: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5"/>
              <w:ind w:right="0"/>
              <w:jc w:val="left"/>
              <w:rPr>
                <w:rFonts w:ascii="微软雅黑" w:hAnsi="微软雅黑" w:cs="微软雅黑" w:eastAsia="微软雅黑" w:hint="default"/>
                <w:b/>
                <w:bCs/>
                <w:sz w:val="17"/>
                <w:szCs w:val="17"/>
              </w:rPr>
            </w:pPr>
          </w:p>
          <w:p>
            <w:pPr>
              <w:pStyle w:val="TableParagraph"/>
              <w:spacing w:line="624" w:lineRule="exact"/>
              <w:ind w:left="12" w:right="-27"/>
              <w:jc w:val="left"/>
              <w:rPr>
                <w:rFonts w:ascii="微软雅黑" w:hAnsi="微软雅黑" w:cs="微软雅黑" w:eastAsia="微软雅黑" w:hint="default"/>
                <w:sz w:val="20"/>
                <w:szCs w:val="20"/>
              </w:rPr>
            </w:pPr>
            <w:r>
              <w:rPr>
                <w:rFonts w:ascii="微软雅黑" w:hAnsi="微软雅黑" w:cs="微软雅黑" w:eastAsia="微软雅黑" w:hint="default"/>
                <w:position w:val="-11"/>
                <w:sz w:val="20"/>
                <w:szCs w:val="20"/>
              </w:rPr>
              <w:pict>
                <v:group style="width:76.95pt;height:31.2pt;mso-position-horizontal-relative:char;mso-position-vertical-relative:line" coordorigin="0,0" coordsize="1539,624">
                  <v:group style="position:absolute;left:0;top:0;width:1539;height:312" coordorigin="0,0" coordsize="1539,312">
                    <v:shape style="position:absolute;left:0;top:0;width:1539;height:312" coordorigin="0,0" coordsize="1539,312" path="m0,312l1539,312,1539,0,0,0,0,312xe" filled="true" fillcolor="#ffffff" stroked="false">
                      <v:path arrowok="t"/>
                      <v:fill type="solid"/>
                    </v:shape>
                  </v:group>
                  <v:group style="position:absolute;left:0;top:312;width:1539;height:312" coordorigin="0,312" coordsize="1539,312">
                    <v:shape style="position:absolute;left:0;top:312;width:1539;height:312" coordorigin="0,312" coordsize="1539,312" path="m0,624l1539,624,1539,312,0,312,0,624xe" filled="true" fillcolor="#ffffff" stroked="false">
                      <v:path arrowok="t"/>
                      <v:fill type="solid"/>
                    </v:shape>
                  </v:group>
                </v:group>
              </w:pict>
            </w:r>
            <w:r>
              <w:rPr>
                <w:rFonts w:ascii="微软雅黑" w:hAnsi="微软雅黑" w:cs="微软雅黑" w:eastAsia="微软雅黑" w:hint="default"/>
                <w:position w:val="-11"/>
                <w:sz w:val="20"/>
                <w:szCs w:val="20"/>
              </w:rPr>
            </w: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3"/>
              <w:ind w:right="0"/>
              <w:jc w:val="left"/>
              <w:rPr>
                <w:rFonts w:ascii="微软雅黑" w:hAnsi="微软雅黑" w:cs="微软雅黑" w:eastAsia="微软雅黑" w:hint="default"/>
                <w:b/>
                <w:bCs/>
                <w:sz w:val="17"/>
                <w:szCs w:val="17"/>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6"/>
              <w:ind w:right="0"/>
              <w:jc w:val="left"/>
              <w:rPr>
                <w:rFonts w:ascii="微软雅黑" w:hAnsi="微软雅黑" w:cs="微软雅黑" w:eastAsia="微软雅黑" w:hint="default"/>
                <w:b/>
                <w:bCs/>
                <w:sz w:val="21"/>
                <w:szCs w:val="21"/>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5"/>
              <w:ind w:right="0"/>
              <w:jc w:val="left"/>
              <w:rPr>
                <w:rFonts w:ascii="微软雅黑" w:hAnsi="微软雅黑" w:cs="微软雅黑" w:eastAsia="微软雅黑" w:hint="default"/>
                <w:b/>
                <w:bCs/>
                <w:sz w:val="21"/>
                <w:szCs w:val="21"/>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(http://www.cninf o.com.cn)</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7"/>
              <w:ind w:right="0"/>
              <w:jc w:val="left"/>
              <w:rPr>
                <w:rFonts w:ascii="微软雅黑" w:hAnsi="微软雅黑" w:cs="微软雅黑" w:eastAsia="微软雅黑" w:hint="default"/>
                <w:b/>
                <w:bCs/>
                <w:sz w:val="11"/>
                <w:szCs w:val="11"/>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0"/>
                <w:sz w:val="18"/>
                <w:szCs w:val="18"/>
              </w:rPr>
              <w:t>审议《关于变更公司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年度财务报告 及内部控制审计机 构的议案》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以同意</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124,352,422</w:t>
            </w:r>
            <w:r>
              <w:rPr>
                <w:rFonts w:ascii="宋体" w:hAnsi="宋体" w:cs="宋体" w:eastAsia="宋体" w:hint="default"/>
                <w:spacing w:val="-50"/>
                <w:sz w:val="18"/>
                <w:szCs w:val="18"/>
              </w:rPr>
              <w:t> </w:t>
            </w:r>
            <w:r>
              <w:rPr>
                <w:rFonts w:ascii="宋体" w:hAnsi="宋体" w:cs="宋体" w:eastAsia="宋体" w:hint="default"/>
                <w:spacing w:val="-12"/>
                <w:sz w:val="18"/>
                <w:szCs w:val="18"/>
              </w:rPr>
              <w:t>股，占</w:t>
            </w:r>
          </w:p>
          <w:p>
            <w:pPr>
              <w:pStyle w:val="TableParagraph"/>
              <w:spacing w:line="316" w:lineRule="auto" w:before="76"/>
              <w:ind w:left="23" w:right="29"/>
              <w:jc w:val="both"/>
              <w:rPr>
                <w:rFonts w:ascii="宋体" w:hAnsi="宋体" w:cs="宋体" w:eastAsia="宋体" w:hint="default"/>
                <w:sz w:val="18"/>
                <w:szCs w:val="18"/>
              </w:rPr>
            </w:pPr>
            <w:r>
              <w:rPr>
                <w:rFonts w:ascii="宋体" w:hAnsi="宋体" w:cs="宋体" w:eastAsia="宋体" w:hint="default"/>
                <w:sz w:val="18"/>
                <w:szCs w:val="18"/>
              </w:rPr>
              <w:t>参加会议股东所持 有表决股份总数的 </w:t>
            </w:r>
            <w:r>
              <w:rPr>
                <w:rFonts w:ascii="宋体" w:hAnsi="宋体" w:cs="宋体" w:eastAsia="宋体" w:hint="default"/>
                <w:sz w:val="18"/>
                <w:szCs w:val="18"/>
              </w:rPr>
              <w:t>100</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；反对</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316" w:lineRule="auto" w:before="19"/>
              <w:ind w:left="23" w:right="120"/>
              <w:jc w:val="both"/>
              <w:rPr>
                <w:rFonts w:ascii="宋体" w:hAnsi="宋体" w:cs="宋体" w:eastAsia="宋体" w:hint="default"/>
                <w:sz w:val="18"/>
                <w:szCs w:val="18"/>
              </w:rPr>
            </w:pPr>
            <w:r>
              <w:rPr>
                <w:rFonts w:ascii="宋体" w:hAnsi="宋体" w:cs="宋体" w:eastAsia="宋体" w:hint="default"/>
                <w:sz w:val="18"/>
                <w:szCs w:val="18"/>
              </w:rPr>
              <w:t>弃权</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股，获得通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7"/>
              <w:ind w:right="0"/>
              <w:jc w:val="left"/>
              <w:rPr>
                <w:rFonts w:ascii="微软雅黑" w:hAnsi="微软雅黑" w:cs="微软雅黑" w:eastAsia="微软雅黑" w:hint="default"/>
                <w:b/>
                <w:bCs/>
                <w:sz w:val="20"/>
                <w:szCs w:val="20"/>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(http://www.cninf o.com.cn)</w:t>
            </w:r>
          </w:p>
        </w:tc>
      </w:tr>
    </w:tbl>
    <w:p>
      <w:pPr>
        <w:spacing w:line="240" w:lineRule="auto" w:before="12"/>
        <w:rPr>
          <w:rFonts w:ascii="微软雅黑" w:hAnsi="微软雅黑" w:cs="微软雅黑" w:eastAsia="微软雅黑" w:hint="default"/>
          <w:b/>
          <w:bCs/>
          <w:sz w:val="13"/>
          <w:szCs w:val="13"/>
        </w:rPr>
      </w:pPr>
    </w:p>
    <w:p>
      <w:pPr>
        <w:pStyle w:val="Heading2"/>
        <w:spacing w:line="369" w:lineRule="exact"/>
        <w:ind w:right="0"/>
        <w:jc w:val="left"/>
        <w:rPr>
          <w:b w:val="0"/>
          <w:bCs w:val="0"/>
        </w:rPr>
      </w:pPr>
      <w:r>
        <w:rPr/>
        <w:t>三、报告期内独立董事履行职责的情况</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、独立董事出席董事会及股东大会的情况</w:t>
      </w:r>
      <w:r>
        <w:rPr>
          <w:b w:val="0"/>
          <w:bCs w:val="0"/>
        </w:rPr>
      </w:r>
    </w:p>
    <w:p>
      <w:pPr>
        <w:spacing w:line="240" w:lineRule="auto" w:before="13"/>
        <w:rPr>
          <w:rFonts w:ascii="微软雅黑" w:hAnsi="微软雅黑" w:cs="微软雅黑" w:eastAsia="微软雅黑"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吴军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1" w:right="0"/>
              <w:jc w:val="left"/>
              <w:rPr>
                <w:rFonts w:ascii="宋体" w:hAnsi="宋体" w:cs="宋体" w:eastAsia="宋体" w:hint="default"/>
                <w:sz w:val="18"/>
                <w:szCs w:val="18"/>
              </w:rPr>
            </w:pPr>
            <w:r>
              <w:rPr>
                <w:rFonts w:ascii="宋体"/>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1" w:right="0"/>
              <w:jc w:val="left"/>
              <w:rPr>
                <w:rFonts w:ascii="宋体" w:hAnsi="宋体" w:cs="宋体" w:eastAsia="宋体" w:hint="default"/>
                <w:sz w:val="18"/>
                <w:szCs w:val="18"/>
              </w:rPr>
            </w:pPr>
            <w:r>
              <w:rPr>
                <w:rFonts w:ascii="宋体"/>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叶翔</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1" w:right="0"/>
              <w:jc w:val="left"/>
              <w:rPr>
                <w:rFonts w:ascii="宋体" w:hAnsi="宋体" w:cs="宋体" w:eastAsia="宋体" w:hint="default"/>
                <w:sz w:val="18"/>
                <w:szCs w:val="18"/>
              </w:rPr>
            </w:pPr>
            <w:r>
              <w:rPr>
                <w:rFonts w:ascii="宋体"/>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r>
    </w:tbl>
    <w:p>
      <w:pPr>
        <w:pStyle w:val="BodyText"/>
        <w:spacing w:line="240" w:lineRule="auto" w:before="49"/>
        <w:ind w:right="0"/>
        <w:jc w:val="left"/>
      </w:pPr>
      <w:r>
        <w:rPr/>
        <w:t>连续两次未亲自出席董事会的说明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w:t>
      </w:r>
      <w:r>
        <w:rPr/>
        <w:t>、独立董事对公司有关事项提出异议的情况</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right="0"/>
        <w:jc w:val="left"/>
      </w:pPr>
      <w:r>
        <w:rPr/>
        <w:t>独立董事对公司有关事项是否提出异议</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424" w:right="6702" w:hanging="272"/>
        <w:jc w:val="left"/>
      </w:pPr>
      <w:r>
        <w:rPr/>
        <w:t>□ 是 √ 否 报告期内独立董事对公司有关事项未提出异议。</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Arial" w:hAnsi="Arial" w:cs="Arial" w:eastAsia="Arial" w:hint="default"/>
        </w:rPr>
        <w:t>3</w:t>
      </w:r>
      <w:r>
        <w:rPr/>
        <w:t>、独立董事履行职责的其他说明</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独立董事对公司有关建议是否被采纳</w:t>
      </w:r>
    </w:p>
    <w:p>
      <w:pPr>
        <w:pStyle w:val="BodyText"/>
        <w:spacing w:line="360" w:lineRule="auto" w:before="117"/>
        <w:ind w:right="6794"/>
        <w:jc w:val="left"/>
      </w:pPr>
      <w:r>
        <w:rPr/>
        <w:t>√ 是 □ 否 独立董事对公司有关建议被采纳或未被采纳的说明</w:t>
      </w:r>
    </w:p>
    <w:p>
      <w:pPr>
        <w:spacing w:line="240" w:lineRule="auto" w:before="7"/>
        <w:rPr>
          <w:rFonts w:ascii="宋体" w:hAnsi="宋体" w:cs="宋体" w:eastAsia="宋体" w:hint="default"/>
          <w:sz w:val="14"/>
          <w:szCs w:val="14"/>
        </w:rPr>
      </w:pPr>
    </w:p>
    <w:p>
      <w:pPr>
        <w:pStyle w:val="BodyText"/>
        <w:spacing w:line="489" w:lineRule="auto"/>
        <w:ind w:right="1128" w:firstLine="360"/>
        <w:jc w:val="both"/>
      </w:pPr>
      <w:r>
        <w:rPr>
          <w:spacing w:val="-2"/>
        </w:rPr>
        <w:t>报告期内，公司独立董事严格按照有关法律、法规和《公司章程》的规定，恪尽职守、勤勉尽责，积极出席董事会会议</w:t>
      </w:r>
      <w:r>
        <w:rPr/>
        <w:t> </w:t>
      </w:r>
      <w:r>
        <w:rPr>
          <w:spacing w:val="-2"/>
        </w:rPr>
        <w:t>和股东大会。会前主动了解并获取作出决策所需要的资料，会上认真审议每项议案，积极参与讨论并提出合理化建议。独立</w:t>
      </w:r>
      <w:r>
        <w:rPr>
          <w:spacing w:val="-64"/>
        </w:rPr>
        <w:t> </w:t>
      </w:r>
      <w:r>
        <w:rPr>
          <w:spacing w:val="-64"/>
        </w:rPr>
      </w:r>
      <w:r>
        <w:rPr>
          <w:spacing w:val="-2"/>
        </w:rPr>
        <w:t>董事分别担任董事会下设的各专业委员会的召集人或委员，根据其专业知识和能力，对报告期内公司的日常运作情况、董事</w:t>
      </w:r>
      <w:r>
        <w:rPr>
          <w:spacing w:val="-61"/>
        </w:rPr>
        <w:t> </w:t>
      </w:r>
      <w:r>
        <w:rPr>
          <w:spacing w:val="-61"/>
        </w:rPr>
      </w:r>
      <w:r>
        <w:rPr>
          <w:spacing w:val="-2"/>
        </w:rPr>
        <w:t>会换届中的董事候选人、经营班子换届中的总经理及其他高级管理人员的聘任及关联交易等事项发表了独立、客观、公正的</w:t>
      </w:r>
      <w:r>
        <w:rPr>
          <w:spacing w:val="-65"/>
        </w:rPr>
        <w:t> </w:t>
      </w:r>
      <w:r>
        <w:rPr>
          <w:spacing w:val="-65"/>
        </w:rPr>
      </w:r>
      <w:r>
        <w:rPr>
          <w:spacing w:val="-2"/>
        </w:rPr>
        <w:t>意见，为董事会科学、客观地决策及公司的良性发展起到了积极的作用，切实维护了公司的整体利益，保障了广大中、小股</w:t>
      </w:r>
      <w:r>
        <w:rPr>
          <w:spacing w:val="-67"/>
        </w:rPr>
        <w:t> </w:t>
      </w:r>
      <w:r>
        <w:rPr>
          <w:spacing w:val="-67"/>
        </w:rPr>
      </w:r>
      <w:r>
        <w:rPr/>
        <w:t>东的合法权益。</w:t>
      </w:r>
    </w:p>
    <w:p>
      <w:pPr>
        <w:pStyle w:val="Heading2"/>
        <w:spacing w:line="240" w:lineRule="auto" w:before="74"/>
        <w:ind w:right="0"/>
        <w:jc w:val="left"/>
        <w:rPr>
          <w:b w:val="0"/>
          <w:bCs w:val="0"/>
        </w:rPr>
      </w:pPr>
      <w:r>
        <w:rPr/>
        <w:t>四、董事会下设专门委员会在报告期内履行职责情况</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left="573" w:right="0"/>
        <w:jc w:val="left"/>
        <w:rPr>
          <w:b w:val="0"/>
          <w:bCs w:val="0"/>
        </w:rPr>
      </w:pPr>
      <w:r>
        <w:rPr/>
        <w:t>（一）公司董事会审计委员会履职情况</w:t>
      </w:r>
      <w:r>
        <w:rPr>
          <w:b w:val="0"/>
          <w:bCs w:val="0"/>
        </w:rPr>
      </w:r>
    </w:p>
    <w:p>
      <w:pPr>
        <w:spacing w:line="240" w:lineRule="auto" w:before="8"/>
        <w:rPr>
          <w:rFonts w:ascii="微软雅黑" w:hAnsi="微软雅黑" w:cs="微软雅黑" w:eastAsia="微软雅黑" w:hint="default"/>
          <w:b/>
          <w:bCs/>
          <w:sz w:val="11"/>
          <w:szCs w:val="11"/>
        </w:rPr>
      </w:pPr>
    </w:p>
    <w:p>
      <w:pPr>
        <w:pStyle w:val="BodyText"/>
        <w:spacing w:line="489" w:lineRule="auto"/>
        <w:ind w:right="1130" w:firstLine="360"/>
        <w:jc w:val="both"/>
      </w:pPr>
      <w:r>
        <w:rPr>
          <w:spacing w:val="-2"/>
        </w:rPr>
        <w:t>公司董事会审计委员会由</w:t>
      </w:r>
      <w:r>
        <w:rPr>
          <w:rFonts w:ascii="宋体" w:hAnsi="宋体" w:cs="宋体" w:eastAsia="宋体" w:hint="default"/>
          <w:spacing w:val="-2"/>
        </w:rPr>
        <w:t>2</w:t>
      </w:r>
      <w:r>
        <w:rPr>
          <w:spacing w:val="-2"/>
        </w:rPr>
        <w:t>名独立董事和</w:t>
      </w:r>
      <w:r>
        <w:rPr>
          <w:rFonts w:ascii="宋体" w:hAnsi="宋体" w:cs="宋体" w:eastAsia="宋体" w:hint="default"/>
          <w:spacing w:val="-2"/>
        </w:rPr>
        <w:t>1</w:t>
      </w:r>
      <w:r>
        <w:rPr>
          <w:spacing w:val="-2"/>
        </w:rPr>
        <w:t>名董事组成，其中会议召集人由独立董事（专业会计人士）担任。根据中国证</w:t>
      </w:r>
      <w:r>
        <w:rPr/>
        <w:t> </w:t>
      </w:r>
      <w:r>
        <w:rPr>
          <w:spacing w:val="-2"/>
        </w:rPr>
        <w:t>监会、深交所有关规定及公司《独立董事年报工作规程》、《审计委员会年报工作规程》等要求，公司董事会审计委员会本</w:t>
      </w:r>
      <w:r>
        <w:rPr>
          <w:spacing w:val="-71"/>
        </w:rPr>
        <w:t> </w:t>
      </w:r>
      <w:r>
        <w:rPr>
          <w:spacing w:val="-71"/>
        </w:rPr>
      </w:r>
      <w:r>
        <w:rPr/>
        <w:t>着勤勉尽责的原则，认真履行职责，开展相关工作。</w:t>
      </w:r>
    </w:p>
    <w:p>
      <w:pPr>
        <w:pStyle w:val="BodyText"/>
        <w:spacing w:line="489" w:lineRule="auto" w:before="57"/>
        <w:ind w:right="1129" w:firstLine="360"/>
        <w:jc w:val="both"/>
      </w:pPr>
      <w:r>
        <w:rPr>
          <w:rFonts w:ascii="宋体" w:hAnsi="宋体" w:cs="宋体" w:eastAsia="宋体" w:hint="default"/>
        </w:rPr>
        <w:t>1</w:t>
      </w:r>
      <w:r>
        <w:rPr/>
        <w:t>、公司年审注册会计师进场后，董事会审计委员会与公司经营班子及负责年审的注册会计师见面，听取经营班子关于 </w:t>
      </w:r>
      <w:r>
        <w:rPr>
          <w:spacing w:val="-2"/>
        </w:rPr>
        <w:t>公司经营与投资情况的汇报，听取审计会计师的审计工作计划，并就审计过程中可能会出现的问题以及审计报告提交的时间</w:t>
      </w:r>
      <w:r>
        <w:rPr>
          <w:spacing w:val="-63"/>
        </w:rPr>
        <w:t> </w:t>
      </w:r>
      <w:r>
        <w:rPr>
          <w:spacing w:val="-63"/>
        </w:rPr>
      </w:r>
      <w:r>
        <w:rPr/>
        <w:t>进行了沟通和交流，并出具了书面审议意见；</w:t>
      </w:r>
    </w:p>
    <w:p>
      <w:pPr>
        <w:pStyle w:val="BodyText"/>
        <w:spacing w:line="489" w:lineRule="auto" w:before="57"/>
        <w:ind w:right="1129" w:firstLine="360"/>
        <w:jc w:val="both"/>
      </w:pPr>
      <w:r>
        <w:rPr>
          <w:rFonts w:ascii="宋体" w:hAnsi="宋体" w:cs="宋体" w:eastAsia="宋体" w:hint="default"/>
        </w:rPr>
        <w:t>2</w:t>
      </w:r>
      <w:r>
        <w:rPr/>
        <w:t>、公司年审注册会计师出具初步审计意见后，董事会审计委员会再一次审阅了公司</w:t>
      </w:r>
      <w:r>
        <w:rPr>
          <w:rFonts w:ascii="宋体" w:hAnsi="宋体" w:cs="宋体" w:eastAsia="宋体" w:hint="default"/>
        </w:rPr>
        <w:t>2011</w:t>
      </w:r>
      <w:r>
        <w:rPr/>
        <w:t>年度财务会计报表，并出具了 书面审议意见；</w:t>
      </w:r>
    </w:p>
    <w:p>
      <w:pPr>
        <w:pStyle w:val="BodyText"/>
        <w:spacing w:line="489" w:lineRule="auto" w:before="57"/>
        <w:ind w:right="1132" w:firstLine="360"/>
        <w:jc w:val="both"/>
      </w:pPr>
      <w:r>
        <w:rPr>
          <w:rFonts w:ascii="宋体" w:hAnsi="宋体" w:cs="宋体" w:eastAsia="宋体" w:hint="default"/>
        </w:rPr>
        <w:t>3</w:t>
      </w:r>
      <w:r>
        <w:rPr/>
        <w:t>、公司年审注册会计师出具</w:t>
      </w:r>
      <w:r>
        <w:rPr>
          <w:rFonts w:ascii="宋体" w:hAnsi="宋体" w:cs="宋体" w:eastAsia="宋体" w:hint="default"/>
        </w:rPr>
        <w:t>2011</w:t>
      </w:r>
      <w:r>
        <w:rPr/>
        <w:t>年度审计报告后，董事会审计委员会召开会议，对会计师事务所从事本年度公司的审 计工作进行了总结，并就公司年度财务会计报表以及关于下年度聘请会计师事务所的议案进行表决并形成决议；</w:t>
      </w:r>
    </w:p>
    <w:p>
      <w:pPr>
        <w:pStyle w:val="BodyText"/>
        <w:spacing w:line="489" w:lineRule="auto" w:before="57"/>
        <w:ind w:right="1131" w:firstLine="360"/>
        <w:jc w:val="both"/>
      </w:pPr>
      <w:r>
        <w:rPr>
          <w:rFonts w:ascii="宋体" w:hAnsi="宋体" w:cs="宋体" w:eastAsia="宋体" w:hint="default"/>
        </w:rPr>
        <w:t>4</w:t>
      </w:r>
      <w:r>
        <w:rPr/>
        <w:t>、在获知中审国际会计师事务所深圳分所与中瑞岳华会计师事务所（特殊普通合伙，以下简称‚中瑞岳华‛）实施合 </w:t>
      </w:r>
      <w:r>
        <w:rPr>
          <w:spacing w:val="-2"/>
        </w:rPr>
        <w:t>并，合并后事务所名称为‚中瑞岳华会计师事务所（特殊普通合伙）‛，并办理完毕相关手续后，审计委员会及时核实有关</w:t>
      </w:r>
      <w:r>
        <w:rPr>
          <w:spacing w:val="17"/>
        </w:rPr>
        <w:t> </w:t>
      </w:r>
      <w:r>
        <w:rPr>
          <w:spacing w:val="17"/>
        </w:rPr>
      </w:r>
      <w:r>
        <w:rPr/>
        <w:t>情况，审议通过相关改聘事项提交董事会；</w:t>
      </w:r>
    </w:p>
    <w:p>
      <w:pPr>
        <w:pStyle w:val="BodyText"/>
        <w:spacing w:line="240" w:lineRule="auto" w:before="57"/>
        <w:ind w:left="513" w:right="0"/>
        <w:jc w:val="left"/>
      </w:pPr>
      <w:r>
        <w:rPr>
          <w:rFonts w:ascii="宋体" w:hAnsi="宋体" w:cs="宋体" w:eastAsia="宋体" w:hint="default"/>
        </w:rPr>
        <w:t>5</w:t>
      </w:r>
      <w:r>
        <w:rPr/>
        <w:t>、在公司完成了改聘会计师事务所的法定程序后，公司审计委员会在</w:t>
      </w:r>
      <w:r>
        <w:rPr>
          <w:rFonts w:ascii="宋体" w:hAnsi="宋体" w:cs="宋体" w:eastAsia="宋体" w:hint="default"/>
        </w:rPr>
        <w:t>2012</w:t>
      </w:r>
      <w:r>
        <w:rPr/>
        <w:t>年</w:t>
      </w:r>
      <w:r>
        <w:rPr>
          <w:rFonts w:ascii="宋体" w:hAnsi="宋体" w:cs="宋体" w:eastAsia="宋体" w:hint="default"/>
        </w:rPr>
        <w:t>12</w:t>
      </w:r>
      <w:r>
        <w:rPr/>
        <w:t>月与公司管理层及中瑞岳华审计师见面，</w:t>
      </w:r>
    </w:p>
    <w:p>
      <w:pPr>
        <w:spacing w:line="240" w:lineRule="auto" w:before="9"/>
        <w:rPr>
          <w:rFonts w:ascii="宋体" w:hAnsi="宋体" w:cs="宋体" w:eastAsia="宋体" w:hint="default"/>
          <w:sz w:val="18"/>
          <w:szCs w:val="18"/>
        </w:rPr>
      </w:pPr>
    </w:p>
    <w:p>
      <w:pPr>
        <w:pStyle w:val="BodyText"/>
        <w:spacing w:line="240" w:lineRule="auto"/>
        <w:ind w:right="0"/>
        <w:jc w:val="left"/>
      </w:pPr>
      <w:r>
        <w:rPr/>
        <w:t>听取了管理层的经营成果汇报，听取了审计师关于</w:t>
      </w:r>
      <w:r>
        <w:rPr>
          <w:rFonts w:ascii="宋体" w:hAnsi="宋体" w:cs="宋体" w:eastAsia="宋体" w:hint="default"/>
        </w:rPr>
        <w:t>2012</w:t>
      </w:r>
      <w:r>
        <w:rPr/>
        <w:t>年度财务报告和内部控制审计工作的计划与人员配臵安排。而后审计</w:t>
      </w:r>
    </w:p>
    <w:p>
      <w:pPr>
        <w:spacing w:after="0" w:line="240" w:lineRule="auto"/>
        <w:jc w:val="left"/>
        <w:sectPr>
          <w:footerReference w:type="default" r:id="rId22"/>
          <w:pgSz w:w="11910" w:h="16840"/>
          <w:pgMar w:footer="1308" w:header="745" w:top="1060" w:bottom="1500" w:left="980" w:right="0"/>
          <w:pgNumType w:start="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33" w:lineRule="exact" w:before="44"/>
        <w:ind w:right="0"/>
        <w:jc w:val="left"/>
      </w:pPr>
      <w:r>
        <w:rPr/>
        <w:t>委员会还不断与审计师进行沟通，密切跟踪公司</w:t>
      </w:r>
      <w:r>
        <w:rPr>
          <w:rFonts w:ascii="宋体" w:hAnsi="宋体" w:cs="宋体" w:eastAsia="宋体" w:hint="default"/>
        </w:rPr>
        <w:t>2012</w:t>
      </w:r>
      <w:r>
        <w:rPr/>
        <w:t>年度财务报告和内控的审计进度情况。</w:t>
      </w:r>
    </w:p>
    <w:p>
      <w:pPr>
        <w:pStyle w:val="Heading3"/>
        <w:spacing w:line="361" w:lineRule="exact"/>
        <w:ind w:left="573" w:right="0"/>
        <w:jc w:val="left"/>
        <w:rPr>
          <w:b w:val="0"/>
          <w:bCs w:val="0"/>
        </w:rPr>
      </w:pPr>
      <w:r>
        <w:rPr/>
        <w:t>（二）公司董事会战略与投资委员会履职情况</w:t>
      </w:r>
      <w:r>
        <w:rPr>
          <w:b w:val="0"/>
          <w:bCs w:val="0"/>
        </w:rPr>
      </w:r>
    </w:p>
    <w:p>
      <w:pPr>
        <w:pStyle w:val="BodyText"/>
        <w:spacing w:line="480" w:lineRule="exact" w:before="24"/>
        <w:ind w:right="0" w:firstLine="360"/>
        <w:jc w:val="left"/>
      </w:pPr>
      <w:r>
        <w:rPr>
          <w:spacing w:val="-2"/>
        </w:rPr>
        <w:t>公司战略与投资委员会董事会战略与投资委员会成员由</w:t>
      </w:r>
      <w:r>
        <w:rPr>
          <w:rFonts w:ascii="宋体" w:hAnsi="宋体" w:cs="宋体" w:eastAsia="宋体" w:hint="default"/>
          <w:spacing w:val="-2"/>
        </w:rPr>
        <w:t>2</w:t>
      </w:r>
      <w:r>
        <w:rPr>
          <w:spacing w:val="-2"/>
        </w:rPr>
        <w:t>名董事和</w:t>
      </w:r>
      <w:r>
        <w:rPr>
          <w:rFonts w:ascii="宋体" w:hAnsi="宋体" w:cs="宋体" w:eastAsia="宋体" w:hint="default"/>
          <w:spacing w:val="-2"/>
        </w:rPr>
        <w:t>1</w:t>
      </w:r>
      <w:r>
        <w:rPr>
          <w:spacing w:val="-2"/>
        </w:rPr>
        <w:t>名独立董事组成，召集人由公司董事长担任。先期审</w:t>
      </w:r>
      <w:r>
        <w:rPr/>
        <w:t> 议了公司</w:t>
      </w:r>
      <w:r>
        <w:rPr>
          <w:rFonts w:ascii="宋体" w:hAnsi="宋体" w:cs="宋体" w:eastAsia="宋体" w:hint="default"/>
        </w:rPr>
        <w:t>2011</w:t>
      </w:r>
      <w:r>
        <w:rPr/>
        <w:t>年度董事会工作报告，对公司长期发展战略规划进行研究并提出建议。</w:t>
      </w:r>
    </w:p>
    <w:p>
      <w:pPr>
        <w:pStyle w:val="Heading3"/>
        <w:spacing w:line="288" w:lineRule="exact"/>
        <w:ind w:left="573" w:right="0"/>
        <w:jc w:val="left"/>
        <w:rPr>
          <w:b w:val="0"/>
          <w:bCs w:val="0"/>
        </w:rPr>
      </w:pPr>
      <w:r>
        <w:rPr/>
        <w:t>（三）公司董事会提名委员会履职情况</w:t>
      </w:r>
      <w:r>
        <w:rPr>
          <w:b w:val="0"/>
          <w:bCs w:val="0"/>
        </w:rPr>
      </w:r>
    </w:p>
    <w:p>
      <w:pPr>
        <w:spacing w:line="240" w:lineRule="auto" w:before="8"/>
        <w:rPr>
          <w:rFonts w:ascii="微软雅黑" w:hAnsi="微软雅黑" w:cs="微软雅黑" w:eastAsia="微软雅黑" w:hint="default"/>
          <w:b/>
          <w:bCs/>
          <w:sz w:val="11"/>
          <w:szCs w:val="11"/>
        </w:rPr>
      </w:pPr>
    </w:p>
    <w:p>
      <w:pPr>
        <w:pStyle w:val="BodyText"/>
        <w:spacing w:line="489" w:lineRule="auto"/>
        <w:ind w:right="1129" w:firstLine="360"/>
        <w:jc w:val="both"/>
      </w:pPr>
      <w:r>
        <w:rPr>
          <w:rFonts w:ascii="宋体" w:hAnsi="宋体" w:cs="宋体" w:eastAsia="宋体" w:hint="default"/>
        </w:rPr>
        <w:t>1</w:t>
      </w:r>
      <w:r>
        <w:rPr/>
        <w:t>、报告期内，公司进行了董事会换届选举和管理层换届选聘。为此，提名委员会就董事、需要董事会聘任的总经理及 </w:t>
      </w:r>
      <w:r>
        <w:rPr>
          <w:spacing w:val="-2"/>
        </w:rPr>
        <w:t>其他高级管理人员的任职条件、任职资格进行审议，形成了拟任董事、拟聘总经理及其他高管人员‚不存在《公司法》规定</w:t>
      </w:r>
      <w:r>
        <w:rPr>
          <w:spacing w:val="22"/>
        </w:rPr>
        <w:t> </w:t>
      </w:r>
      <w:r>
        <w:rPr>
          <w:spacing w:val="22"/>
        </w:rPr>
      </w:r>
      <w:r>
        <w:rPr/>
        <w:t>的禁止任职的情形，不存在被中国证监会处以证券市场禁入的情况，也不存在尚未解除的情况‛的专项决议。</w:t>
      </w:r>
    </w:p>
    <w:p>
      <w:pPr>
        <w:pStyle w:val="BodyText"/>
        <w:spacing w:line="240" w:lineRule="auto" w:before="57"/>
        <w:ind w:left="513" w:right="0"/>
        <w:jc w:val="left"/>
      </w:pPr>
      <w:r>
        <w:rPr>
          <w:rFonts w:ascii="宋体" w:hAnsi="宋体" w:cs="宋体" w:eastAsia="宋体" w:hint="default"/>
        </w:rPr>
        <w:t>2</w:t>
      </w:r>
      <w:r>
        <w:rPr/>
        <w:t>、报告期内公司高级管理人员提名及聘任程序符合《公司法》和《公司章程》的有关规定，所聘人员没有受过中国证</w:t>
      </w:r>
    </w:p>
    <w:p>
      <w:pPr>
        <w:spacing w:line="240" w:lineRule="auto" w:before="10"/>
        <w:rPr>
          <w:rFonts w:ascii="宋体" w:hAnsi="宋体" w:cs="宋体" w:eastAsia="宋体" w:hint="default"/>
          <w:sz w:val="18"/>
          <w:szCs w:val="18"/>
        </w:rPr>
      </w:pPr>
    </w:p>
    <w:p>
      <w:pPr>
        <w:pStyle w:val="BodyText"/>
        <w:spacing w:line="233" w:lineRule="exact"/>
        <w:ind w:right="0"/>
        <w:jc w:val="left"/>
      </w:pPr>
      <w:r>
        <w:rPr/>
        <w:t>监会及其他有关部门的处罚和证券交易所惩戒。</w:t>
      </w:r>
    </w:p>
    <w:p>
      <w:pPr>
        <w:pStyle w:val="Heading3"/>
        <w:spacing w:line="361" w:lineRule="exact"/>
        <w:ind w:left="573" w:right="0"/>
        <w:jc w:val="left"/>
        <w:rPr>
          <w:b w:val="0"/>
          <w:bCs w:val="0"/>
        </w:rPr>
      </w:pPr>
      <w:r>
        <w:rPr/>
        <w:t>（四）公司董事会绩效与薪酬委员会履职情况</w:t>
      </w:r>
      <w:r>
        <w:rPr>
          <w:b w:val="0"/>
          <w:bCs w:val="0"/>
        </w:rPr>
      </w:r>
    </w:p>
    <w:p>
      <w:pPr>
        <w:spacing w:line="240" w:lineRule="auto" w:before="8"/>
        <w:rPr>
          <w:rFonts w:ascii="微软雅黑" w:hAnsi="微软雅黑" w:cs="微软雅黑" w:eastAsia="微软雅黑" w:hint="default"/>
          <w:b/>
          <w:bCs/>
          <w:sz w:val="11"/>
          <w:szCs w:val="11"/>
        </w:rPr>
      </w:pPr>
    </w:p>
    <w:p>
      <w:pPr>
        <w:pStyle w:val="BodyText"/>
        <w:spacing w:line="489" w:lineRule="auto"/>
        <w:ind w:right="1130" w:firstLine="360"/>
        <w:jc w:val="both"/>
      </w:pPr>
      <w:r>
        <w:rPr>
          <w:rFonts w:ascii="宋体" w:hAnsi="宋体" w:cs="宋体" w:eastAsia="宋体" w:hint="default"/>
        </w:rPr>
        <w:t>1</w:t>
      </w:r>
      <w:r>
        <w:rPr/>
        <w:t>、董事会绩效与薪酬委员会成员由</w:t>
      </w:r>
      <w:r>
        <w:rPr>
          <w:rFonts w:ascii="宋体" w:hAnsi="宋体" w:cs="宋体" w:eastAsia="宋体" w:hint="default"/>
        </w:rPr>
        <w:t>2</w:t>
      </w:r>
      <w:r>
        <w:rPr/>
        <w:t>名独立董事和</w:t>
      </w:r>
      <w:r>
        <w:rPr>
          <w:rFonts w:ascii="宋体" w:hAnsi="宋体" w:cs="宋体" w:eastAsia="宋体" w:hint="default"/>
        </w:rPr>
        <w:t>1</w:t>
      </w:r>
      <w:r>
        <w:rPr/>
        <w:t>名董事组成，召集人由独立董事担任。公司董事会绩效与薪酬委员 </w:t>
      </w:r>
      <w:r>
        <w:rPr>
          <w:spacing w:val="-2"/>
        </w:rPr>
        <w:t>会负责审核公司薪酬计划与方案，审核公司董事（不含独立董事）及高管人员的薪酬方案与考核标准，考核公司董事及高管</w:t>
      </w:r>
      <w:r>
        <w:rPr>
          <w:spacing w:val="-65"/>
        </w:rPr>
        <w:t> </w:t>
      </w:r>
      <w:r>
        <w:rPr>
          <w:spacing w:val="-65"/>
        </w:rPr>
      </w:r>
      <w:r>
        <w:rPr>
          <w:spacing w:val="-2"/>
        </w:rPr>
        <w:t>人员履行职责的情况，并依照考核标准、薪酬方案进行年度绩效考核。公司董事会根据公司薪酬管理制度及董事会绩效与薪</w:t>
      </w:r>
      <w:r>
        <w:rPr>
          <w:spacing w:val="-63"/>
        </w:rPr>
        <w:t> </w:t>
      </w:r>
      <w:r>
        <w:rPr>
          <w:spacing w:val="-63"/>
        </w:rPr>
      </w:r>
      <w:r>
        <w:rPr/>
        <w:t>酬委员会年度绩效考核情况，确定本年度在公司受薪的董事和高级管理人员报酬标准。</w:t>
      </w:r>
    </w:p>
    <w:p>
      <w:pPr>
        <w:pStyle w:val="BodyText"/>
        <w:spacing w:line="489" w:lineRule="auto" w:before="57"/>
        <w:ind w:right="1034" w:firstLine="360"/>
        <w:jc w:val="left"/>
      </w:pPr>
      <w:r>
        <w:rPr>
          <w:rFonts w:ascii="宋体" w:hAnsi="宋体" w:cs="宋体" w:eastAsia="宋体" w:hint="default"/>
        </w:rPr>
        <w:t>2</w:t>
      </w:r>
      <w:r>
        <w:rPr/>
        <w:t>、绩效与薪酬委员会对</w:t>
      </w:r>
      <w:r>
        <w:rPr>
          <w:rFonts w:ascii="宋体" w:hAnsi="宋体" w:cs="宋体" w:eastAsia="宋体" w:hint="default"/>
        </w:rPr>
        <w:t>2012</w:t>
      </w:r>
      <w:r>
        <w:rPr/>
        <w:t>年度公司总体薪酬发放情况及公司所披露的董事及高管人员薪酬情况进行了审核，并对有 </w:t>
      </w:r>
      <w:r>
        <w:rPr>
          <w:spacing w:val="-2"/>
        </w:rPr>
        <w:t>关董事及高管人员进行了绩效考评。我们认为公司薪酬总体水平符合公司发展状况，公司董事及高管人员薪酬水平正确反映</w:t>
      </w:r>
      <w:r>
        <w:rPr>
          <w:spacing w:val="-64"/>
        </w:rPr>
        <w:t> </w:t>
      </w:r>
      <w:r>
        <w:rPr>
          <w:spacing w:val="-64"/>
        </w:rPr>
      </w:r>
      <w:r>
        <w:rPr/>
        <w:t>了公司的整体业绩状况及个人工作成效，符合公司薪酬管理制度，薪酬计划及薪酬发放程序合法，没有违反国家相关法律、 法规。</w:t>
      </w:r>
    </w:p>
    <w:p>
      <w:pPr>
        <w:pStyle w:val="Heading2"/>
        <w:spacing w:line="240" w:lineRule="auto" w:before="74"/>
        <w:ind w:right="0"/>
        <w:jc w:val="left"/>
        <w:rPr>
          <w:b w:val="0"/>
          <w:bCs w:val="0"/>
        </w:rPr>
      </w:pPr>
      <w:r>
        <w:rPr/>
        <w:t>五、监事会工作情况</w:t>
      </w:r>
      <w:r>
        <w:rPr>
          <w:b w:val="0"/>
          <w:bCs w:val="0"/>
        </w:rPr>
      </w:r>
    </w:p>
    <w:p>
      <w:pPr>
        <w:spacing w:line="240" w:lineRule="auto" w:before="6"/>
        <w:rPr>
          <w:rFonts w:ascii="微软雅黑" w:hAnsi="微软雅黑" w:cs="微软雅黑" w:eastAsia="微软雅黑"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240" w:lineRule="auto" w:before="115"/>
        <w:ind w:right="0"/>
        <w:jc w:val="left"/>
      </w:pPr>
      <w:r>
        <w:rPr/>
        <w:t>□ 是 √ 否</w:t>
      </w:r>
    </w:p>
    <w:p>
      <w:pPr>
        <w:pStyle w:val="BodyText"/>
        <w:spacing w:line="240" w:lineRule="auto" w:before="117"/>
        <w:ind w:left="513" w:right="0"/>
        <w:jc w:val="left"/>
      </w:pPr>
      <w:r>
        <w:rPr/>
        <w:t>监事会对报告期内的监督事项无异议。</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14"/>
        <w:rPr>
          <w:rFonts w:ascii="微软雅黑" w:hAnsi="微软雅黑" w:cs="微软雅黑" w:eastAsia="微软雅黑" w:hint="default"/>
          <w:b/>
          <w:bCs/>
          <w:sz w:val="27"/>
          <w:szCs w:val="27"/>
        </w:rPr>
      </w:pPr>
    </w:p>
    <w:p>
      <w:pPr>
        <w:pStyle w:val="BodyText"/>
        <w:spacing w:line="489" w:lineRule="auto"/>
        <w:ind w:right="0" w:firstLine="360"/>
        <w:jc w:val="left"/>
      </w:pPr>
      <w:r>
        <w:rPr>
          <w:spacing w:val="-2"/>
        </w:rPr>
        <w:t>截至报告期末，中国希格玛有限公司为本公司控股股东，持有本公司</w:t>
      </w:r>
      <w:r>
        <w:rPr>
          <w:rFonts w:ascii="宋体" w:hAnsi="宋体" w:cs="宋体" w:eastAsia="宋体" w:hint="default"/>
          <w:spacing w:val="-2"/>
        </w:rPr>
        <w:t>78,306,968</w:t>
      </w:r>
      <w:r>
        <w:rPr>
          <w:spacing w:val="-2"/>
        </w:rPr>
        <w:t>股股份，占公司总股本的</w:t>
      </w:r>
      <w:r>
        <w:rPr>
          <w:rFonts w:ascii="宋体" w:hAnsi="宋体" w:cs="宋体" w:eastAsia="宋体" w:hint="default"/>
          <w:spacing w:val="-2"/>
        </w:rPr>
        <w:t>21.88%</w:t>
      </w:r>
      <w:r>
        <w:rPr>
          <w:spacing w:val="-2"/>
        </w:rPr>
        <w:t>。本公</w:t>
      </w:r>
      <w:r>
        <w:rPr/>
        <w:t> </w:t>
      </w:r>
      <w:r>
        <w:rPr>
          <w:spacing w:val="-4"/>
        </w:rPr>
        <w:t>司法人治理结构健全，在业务、人员、资产、机构、财务等方面与控股股东完全分开，具有独立完整的业务及自主经营能力。</w:t>
      </w:r>
    </w:p>
    <w:p>
      <w:pPr>
        <w:pStyle w:val="BodyText"/>
        <w:spacing w:line="489" w:lineRule="auto" w:before="57"/>
        <w:ind w:right="1124" w:firstLine="360"/>
        <w:jc w:val="left"/>
      </w:pPr>
      <w:r>
        <w:rPr>
          <w:rFonts w:ascii="宋体" w:hAnsi="宋体" w:cs="宋体" w:eastAsia="宋体" w:hint="default"/>
        </w:rPr>
        <w:t>1</w:t>
      </w:r>
      <w:r>
        <w:rPr/>
        <w:t>、公司业务独立。公司具有独立完整的业务及自主经营能力，与控股股东及其下属企业之间不存在同业竞争，控股股 东不存在直接或间接干预公司经营活动的情况。</w:t>
      </w:r>
    </w:p>
    <w:p>
      <w:pPr>
        <w:pStyle w:val="BodyText"/>
        <w:spacing w:line="240" w:lineRule="auto" w:before="57"/>
        <w:ind w:left="513" w:right="0"/>
        <w:jc w:val="left"/>
      </w:pPr>
      <w:r>
        <w:rPr>
          <w:rFonts w:ascii="宋体" w:hAnsi="宋体" w:cs="宋体" w:eastAsia="宋体" w:hint="default"/>
        </w:rPr>
        <w:t>2</w:t>
      </w:r>
      <w:r>
        <w:rPr/>
        <w:t>、公司人员独立。公司与控股股东在劳动、人事及工资管理等方面相互独立，有独立完善的人事制度和劳资管理体系。</w:t>
      </w:r>
    </w:p>
    <w:p>
      <w:pPr>
        <w:spacing w:after="0" w:line="240" w:lineRule="auto"/>
        <w:jc w:val="left"/>
        <w:sectPr>
          <w:footerReference w:type="default" r:id="rId23"/>
          <w:pgSz w:w="11910" w:h="16840"/>
          <w:pgMar w:footer="1340" w:header="745" w:top="1060" w:bottom="1540" w:left="980" w:right="0"/>
          <w:pgNumType w:start="4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489" w:lineRule="auto" w:before="44"/>
        <w:ind w:right="1135"/>
        <w:jc w:val="both"/>
      </w:pPr>
      <w:r>
        <w:rPr>
          <w:spacing w:val="-2"/>
        </w:rPr>
        <w:t>董事长未担任公司股东单位的法定代表人；公司总经理、副总经理、总会计师、董事会秘书等高管人员均属专职，未有在控</w:t>
      </w:r>
      <w:r>
        <w:rPr>
          <w:spacing w:val="-67"/>
        </w:rPr>
        <w:t> </w:t>
      </w:r>
      <w:r>
        <w:rPr>
          <w:spacing w:val="-67"/>
        </w:rPr>
      </w:r>
      <w:r>
        <w:rPr>
          <w:spacing w:val="-2"/>
        </w:rPr>
        <w:t>股股东兼职的情况，均在本公司领取报酬。公司所有的董事、监事均通过合法程序选举产生，总经理、副总经理、总会计师</w:t>
      </w:r>
      <w:r>
        <w:rPr>
          <w:spacing w:val="-70"/>
        </w:rPr>
        <w:t> </w:t>
      </w:r>
      <w:r>
        <w:rPr>
          <w:spacing w:val="-70"/>
        </w:rPr>
      </w:r>
      <w:r>
        <w:rPr/>
        <w:t>及董事会秘书均由董事会聘任，其他各级管理人员由总经理聘任，公司拥有独立的人事任免权。</w:t>
      </w:r>
    </w:p>
    <w:p>
      <w:pPr>
        <w:pStyle w:val="BodyText"/>
        <w:spacing w:line="489" w:lineRule="auto" w:before="57"/>
        <w:ind w:right="1124" w:firstLine="360"/>
        <w:jc w:val="left"/>
      </w:pPr>
      <w:r>
        <w:rPr>
          <w:rFonts w:ascii="宋体" w:hAnsi="宋体" w:cs="宋体" w:eastAsia="宋体" w:hint="default"/>
        </w:rPr>
        <w:t>3</w:t>
      </w:r>
      <w:r>
        <w:rPr/>
        <w:t>、公司资产独立。公司具有独立完整的资产，公司的资产全部处于公司的控制之下，并为公司独立拥有和运营。公司 不存在资金、资产被控股股东占用的情形。</w:t>
      </w:r>
    </w:p>
    <w:p>
      <w:pPr>
        <w:pStyle w:val="BodyText"/>
        <w:spacing w:line="489" w:lineRule="auto" w:before="57"/>
        <w:ind w:right="1124" w:firstLine="360"/>
        <w:jc w:val="left"/>
      </w:pPr>
      <w:r>
        <w:rPr>
          <w:rFonts w:ascii="宋体" w:hAnsi="宋体" w:cs="宋体" w:eastAsia="宋体" w:hint="default"/>
        </w:rPr>
        <w:t>4</w:t>
      </w:r>
      <w:r>
        <w:rPr/>
        <w:t>、公司机构独立。公司生产经营及办公机构与控股股东完全分开，设立了健全的组织机构体系，董事会、监事会及其 他内部机构独立运作。控股股东及其职能部门与公司及其职能部门之间不存在从属关系。</w:t>
      </w:r>
    </w:p>
    <w:p>
      <w:pPr>
        <w:pStyle w:val="BodyText"/>
        <w:spacing w:line="489" w:lineRule="auto" w:before="57"/>
        <w:ind w:right="1131" w:firstLine="360"/>
        <w:jc w:val="both"/>
      </w:pPr>
      <w:r>
        <w:rPr>
          <w:rFonts w:ascii="宋体" w:hAnsi="宋体" w:cs="宋体" w:eastAsia="宋体" w:hint="default"/>
        </w:rPr>
        <w:t>5</w:t>
      </w:r>
      <w:r>
        <w:rPr/>
        <w:t>、财务方面独立。公司设有独立的财会部门，配备了充足的专职财务会计人员，并建立了独立的会计核算体系和财务 </w:t>
      </w:r>
      <w:r>
        <w:rPr>
          <w:spacing w:val="-2"/>
        </w:rPr>
        <w:t>管理制度。公司独立开设银行账户、独立纳税，严格遵循各项财务制度，独立运作、规范管理。不存在控股股东干预公司财</w:t>
      </w:r>
      <w:r>
        <w:rPr>
          <w:spacing w:val="-68"/>
        </w:rPr>
        <w:t> </w:t>
      </w:r>
      <w:r>
        <w:rPr>
          <w:spacing w:val="-68"/>
        </w:rPr>
      </w:r>
      <w:r>
        <w:rPr/>
        <w:t>务、会计活动的情况。</w:t>
      </w:r>
    </w:p>
    <w:p>
      <w:pPr>
        <w:pStyle w:val="Heading2"/>
        <w:spacing w:line="240" w:lineRule="auto" w:before="74"/>
        <w:ind w:right="0"/>
        <w:jc w:val="both"/>
        <w:rPr>
          <w:b w:val="0"/>
          <w:bCs w:val="0"/>
        </w:rPr>
      </w:pPr>
      <w:r>
        <w:rPr/>
        <w:t>七、同业竞争情况</w:t>
      </w:r>
      <w:r>
        <w:rPr>
          <w:b w:val="0"/>
          <w:bCs w:val="0"/>
        </w:rPr>
      </w:r>
    </w:p>
    <w:p>
      <w:pPr>
        <w:spacing w:line="240" w:lineRule="auto" w:before="6"/>
        <w:rPr>
          <w:rFonts w:ascii="微软雅黑" w:hAnsi="微软雅黑" w:cs="微软雅黑" w:eastAsia="微软雅黑" w:hint="default"/>
          <w:b/>
          <w:bCs/>
          <w:sz w:val="18"/>
          <w:szCs w:val="18"/>
        </w:rPr>
      </w:pPr>
    </w:p>
    <w:p>
      <w:pPr>
        <w:pStyle w:val="BodyText"/>
        <w:spacing w:line="240" w:lineRule="auto"/>
        <w:ind w:left="513" w:right="0"/>
        <w:jc w:val="left"/>
      </w:pPr>
      <w:r>
        <w:rPr/>
        <w:t>公司与控股股东及实际控制人不存在同业竞争。</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4"/>
        <w:rPr>
          <w:rFonts w:ascii="微软雅黑" w:hAnsi="微软雅黑" w:cs="微软雅黑" w:eastAsia="微软雅黑" w:hint="default"/>
          <w:b/>
          <w:bCs/>
          <w:sz w:val="27"/>
          <w:szCs w:val="27"/>
        </w:rPr>
      </w:pPr>
    </w:p>
    <w:p>
      <w:pPr>
        <w:pStyle w:val="BodyText"/>
        <w:spacing w:line="489" w:lineRule="auto"/>
        <w:ind w:right="1034" w:firstLine="360"/>
        <w:jc w:val="left"/>
      </w:pPr>
      <w:r>
        <w:rPr>
          <w:spacing w:val="-2"/>
        </w:rPr>
        <w:t>公司高级管理人员的聘任按照《公司章程》规定的任职条件和选聘程序执行，其绩效评价由公司行政人事部门进行日常</w:t>
      </w:r>
      <w:r>
        <w:rPr/>
        <w:t> 考核与评价，年末由公司董事会下设的薪酬与考核委员会进行综合评定，对高级管理人员实行基本工资加奖金的薪酬方式。 </w:t>
      </w:r>
      <w:r>
        <w:rPr>
          <w:spacing w:val="-2"/>
        </w:rPr>
        <w:t>公司将进一步探求有效的激励机制，以充分调动董事、监事和高级管理人员的积极性，促进公司的长远发展，保证股东利益</w:t>
      </w:r>
      <w:r>
        <w:rPr>
          <w:spacing w:val="-64"/>
        </w:rPr>
        <w:t> </w:t>
      </w:r>
      <w:r>
        <w:rPr>
          <w:spacing w:val="-64"/>
        </w:rPr>
      </w:r>
      <w:r>
        <w:rPr/>
        <w:t>的最大化。</w:t>
      </w:r>
    </w:p>
    <w:p>
      <w:pPr>
        <w:spacing w:after="0" w:line="489"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781336" type="#_x0000_t75" stroked="false">
            <v:imagedata r:id="rId13" o:titl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8" w:lineRule="exact"/>
        <w:ind w:right="976"/>
        <w:jc w:val="center"/>
        <w:rPr>
          <w:b w:val="0"/>
          <w:bCs w:val="0"/>
        </w:rPr>
      </w:pPr>
      <w:r>
        <w:rPr/>
        <w:t>第九节</w:t>
      </w:r>
      <w:r>
        <w:rPr>
          <w:spacing w:val="73"/>
        </w:rPr>
        <w:t> </w:t>
      </w:r>
      <w:r>
        <w:rPr/>
        <w:t>内部控制</w:t>
      </w:r>
      <w:r>
        <w:rPr>
          <w:b w:val="0"/>
          <w:bCs w:val="0"/>
        </w:rPr>
      </w:r>
    </w:p>
    <w:p>
      <w:pPr>
        <w:spacing w:line="240" w:lineRule="auto" w:before="16"/>
        <w:rPr>
          <w:rFonts w:ascii="微软雅黑" w:hAnsi="微软雅黑" w:cs="微软雅黑" w:eastAsia="微软雅黑" w:hint="default"/>
          <w:b/>
          <w:bCs/>
          <w:sz w:val="25"/>
          <w:szCs w:val="25"/>
        </w:rPr>
      </w:pPr>
    </w:p>
    <w:p>
      <w:pPr>
        <w:pStyle w:val="Heading2"/>
        <w:spacing w:line="369" w:lineRule="exact"/>
        <w:ind w:right="0"/>
        <w:jc w:val="left"/>
        <w:rPr>
          <w:b w:val="0"/>
          <w:bCs w:val="0"/>
        </w:rPr>
      </w:pPr>
      <w:r>
        <w:rPr/>
        <w:t>一、内部控制建设情况</w:t>
      </w:r>
      <w:r>
        <w:rPr>
          <w:b w:val="0"/>
          <w:bCs w:val="0"/>
        </w:rPr>
      </w:r>
    </w:p>
    <w:p>
      <w:pPr>
        <w:spacing w:line="240" w:lineRule="auto" w:before="14"/>
        <w:rPr>
          <w:rFonts w:ascii="微软雅黑" w:hAnsi="微软雅黑" w:cs="微软雅黑" w:eastAsia="微软雅黑" w:hint="default"/>
          <w:b/>
          <w:bCs/>
          <w:sz w:val="27"/>
          <w:szCs w:val="27"/>
        </w:rPr>
      </w:pPr>
    </w:p>
    <w:p>
      <w:pPr>
        <w:pStyle w:val="BodyText"/>
        <w:spacing w:line="489" w:lineRule="auto"/>
        <w:ind w:right="0" w:firstLine="360"/>
        <w:jc w:val="left"/>
      </w:pPr>
      <w:r>
        <w:rPr>
          <w:rFonts w:ascii="宋体" w:hAnsi="宋体" w:cs="宋体" w:eastAsia="宋体" w:hint="default"/>
          <w:spacing w:val="-2"/>
        </w:rPr>
        <w:t>2012</w:t>
      </w:r>
      <w:r>
        <w:rPr>
          <w:spacing w:val="-2"/>
        </w:rPr>
        <w:t>年，为进一步加强和规范公司内部控制建设，确保公司内控制度设计的完整性、合理性及实施的有效性，积极固化</w:t>
      </w:r>
      <w:r>
        <w:rPr/>
        <w:t> 内控建设成果，持续优化内控体系及运行机制，公司对相关内部控制进行了进一步的完善和提升。</w:t>
      </w:r>
    </w:p>
    <w:p>
      <w:pPr>
        <w:pStyle w:val="Heading2"/>
        <w:spacing w:line="240" w:lineRule="auto" w:before="74"/>
        <w:ind w:right="0"/>
        <w:jc w:val="left"/>
        <w:rPr>
          <w:b w:val="0"/>
          <w:bCs w:val="0"/>
        </w:rPr>
      </w:pPr>
      <w:r>
        <w:rPr/>
        <w:t>二、董事会关于内部控制责任的声明</w:t>
      </w:r>
      <w:r>
        <w:rPr>
          <w:b w:val="0"/>
          <w:bCs w:val="0"/>
        </w:rPr>
      </w:r>
    </w:p>
    <w:p>
      <w:pPr>
        <w:spacing w:line="240" w:lineRule="auto" w:before="17"/>
        <w:rPr>
          <w:rFonts w:ascii="微软雅黑" w:hAnsi="微软雅黑" w:cs="微软雅黑" w:eastAsia="微软雅黑" w:hint="default"/>
          <w:b/>
          <w:bCs/>
          <w:sz w:val="27"/>
          <w:szCs w:val="27"/>
        </w:rPr>
      </w:pPr>
    </w:p>
    <w:p>
      <w:pPr>
        <w:pStyle w:val="BodyText"/>
        <w:spacing w:line="489" w:lineRule="auto"/>
        <w:ind w:right="0" w:firstLine="360"/>
        <w:jc w:val="left"/>
      </w:pPr>
      <w:r>
        <w:rPr>
          <w:spacing w:val="-2"/>
        </w:rPr>
        <w:t>公司董事会及全体董事保证本报告内容的真实、准确和完整，不存在虚假记载、误导性陈述或者重大遗漏，并对报告内</w:t>
      </w:r>
      <w:r>
        <w:rPr/>
        <w:t> 容的真实性、准确性和完整性承担个别及连带责任。</w:t>
      </w:r>
    </w:p>
    <w:p>
      <w:pPr>
        <w:pStyle w:val="BodyText"/>
        <w:spacing w:line="489" w:lineRule="auto" w:before="57"/>
        <w:ind w:right="0" w:firstLine="360"/>
        <w:jc w:val="left"/>
      </w:pPr>
      <w:r>
        <w:rPr>
          <w:spacing w:val="-2"/>
        </w:rPr>
        <w:t>建立健全并有效实施内部控制是公司董事会的责任；监事会对董事会建立与实施内部控制进行监督；经营班子负责组织</w:t>
      </w:r>
      <w:r>
        <w:rPr/>
        <w:t> 领导公司内部控制的日常运行。</w:t>
      </w:r>
    </w:p>
    <w:p>
      <w:pPr>
        <w:pStyle w:val="BodyText"/>
        <w:spacing w:line="489" w:lineRule="auto" w:before="57"/>
        <w:ind w:right="1034" w:firstLine="360"/>
        <w:jc w:val="left"/>
      </w:pPr>
      <w:r>
        <w:rPr/>
        <w:t>公司内部控制的目标是：保证公司经营管理合法合规、财务报告及相关信息真实完整，提高公司经营管理效率和效果， </w:t>
      </w:r>
      <w:r>
        <w:rPr>
          <w:spacing w:val="-4"/>
        </w:rPr>
        <w:t>保证资产安全并及时发现、纠正管理漏洞，防范舞弊行为，确保国家有关法律法规和公司内部控制制度得到有效的贯彻执行</w:t>
      </w:r>
      <w:r>
        <w:rPr>
          <w:rFonts w:ascii="宋体" w:hAnsi="宋体" w:cs="宋体" w:eastAsia="宋体" w:hint="default"/>
          <w:spacing w:val="-4"/>
        </w:rPr>
        <w:t>,</w:t>
      </w:r>
      <w:r>
        <w:rPr>
          <w:rFonts w:ascii="宋体" w:hAnsi="宋体" w:cs="宋体" w:eastAsia="宋体" w:hint="default"/>
          <w:spacing w:val="-40"/>
        </w:rPr>
        <w:t> </w:t>
      </w:r>
      <w:r>
        <w:rPr>
          <w:spacing w:val="-2"/>
        </w:rPr>
        <w:t>促进公司健康发展。公司的内控设计是完整和合理的，且得到了有效执行，达到了内部控制的预期目标，内部控制不存在重</w:t>
      </w:r>
      <w:r>
        <w:rPr>
          <w:spacing w:val="-62"/>
        </w:rPr>
        <w:t> </w:t>
      </w:r>
      <w:r>
        <w:rPr>
          <w:spacing w:val="-62"/>
        </w:rPr>
      </w:r>
      <w:r>
        <w:rPr/>
        <w:t>大缺陷。</w:t>
      </w:r>
    </w:p>
    <w:p>
      <w:pPr>
        <w:pStyle w:val="BodyText"/>
        <w:spacing w:line="489" w:lineRule="auto" w:before="57"/>
        <w:ind w:right="1118" w:firstLine="360"/>
        <w:jc w:val="left"/>
      </w:pPr>
      <w:r>
        <w:rPr/>
        <w:t>自内部控制评价报告基准日至内部控制评价报告发出日之间公司未发生对评价结论产生实质性影响的内部控制的重大</w:t>
      </w:r>
      <w:r>
        <w:rPr>
          <w:spacing w:val="2"/>
        </w:rPr>
        <w:t> </w:t>
      </w:r>
      <w:r>
        <w:rPr/>
        <w:t>变化。</w:t>
      </w:r>
    </w:p>
    <w:p>
      <w:pPr>
        <w:pStyle w:val="Heading2"/>
        <w:spacing w:line="240" w:lineRule="auto" w:before="74"/>
        <w:ind w:right="0"/>
        <w:jc w:val="left"/>
        <w:rPr>
          <w:b w:val="0"/>
          <w:bCs w:val="0"/>
        </w:rPr>
      </w:pPr>
      <w:r>
        <w:rPr/>
        <w:t>三、建立财务报告内部控制的依据</w:t>
      </w:r>
      <w:r>
        <w:rPr>
          <w:b w:val="0"/>
          <w:bCs w:val="0"/>
        </w:rPr>
      </w:r>
    </w:p>
    <w:p>
      <w:pPr>
        <w:spacing w:line="240" w:lineRule="auto" w:before="14"/>
        <w:rPr>
          <w:rFonts w:ascii="微软雅黑" w:hAnsi="微软雅黑" w:cs="微软雅黑" w:eastAsia="微软雅黑" w:hint="default"/>
          <w:b/>
          <w:bCs/>
          <w:sz w:val="27"/>
          <w:szCs w:val="27"/>
        </w:rPr>
      </w:pPr>
    </w:p>
    <w:p>
      <w:pPr>
        <w:pStyle w:val="BodyText"/>
        <w:spacing w:line="489" w:lineRule="auto"/>
        <w:ind w:right="1133" w:firstLine="360"/>
        <w:jc w:val="both"/>
      </w:pPr>
      <w:r>
        <w:rPr>
          <w:spacing w:val="-2"/>
        </w:rPr>
        <w:t>公司根据《会计法》、《企业会计准侧》、《企业内部控制基本规范》、《企业内部控制应用指引》、《企业内部控制</w:t>
      </w:r>
      <w:r>
        <w:rPr/>
        <w:t> </w:t>
      </w:r>
      <w:r>
        <w:rPr>
          <w:spacing w:val="-2"/>
        </w:rPr>
        <w:t>评价指引》等有关法律及监管部门的相关规范性文件的规定，制定了与财务报告相关的《会计核算制度》、《财务报告管理</w:t>
      </w:r>
      <w:r>
        <w:rPr>
          <w:spacing w:val="-67"/>
        </w:rPr>
        <w:t> </w:t>
      </w:r>
      <w:r>
        <w:rPr>
          <w:spacing w:val="-67"/>
        </w:rPr>
      </w:r>
      <w:r>
        <w:rPr/>
        <w:t>制度》等。本年度公司的财务报告内部控制没有重大缺陷。</w:t>
      </w:r>
    </w:p>
    <w:p>
      <w:pPr>
        <w:pStyle w:val="Heading2"/>
        <w:spacing w:line="240" w:lineRule="auto" w:before="74"/>
        <w:ind w:right="0"/>
        <w:jc w:val="left"/>
        <w:rPr>
          <w:b w:val="0"/>
          <w:bCs w:val="0"/>
        </w:rPr>
      </w:pPr>
      <w:r>
        <w:rPr/>
        <w:t>四、内部控制自我评价报告</w:t>
      </w:r>
      <w:r>
        <w:rPr>
          <w:b w:val="0"/>
          <w:bCs w:val="0"/>
        </w:rPr>
      </w:r>
    </w:p>
    <w:p>
      <w:pPr>
        <w:spacing w:line="240" w:lineRule="auto" w:before="16"/>
        <w:rPr>
          <w:rFonts w:ascii="微软雅黑" w:hAnsi="微软雅黑" w:cs="微软雅黑" w:eastAsia="微软雅黑"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刊登在</w:t>
            </w:r>
            <w:r>
              <w:rPr>
                <w:rFonts w:ascii="宋体" w:hAnsi="宋体" w:cs="宋体" w:eastAsia="宋体" w:hint="default"/>
                <w:spacing w:val="-49"/>
                <w:sz w:val="18"/>
                <w:szCs w:val="18"/>
              </w:rPr>
              <w:t> </w:t>
            </w:r>
            <w:r>
              <w:rPr>
                <w:rFonts w:ascii="宋体" w:hAnsi="宋体" w:cs="宋体" w:eastAsia="宋体" w:hint="default"/>
                <w:sz w:val="18"/>
                <w:szCs w:val="18"/>
              </w:rPr>
              <w:t>2013</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50"/>
                <w:sz w:val="18"/>
                <w:szCs w:val="18"/>
              </w:rPr>
              <w:t> </w:t>
            </w:r>
            <w:r>
              <w:rPr>
                <w:rFonts w:ascii="宋体" w:hAnsi="宋体" w:cs="宋体" w:eastAsia="宋体" w:hint="default"/>
                <w:sz w:val="18"/>
                <w:szCs w:val="18"/>
              </w:rPr>
              <w:t>日的巨潮资讯网</w:t>
            </w:r>
            <w:r>
              <w:rPr>
                <w:rFonts w:ascii="宋体" w:hAnsi="宋体" w:cs="宋体" w:eastAsia="宋体" w:hint="default"/>
                <w:spacing w:val="-49"/>
                <w:sz w:val="18"/>
                <w:szCs w:val="18"/>
              </w:rPr>
              <w:t> </w:t>
            </w:r>
            <w:hyperlink r:id="rId8">
              <w:r>
                <w:rPr>
                  <w:rFonts w:ascii="Times New Roman" w:hAnsi="Times New Roman" w:cs="Times New Roman" w:eastAsia="Times New Roman" w:hint="default"/>
                  <w:sz w:val="18"/>
                  <w:szCs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footerReference w:type="default" r:id="rId24"/>
          <w:pgSz w:w="11910" w:h="16840"/>
          <w:pgMar w:footer="980" w:header="745" w:top="1060" w:bottom="1160" w:left="980" w:right="0"/>
          <w:pgNumType w:start="43"/>
        </w:sectPr>
      </w:pPr>
    </w:p>
    <w:p>
      <w:pPr>
        <w:spacing w:line="240" w:lineRule="auto" w:before="5"/>
        <w:rPr>
          <w:rFonts w:ascii="微软雅黑" w:hAnsi="微软雅黑" w:cs="微软雅黑" w:eastAsia="微软雅黑" w:hint="default"/>
          <w:b/>
          <w:bCs/>
          <w:sz w:val="21"/>
          <w:szCs w:val="21"/>
        </w:rPr>
      </w:pPr>
      <w:r>
        <w:rPr/>
        <w:pict>
          <v:shape style="position:absolute;margin-left:460.320007pt;margin-top:764.919983pt;width:135.0pt;height:77pt;mso-position-horizontal-relative:page;mso-position-vertical-relative:page;z-index:1768" type="#_x0000_t75" stroked="false">
            <v:imagedata r:id="rId13" o:title=""/>
          </v:shape>
        </w:pict>
      </w:r>
    </w:p>
    <w:p>
      <w:pPr>
        <w:spacing w:line="382" w:lineRule="exact"/>
        <w:ind w:left="148" w:right="0" w:firstLine="0"/>
        <w:rPr>
          <w:rFonts w:ascii="微软雅黑" w:hAnsi="微软雅黑" w:cs="微软雅黑" w:eastAsia="微软雅黑" w:hint="default"/>
          <w:sz w:val="20"/>
          <w:szCs w:val="20"/>
        </w:rPr>
      </w:pPr>
      <w:r>
        <w:rPr>
          <w:rFonts w:ascii="微软雅黑" w:hAnsi="微软雅黑" w:cs="微软雅黑" w:eastAsia="微软雅黑" w:hint="default"/>
          <w:position w:val="-7"/>
          <w:sz w:val="20"/>
          <w:szCs w:val="20"/>
        </w:rPr>
        <w:pict>
          <v:group style="width:479.05pt;height:19.1pt;mso-position-horizontal-relative:char;mso-position-vertical-relative:line" coordorigin="0,0" coordsize="9581,382">
            <v:group style="position:absolute;left:23;top:14;width:2;height:354" coordorigin="23,14" coordsize="2,354">
              <v:shape style="position:absolute;left:23;top:14;width:2;height:354" coordorigin="23,14" coordsize="0,354" path="m23,14l23,368e" filled="false" stroked="true" strokeweight="1.08pt" strokecolor="#d2d2d2">
                <v:path arrowok="t"/>
              </v:shape>
            </v:group>
            <v:group style="position:absolute;left:2653;top:14;width:2;height:354" coordorigin="2653,14" coordsize="2,354">
              <v:shape style="position:absolute;left:2653;top:14;width:2;height:354" coordorigin="2653,14" coordsize="0,354" path="m2653,14l2653,368e" filled="false" stroked="true" strokeweight="1.224pt" strokecolor="#d2d2d2">
                <v:path arrowok="t"/>
              </v:shape>
            </v:group>
            <v:group style="position:absolute;left:34;top:14;width:2607;height:354" coordorigin="34,14" coordsize="2607,354">
              <v:shape style="position:absolute;left:34;top:14;width:2607;height:354" coordorigin="34,14" coordsize="2607,354" path="m34,368l2640,368,2640,14,34,14,34,368xe" filled="true" fillcolor="#d2d2d2" stroked="false">
                <v:path arrowok="t"/>
                <v:fill type="solid"/>
              </v:shape>
            </v:group>
            <v:group style="position:absolute;left:10;top:10;width:2653;height:2" coordorigin="10,10" coordsize="2653,2">
              <v:shape style="position:absolute;left:10;top:10;width:2653;height:2" coordorigin="10,10" coordsize="2653,0" path="m10,10l2663,10e" filled="false" stroked="true" strokeweight=".48pt" strokecolor="#000000">
                <v:path arrowok="t"/>
              </v:shape>
            </v:group>
            <v:group style="position:absolute;left:2672;top:10;width:6899;height:2" coordorigin="2672,10" coordsize="6899,2">
              <v:shape style="position:absolute;left:2672;top:10;width:6899;height:2" coordorigin="2672,10" coordsize="6899,0" path="m2672,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653;height:2" coordorigin="10,372" coordsize="2653,2">
              <v:shape style="position:absolute;left:10;top:372;width:2653;height:2" coordorigin="10,372" coordsize="2653,0" path="m10,372l2663,372e" filled="false" stroked="true" strokeweight=".48pt" strokecolor="#000000">
                <v:path arrowok="t"/>
              </v:shape>
            </v:group>
            <v:group style="position:absolute;left:2667;top:5;width:2;height:373" coordorigin="2667,5" coordsize="2,373">
              <v:shape style="position:absolute;left:2667;top:5;width:2;height:373" coordorigin="2667,5" coordsize="0,373" path="m2667,5l2667,377e" filled="false" stroked="true" strokeweight=".48pt" strokecolor="#000000">
                <v:path arrowok="t"/>
              </v:shape>
            </v:group>
            <v:group style="position:absolute;left:2672;top:372;width:6899;height:2" coordorigin="2672,372" coordsize="6899,2">
              <v:shape style="position:absolute;left:2672;top:372;width:6899;height:2" coordorigin="2672,372" coordsize="6899,0" path="m2672,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8pt" strokecolor="#000000">
                <v:path arrowok="t"/>
              </v:shape>
              <v:shape style="position:absolute;left:6;top:10;width:2662;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索引</w:t>
                      </w:r>
                    </w:p>
                  </w:txbxContent>
                </v:textbox>
                <w10:wrap type="none"/>
              </v:shape>
            </v:group>
          </v:group>
        </w:pict>
      </w:r>
      <w:r>
        <w:rPr>
          <w:rFonts w:ascii="微软雅黑" w:hAnsi="微软雅黑" w:cs="微软雅黑" w:eastAsia="微软雅黑" w:hint="default"/>
          <w:position w:val="-7"/>
          <w:sz w:val="20"/>
          <w:szCs w:val="20"/>
        </w:rPr>
      </w:r>
    </w:p>
    <w:p>
      <w:pPr>
        <w:spacing w:line="240" w:lineRule="auto" w:before="7"/>
        <w:rPr>
          <w:rFonts w:ascii="微软雅黑" w:hAnsi="微软雅黑" w:cs="微软雅黑" w:eastAsia="微软雅黑" w:hint="default"/>
          <w:b/>
          <w:bCs/>
          <w:sz w:val="13"/>
          <w:szCs w:val="13"/>
        </w:rPr>
      </w:pPr>
    </w:p>
    <w:p>
      <w:pPr>
        <w:spacing w:line="369" w:lineRule="exact"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五、内部控制审计报告</w:t>
      </w:r>
      <w:r>
        <w:rPr>
          <w:rFonts w:ascii="微软雅黑" w:hAnsi="微软雅黑" w:cs="微软雅黑" w:eastAsia="微软雅黑" w:hint="default"/>
          <w:sz w:val="24"/>
          <w:szCs w:val="24"/>
        </w:rPr>
      </w:r>
    </w:p>
    <w:p>
      <w:pPr>
        <w:spacing w:line="240" w:lineRule="auto" w:before="6"/>
        <w:rPr>
          <w:rFonts w:ascii="微软雅黑" w:hAnsi="微软雅黑" w:cs="微软雅黑" w:eastAsia="微软雅黑" w:hint="default"/>
          <w:b/>
          <w:bCs/>
          <w:sz w:val="18"/>
          <w:szCs w:val="18"/>
        </w:rPr>
      </w:pPr>
    </w:p>
    <w:p>
      <w:pPr>
        <w:pStyle w:val="BodyText"/>
        <w:spacing w:line="240" w:lineRule="auto"/>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39"/>
        <w:gridCol w:w="6891"/>
      </w:tblGrid>
      <w:tr>
        <w:trPr>
          <w:trHeight w:val="403" w:hRule="exact"/>
        </w:trPr>
        <w:tc>
          <w:tcPr>
            <w:tcW w:w="95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日按照《企业内部控制基本规范》和相关规定在所有重大方面 保持了有效的财务报告内部控制。</w:t>
            </w: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3"/>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w:t>
            </w:r>
          </w:p>
        </w:tc>
      </w:tr>
      <w:tr>
        <w:trPr>
          <w:trHeight w:val="401"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3"/>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《深信泰丰</w:t>
            </w: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2 </w:t>
            </w:r>
            <w:r>
              <w:rPr>
                <w:rFonts w:ascii="宋体" w:hAnsi="宋体" w:cs="宋体" w:eastAsia="宋体" w:hint="default"/>
                <w:sz w:val="18"/>
                <w:szCs w:val="18"/>
              </w:rPr>
              <w:t>年度内部控制审计报</w:t>
            </w:r>
            <w:r>
              <w:rPr>
                <w:rFonts w:ascii="宋体" w:hAnsi="宋体" w:cs="宋体" w:eastAsia="宋体" w:hint="default"/>
                <w:spacing w:val="2"/>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，详见巨潮资讯网</w:t>
            </w:r>
            <w:r>
              <w:rPr>
                <w:rFonts w:ascii="宋体" w:hAnsi="宋体" w:cs="宋体" w:eastAsia="宋体" w:hint="default"/>
                <w:spacing w:val="-44"/>
                <w:sz w:val="18"/>
                <w:szCs w:val="18"/>
              </w:rPr>
              <w:t> </w:t>
            </w:r>
            <w:hyperlink r:id="rId8">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6"/>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n</w:t>
              </w:r>
            </w:hyperlink>
          </w:p>
        </w:tc>
      </w:tr>
    </w:tbl>
    <w:p>
      <w:pPr>
        <w:pStyle w:val="BodyText"/>
        <w:spacing w:line="240" w:lineRule="auto" w:before="49"/>
        <w:ind w:right="0"/>
        <w:jc w:val="left"/>
      </w:pPr>
      <w:r>
        <w:rPr/>
        <w:t>会计师事务所是否出具非标准意见的内部控制审计报告</w:t>
      </w:r>
    </w:p>
    <w:p>
      <w:pPr>
        <w:pStyle w:val="BodyText"/>
        <w:spacing w:line="357" w:lineRule="auto" w:before="118"/>
        <w:ind w:right="4634"/>
        <w:jc w:val="left"/>
      </w:pPr>
      <w:r>
        <w:rPr/>
        <w:t>□ 是 √ 否 会计师事务所出具的内部控制审计报告与董事会的自我评价报告意见是否一致</w:t>
      </w:r>
    </w:p>
    <w:p>
      <w:pPr>
        <w:pStyle w:val="BodyText"/>
        <w:spacing w:line="240" w:lineRule="auto" w:before="29"/>
        <w:ind w:right="0"/>
        <w:jc w:val="left"/>
      </w:pPr>
      <w:r>
        <w:rPr/>
        <w:t>√ 是 □ 否</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17"/>
        <w:rPr>
          <w:rFonts w:ascii="微软雅黑" w:hAnsi="微软雅黑" w:cs="微软雅黑" w:eastAsia="微软雅黑" w:hint="default"/>
          <w:b/>
          <w:bCs/>
          <w:sz w:val="27"/>
          <w:szCs w:val="27"/>
        </w:rPr>
      </w:pPr>
    </w:p>
    <w:p>
      <w:pPr>
        <w:pStyle w:val="BodyText"/>
        <w:spacing w:line="487" w:lineRule="auto"/>
        <w:ind w:right="1123" w:firstLine="271"/>
        <w:jc w:val="left"/>
      </w:pPr>
      <w:r>
        <w:rPr/>
        <w:t>为进一步完善公司治理与规范制度，公司已建立了《年报信息披露重大差错责任追究度》并严格执行，报告期内，公司 未出现年报信息披露重大差错。</w:t>
      </w:r>
    </w:p>
    <w:p>
      <w:pPr>
        <w:spacing w:after="0" w:line="48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8" w:lineRule="exact"/>
        <w:ind w:right="976"/>
        <w:jc w:val="center"/>
        <w:rPr>
          <w:b w:val="0"/>
          <w:bCs w:val="0"/>
        </w:rPr>
      </w:pPr>
      <w:r>
        <w:rPr/>
        <w:t>第十节</w:t>
      </w:r>
      <w:r>
        <w:rPr>
          <w:spacing w:val="73"/>
        </w:rPr>
        <w:t> </w:t>
      </w:r>
      <w:r>
        <w:rPr/>
        <w:t>财务报告</w:t>
      </w:r>
      <w:r>
        <w:rPr>
          <w:b w:val="0"/>
          <w:bCs w:val="0"/>
        </w:rPr>
      </w:r>
    </w:p>
    <w:p>
      <w:pPr>
        <w:spacing w:line="240" w:lineRule="auto" w:before="16"/>
        <w:rPr>
          <w:rFonts w:ascii="微软雅黑" w:hAnsi="微软雅黑" w:cs="微软雅黑" w:eastAsia="微软雅黑" w:hint="default"/>
          <w:b/>
          <w:bCs/>
          <w:sz w:val="25"/>
          <w:szCs w:val="25"/>
        </w:rPr>
      </w:pPr>
    </w:p>
    <w:p>
      <w:pPr>
        <w:pStyle w:val="Heading2"/>
        <w:spacing w:line="369" w:lineRule="exact"/>
        <w:ind w:right="0"/>
        <w:jc w:val="left"/>
        <w:rPr>
          <w:b w:val="0"/>
          <w:bCs w:val="0"/>
        </w:rPr>
      </w:pPr>
      <w:r>
        <w:rPr/>
        <w:t>一、审计报告</w:t>
      </w:r>
      <w:r>
        <w:rPr>
          <w:b w:val="0"/>
          <w:bCs w:val="0"/>
        </w:rPr>
      </w:r>
    </w:p>
    <w:p>
      <w:pPr>
        <w:spacing w:line="240" w:lineRule="auto" w:before="13"/>
        <w:rPr>
          <w:rFonts w:ascii="微软雅黑" w:hAnsi="微软雅黑" w:cs="微软雅黑" w:eastAsia="微软雅黑"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宋体" w:hAnsi="宋体" w:cs="宋体" w:eastAsia="宋体"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2144</w:t>
            </w:r>
            <w:r>
              <w:rPr>
                <w:rFonts w:ascii="宋体" w:hAnsi="宋体" w:cs="宋体" w:eastAsia="宋体" w:hint="default"/>
                <w:spacing w:val="-48"/>
                <w:sz w:val="18"/>
                <w:szCs w:val="18"/>
              </w:rPr>
              <w:t> </w:t>
            </w:r>
            <w:r>
              <w:rPr>
                <w:rFonts w:ascii="宋体" w:hAnsi="宋体" w:cs="宋体" w:eastAsia="宋体" w:hint="default"/>
                <w:sz w:val="18"/>
                <w:szCs w:val="18"/>
              </w:rPr>
              <w:t>号</w:t>
            </w:r>
          </w:p>
        </w:tc>
      </w:tr>
    </w:tbl>
    <w:p>
      <w:pPr>
        <w:pStyle w:val="BodyText"/>
        <w:spacing w:line="240" w:lineRule="auto" w:before="49"/>
        <w:ind w:left="0" w:right="978"/>
        <w:jc w:val="center"/>
      </w:pPr>
      <w:r>
        <w:rPr/>
        <w:t>审计报告正文</w:t>
      </w:r>
    </w:p>
    <w:p>
      <w:pPr>
        <w:pStyle w:val="Heading3"/>
        <w:spacing w:line="240" w:lineRule="auto" w:before="87"/>
        <w:ind w:left="0" w:right="980"/>
        <w:jc w:val="center"/>
        <w:rPr>
          <w:b w:val="0"/>
          <w:bCs w:val="0"/>
        </w:rPr>
      </w:pPr>
      <w:r>
        <w:rPr/>
        <w:t>审  计  报</w:t>
      </w:r>
      <w:r>
        <w:rPr>
          <w:spacing w:val="5"/>
        </w:rPr>
        <w:t> </w:t>
      </w:r>
      <w:r>
        <w:rPr/>
        <w:t>告</w:t>
      </w:r>
      <w:r>
        <w:rPr>
          <w:b w:val="0"/>
          <w:bCs w:val="0"/>
        </w:rPr>
      </w:r>
    </w:p>
    <w:p>
      <w:pPr>
        <w:pStyle w:val="BodyText"/>
        <w:spacing w:line="240" w:lineRule="auto" w:before="133"/>
        <w:ind w:left="0" w:right="1152"/>
        <w:jc w:val="right"/>
      </w:pPr>
      <w:r>
        <w:rPr/>
        <w:t>中瑞岳华审字</w:t>
      </w:r>
      <w:r>
        <w:rPr>
          <w:rFonts w:ascii="Times New Roman" w:hAnsi="Times New Roman" w:cs="Times New Roman" w:eastAsia="Times New Roman" w:hint="default"/>
        </w:rPr>
        <w:t>[2013]</w:t>
      </w:r>
      <w:r>
        <w:rPr/>
        <w:t>第</w:t>
      </w:r>
      <w:r>
        <w:rPr>
          <w:spacing w:val="-47"/>
        </w:rPr>
        <w:t> </w:t>
      </w:r>
      <w:r>
        <w:rPr>
          <w:rFonts w:ascii="Times New Roman" w:hAnsi="Times New Roman" w:cs="Times New Roman" w:eastAsia="Times New Roman" w:hint="default"/>
        </w:rPr>
        <w:t>2144</w:t>
      </w:r>
      <w:r>
        <w:rPr>
          <w:rFonts w:ascii="Times New Roman" w:hAnsi="Times New Roman" w:cs="Times New Roman" w:eastAsia="Times New Roman" w:hint="default"/>
          <w:spacing w:val="-3"/>
        </w:rPr>
        <w:t> </w:t>
      </w:r>
      <w:r>
        <w:rPr/>
        <w:t>号</w:t>
      </w:r>
    </w:p>
    <w:p>
      <w:pPr>
        <w:spacing w:line="240" w:lineRule="auto" w:before="2"/>
        <w:rPr>
          <w:rFonts w:ascii="宋体" w:hAnsi="宋体" w:cs="宋体" w:eastAsia="宋体" w:hint="default"/>
          <w:sz w:val="8"/>
          <w:szCs w:val="8"/>
        </w:rPr>
      </w:pPr>
    </w:p>
    <w:p>
      <w:pPr>
        <w:spacing w:line="360" w:lineRule="auto" w:before="0"/>
        <w:ind w:left="513" w:right="1123" w:hanging="361"/>
        <w:jc w:val="left"/>
        <w:rPr>
          <w:rFonts w:ascii="宋体" w:hAnsi="宋体" w:cs="宋体" w:eastAsia="宋体" w:hint="default"/>
          <w:sz w:val="18"/>
          <w:szCs w:val="18"/>
        </w:rPr>
      </w:pPr>
      <w:r>
        <w:rPr>
          <w:rFonts w:ascii="微软雅黑" w:hAnsi="微软雅黑" w:cs="微软雅黑" w:eastAsia="微软雅黑" w:hint="default"/>
          <w:b/>
          <w:bCs/>
          <w:sz w:val="18"/>
          <w:szCs w:val="18"/>
        </w:rPr>
        <w:t>深圳市深信泰丰（集团）股份有限公司全体股东：</w:t>
      </w:r>
      <w:r>
        <w:rPr>
          <w:rFonts w:ascii="微软雅黑" w:hAnsi="微软雅黑" w:cs="微软雅黑" w:eastAsia="微软雅黑" w:hint="default"/>
          <w:b/>
          <w:bCs/>
          <w:spacing w:val="-38"/>
          <w:sz w:val="18"/>
          <w:szCs w:val="18"/>
        </w:rPr>
        <w:t> </w:t>
      </w:r>
      <w:r>
        <w:rPr>
          <w:rFonts w:ascii="微软雅黑" w:hAnsi="微软雅黑" w:cs="微软雅黑" w:eastAsia="微软雅黑" w:hint="default"/>
          <w:b/>
          <w:bCs/>
          <w:spacing w:val="-38"/>
          <w:sz w:val="18"/>
          <w:szCs w:val="18"/>
        </w:rPr>
      </w:r>
      <w:r>
        <w:rPr>
          <w:rFonts w:ascii="宋体" w:hAnsi="宋体" w:cs="宋体" w:eastAsia="宋体" w:hint="default"/>
          <w:sz w:val="18"/>
          <w:szCs w:val="18"/>
        </w:rPr>
        <w:t>我们审计了后附的深圳市深信泰丰（集团）股份有限公司</w:t>
      </w:r>
      <w:r>
        <w:rPr>
          <w:rFonts w:ascii="Arial Narrow" w:hAnsi="Arial Narrow" w:cs="Arial Narrow" w:eastAsia="Arial Narrow" w:hint="default"/>
          <w:sz w:val="18"/>
          <w:szCs w:val="18"/>
        </w:rPr>
        <w:t>(</w:t>
      </w:r>
      <w:r>
        <w:rPr>
          <w:rFonts w:ascii="宋体" w:hAnsi="宋体" w:cs="宋体" w:eastAsia="宋体" w:hint="default"/>
          <w:sz w:val="18"/>
          <w:szCs w:val="18"/>
        </w:rPr>
        <w:t>以下简称</w:t>
      </w:r>
      <w:r>
        <w:rPr>
          <w:rFonts w:ascii="Arial Narrow" w:hAnsi="Arial Narrow" w:cs="Arial Narrow" w:eastAsia="Arial Narrow" w:hint="default"/>
          <w:sz w:val="18"/>
          <w:szCs w:val="18"/>
        </w:rPr>
        <w:t>“</w:t>
      </w:r>
      <w:r>
        <w:rPr>
          <w:rFonts w:ascii="宋体" w:hAnsi="宋体" w:cs="宋体" w:eastAsia="宋体" w:hint="default"/>
          <w:sz w:val="18"/>
          <w:szCs w:val="18"/>
        </w:rPr>
        <w:t>贵公司</w:t>
      </w:r>
      <w:r>
        <w:rPr>
          <w:rFonts w:ascii="Arial Narrow" w:hAnsi="Arial Narrow" w:cs="Arial Narrow" w:eastAsia="Arial Narrow" w:hint="default"/>
          <w:sz w:val="18"/>
          <w:szCs w:val="18"/>
        </w:rPr>
        <w:t>”) </w:t>
      </w:r>
      <w:r>
        <w:rPr>
          <w:rFonts w:ascii="Arial Narrow" w:hAnsi="Arial Narrow" w:cs="Arial Narrow" w:eastAsia="Arial Narrow" w:hint="default"/>
          <w:spacing w:val="5"/>
          <w:sz w:val="18"/>
          <w:szCs w:val="18"/>
        </w:rPr>
        <w:t> </w:t>
      </w:r>
      <w:r>
        <w:rPr>
          <w:rFonts w:ascii="宋体" w:hAnsi="宋体" w:cs="宋体" w:eastAsia="宋体" w:hint="default"/>
          <w:sz w:val="18"/>
          <w:szCs w:val="18"/>
        </w:rPr>
        <w:t>及其子公司财务报表，包括</w:t>
      </w:r>
      <w:r>
        <w:rPr>
          <w:rFonts w:ascii="宋体" w:hAnsi="宋体" w:cs="宋体" w:eastAsia="宋体" w:hint="default"/>
          <w:spacing w:val="-34"/>
          <w:sz w:val="18"/>
          <w:szCs w:val="18"/>
        </w:rPr>
        <w:t> </w:t>
      </w:r>
      <w:r>
        <w:rPr>
          <w:rFonts w:ascii="Arial Narrow" w:hAnsi="Arial Narrow" w:cs="Arial Narrow" w:eastAsia="Arial Narrow" w:hint="default"/>
          <w:sz w:val="18"/>
          <w:szCs w:val="18"/>
        </w:rPr>
        <w:t>2012</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1"/>
          <w:sz w:val="18"/>
          <w:szCs w:val="18"/>
        </w:rPr>
        <w:t> </w:t>
      </w:r>
      <w:r>
        <w:rPr>
          <w:rFonts w:ascii="宋体" w:hAnsi="宋体" w:cs="宋体" w:eastAsia="宋体" w:hint="default"/>
          <w:sz w:val="18"/>
          <w:szCs w:val="18"/>
        </w:rPr>
        <w:t>月</w:t>
      </w:r>
    </w:p>
    <w:p>
      <w:pPr>
        <w:pStyle w:val="BodyText"/>
        <w:spacing w:line="453" w:lineRule="auto" w:before="118"/>
        <w:ind w:right="0"/>
        <w:jc w:val="left"/>
      </w:pPr>
      <w:r>
        <w:rPr>
          <w:rFonts w:ascii="Arial Narrow" w:hAnsi="Arial Narrow" w:cs="Arial Narrow" w:eastAsia="Arial Narrow" w:hint="default"/>
        </w:rPr>
        <w:t>31 </w:t>
      </w:r>
      <w:r>
        <w:rPr/>
        <w:t>日的合并及公司的资产负债表，</w:t>
      </w:r>
      <w:r>
        <w:rPr>
          <w:rFonts w:ascii="Arial Narrow" w:hAnsi="Arial Narrow" w:cs="Arial Narrow" w:eastAsia="Arial Narrow" w:hint="default"/>
        </w:rPr>
        <w:t>2012</w:t>
      </w:r>
      <w:r>
        <w:rPr>
          <w:rFonts w:ascii="Arial Narrow" w:hAnsi="Arial Narrow" w:cs="Arial Narrow" w:eastAsia="Arial Narrow" w:hint="default"/>
          <w:spacing w:val="19"/>
        </w:rPr>
        <w:t> </w:t>
      </w:r>
      <w:r>
        <w:rPr/>
        <w:t>年度合并及公司的利润表、合并及公司的现金流量表和合并及公司的所有者权益变 动表以及财务报表附注。</w:t>
      </w:r>
    </w:p>
    <w:p>
      <w:pPr>
        <w:spacing w:line="434" w:lineRule="auto" w:before="57"/>
        <w:ind w:left="513" w:right="0" w:firstLine="0"/>
        <w:jc w:val="left"/>
        <w:rPr>
          <w:rFonts w:ascii="宋体" w:hAnsi="宋体" w:cs="宋体" w:eastAsia="宋体" w:hint="default"/>
          <w:sz w:val="18"/>
          <w:szCs w:val="18"/>
        </w:rPr>
      </w:pPr>
      <w:r>
        <w:rPr>
          <w:rFonts w:ascii="微软雅黑" w:hAnsi="微软雅黑" w:cs="微软雅黑" w:eastAsia="微软雅黑" w:hint="default"/>
          <w:b/>
          <w:bCs/>
          <w:sz w:val="18"/>
          <w:szCs w:val="18"/>
        </w:rPr>
        <w:t>一、管理层对财务报表的责任</w:t>
      </w:r>
      <w:r>
        <w:rPr>
          <w:rFonts w:ascii="微软雅黑" w:hAnsi="微软雅黑" w:cs="微软雅黑" w:eastAsia="微软雅黑" w:hint="default"/>
          <w:b/>
          <w:bCs/>
          <w:spacing w:val="-46"/>
          <w:sz w:val="18"/>
          <w:szCs w:val="18"/>
        </w:rPr>
        <w:t> </w:t>
      </w:r>
      <w:r>
        <w:rPr>
          <w:rFonts w:ascii="微软雅黑" w:hAnsi="微软雅黑" w:cs="微软雅黑" w:eastAsia="微软雅黑" w:hint="default"/>
          <w:b/>
          <w:bCs/>
          <w:spacing w:val="-46"/>
          <w:sz w:val="18"/>
          <w:szCs w:val="18"/>
        </w:rPr>
      </w:r>
      <w:r>
        <w:rPr>
          <w:rFonts w:ascii="宋体" w:hAnsi="宋体" w:cs="宋体" w:eastAsia="宋体" w:hint="default"/>
          <w:spacing w:val="-4"/>
          <w:sz w:val="18"/>
          <w:szCs w:val="18"/>
        </w:rPr>
        <w:t>编制和公允列报财务报表是贵公司管理层的责任。这种责任包括：（</w:t>
      </w:r>
      <w:r>
        <w:rPr>
          <w:rFonts w:ascii="Arial Narrow" w:hAnsi="Arial Narrow" w:cs="Arial Narrow" w:eastAsia="Arial Narrow" w:hint="default"/>
          <w:spacing w:val="-4"/>
          <w:sz w:val="18"/>
          <w:szCs w:val="18"/>
        </w:rPr>
        <w:t>1</w:t>
      </w:r>
      <w:r>
        <w:rPr>
          <w:rFonts w:ascii="宋体" w:hAnsi="宋体" w:cs="宋体" w:eastAsia="宋体" w:hint="default"/>
          <w:spacing w:val="-4"/>
          <w:sz w:val="18"/>
          <w:szCs w:val="18"/>
        </w:rPr>
        <w:t>）按照企业会计准则的规定编制财务报表，并使其</w:t>
      </w:r>
    </w:p>
    <w:p>
      <w:pPr>
        <w:pStyle w:val="BodyText"/>
        <w:spacing w:line="436" w:lineRule="auto" w:before="55"/>
        <w:ind w:left="513" w:right="1118" w:hanging="361"/>
        <w:jc w:val="left"/>
      </w:pPr>
      <w:r>
        <w:rPr>
          <w:spacing w:val="-2"/>
        </w:rPr>
        <w:t>实现公允反映；（</w:t>
      </w:r>
      <w:r>
        <w:rPr>
          <w:rFonts w:ascii="Arial Narrow" w:hAnsi="Arial Narrow" w:cs="Arial Narrow" w:eastAsia="Arial Narrow" w:hint="default"/>
          <w:spacing w:val="-2"/>
        </w:rPr>
        <w:t>2</w:t>
      </w:r>
      <w:r>
        <w:rPr>
          <w:spacing w:val="-2"/>
        </w:rPr>
        <w:t>）设计、执行和维护必要的内部控制，以使财务报表不存在由于舞弊或错误导致的重大错报。</w:t>
      </w:r>
      <w:r>
        <w:rPr>
          <w:spacing w:val="-80"/>
        </w:rPr>
        <w:t> </w:t>
      </w:r>
      <w:r>
        <w:rPr>
          <w:rFonts w:ascii="微软雅黑" w:hAnsi="微软雅黑" w:cs="微软雅黑" w:eastAsia="微软雅黑" w:hint="default"/>
          <w:b/>
          <w:bCs/>
        </w:rPr>
        <w:t>二、注册会计师的责任 </w:t>
      </w:r>
      <w:r>
        <w:rPr>
          <w:spacing w:val="-2"/>
        </w:rPr>
        <w:t>我们的责任是在执行审计工作的基础上对财务报表发表审计意见。我们按照中国注册会计师审计准则的规定执行了审计</w:t>
      </w:r>
    </w:p>
    <w:p>
      <w:pPr>
        <w:pStyle w:val="BodyText"/>
        <w:spacing w:line="477" w:lineRule="auto" w:before="85"/>
        <w:ind w:right="0"/>
        <w:jc w:val="left"/>
      </w:pPr>
      <w:r>
        <w:rPr>
          <w:spacing w:val="-2"/>
        </w:rPr>
        <w:t>工作。中国注册会计师审计准则要求我们遵守中国注册会计师职业道德守则，计划和执行审计工作以对财务报表是否不存在</w:t>
      </w:r>
      <w:r>
        <w:rPr>
          <w:spacing w:val="-62"/>
        </w:rPr>
        <w:t> </w:t>
      </w:r>
      <w:r>
        <w:rPr>
          <w:spacing w:val="-62"/>
        </w:rPr>
      </w:r>
      <w:r>
        <w:rPr/>
        <w:t>重大错报获取合理保证。</w:t>
      </w:r>
    </w:p>
    <w:p>
      <w:pPr>
        <w:pStyle w:val="BodyText"/>
        <w:spacing w:line="477" w:lineRule="auto" w:before="95"/>
        <w:ind w:right="103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460" w:lineRule="auto" w:before="95"/>
        <w:ind w:left="513" w:right="4093"/>
        <w:jc w:val="left"/>
        <w:rPr>
          <w:rFonts w:ascii="微软雅黑" w:hAnsi="微软雅黑" w:cs="微软雅黑" w:eastAsia="微软雅黑" w:hint="default"/>
        </w:rPr>
      </w:pPr>
      <w:r>
        <w:rPr/>
        <w:t>我们相信，我们获取的审计证据是充分、适当的，为发表审计意见提供了基础。 </w:t>
      </w:r>
      <w:r>
        <w:rPr>
          <w:rFonts w:ascii="微软雅黑" w:hAnsi="微软雅黑" w:cs="微软雅黑" w:eastAsia="微软雅黑" w:hint="default"/>
          <w:b/>
          <w:bCs/>
        </w:rPr>
        <w:t>三、审计意见</w:t>
      </w:r>
      <w:r>
        <w:rPr>
          <w:rFonts w:ascii="微软雅黑" w:hAnsi="微软雅黑" w:cs="微软雅黑" w:eastAsia="微软雅黑" w:hint="default"/>
        </w:rPr>
      </w:r>
    </w:p>
    <w:p>
      <w:pPr>
        <w:pStyle w:val="BodyText"/>
        <w:spacing w:line="240" w:lineRule="auto" w:before="33"/>
        <w:ind w:right="0" w:firstLine="360"/>
        <w:jc w:val="left"/>
      </w:pPr>
      <w:r>
        <w:rPr/>
        <w:t>我们认为，上述财务报表在所有重大方面按照企业会计准则的规定编制，公允反映了深圳市深信泰丰（集团）股份有限</w:t>
      </w:r>
    </w:p>
    <w:p>
      <w:pPr>
        <w:spacing w:line="240" w:lineRule="auto" w:before="10"/>
        <w:rPr>
          <w:rFonts w:ascii="宋体" w:hAnsi="宋体" w:cs="宋体" w:eastAsia="宋体" w:hint="default"/>
          <w:sz w:val="17"/>
          <w:szCs w:val="17"/>
        </w:rPr>
      </w:pPr>
    </w:p>
    <w:p>
      <w:pPr>
        <w:pStyle w:val="BodyText"/>
        <w:spacing w:line="240" w:lineRule="auto"/>
        <w:ind w:right="0"/>
        <w:jc w:val="left"/>
      </w:pPr>
      <w:r>
        <w:rPr/>
        <w:t>公司及其子公司</w:t>
      </w:r>
      <w:r>
        <w:rPr>
          <w:spacing w:val="-42"/>
        </w:rPr>
        <w:t> </w:t>
      </w:r>
      <w:r>
        <w:rPr>
          <w:rFonts w:ascii="Arial Narrow" w:hAnsi="Arial Narrow" w:cs="Arial Narrow" w:eastAsia="Arial Narrow" w:hint="default"/>
          <w:spacing w:val="-1"/>
        </w:rPr>
        <w:t>201</w:t>
      </w:r>
      <w:r>
        <w:rPr>
          <w:rFonts w:ascii="Arial Narrow" w:hAnsi="Arial Narrow" w:cs="Arial Narrow" w:eastAsia="Arial Narrow" w:hint="default"/>
        </w:rPr>
        <w:t>2</w:t>
      </w:r>
      <w:r>
        <w:rPr>
          <w:rFonts w:ascii="Arial Narrow" w:hAnsi="Arial Narrow" w:cs="Arial Narrow" w:eastAsia="Arial Narrow" w:hint="default"/>
          <w:spacing w:val="1"/>
        </w:rPr>
        <w:t> </w:t>
      </w:r>
      <w:r>
        <w:rPr/>
        <w:t>年</w:t>
      </w:r>
      <w:r>
        <w:rPr>
          <w:spacing w:val="-42"/>
        </w:rPr>
        <w:t> </w:t>
      </w:r>
      <w:r>
        <w:rPr>
          <w:rFonts w:ascii="Arial Narrow" w:hAnsi="Arial Narrow" w:cs="Arial Narrow" w:eastAsia="Arial Narrow" w:hint="default"/>
          <w:spacing w:val="-1"/>
        </w:rPr>
        <w:t>1</w:t>
      </w:r>
      <w:r>
        <w:rPr>
          <w:rFonts w:ascii="Arial Narrow" w:hAnsi="Arial Narrow" w:cs="Arial Narrow" w:eastAsia="Arial Narrow" w:hint="default"/>
        </w:rPr>
        <w:t>2</w:t>
      </w:r>
      <w:r>
        <w:rPr>
          <w:rFonts w:ascii="Arial Narrow" w:hAnsi="Arial Narrow" w:cs="Arial Narrow" w:eastAsia="Arial Narrow" w:hint="default"/>
          <w:spacing w:val="1"/>
        </w:rPr>
        <w:t> </w:t>
      </w:r>
      <w:r>
        <w:rPr/>
        <w:t>月</w:t>
      </w:r>
      <w:r>
        <w:rPr>
          <w:spacing w:val="-42"/>
        </w:rPr>
        <w:t> </w:t>
      </w:r>
      <w:r>
        <w:rPr>
          <w:rFonts w:ascii="Arial Narrow" w:hAnsi="Arial Narrow" w:cs="Arial Narrow" w:eastAsia="Arial Narrow" w:hint="default"/>
          <w:spacing w:val="-3"/>
        </w:rPr>
        <w:t>3</w:t>
      </w:r>
      <w:r>
        <w:rPr>
          <w:rFonts w:ascii="Arial Narrow" w:hAnsi="Arial Narrow" w:cs="Arial Narrow" w:eastAsia="Arial Narrow" w:hint="default"/>
        </w:rPr>
        <w:t>1</w:t>
      </w:r>
      <w:r>
        <w:rPr>
          <w:rFonts w:ascii="Arial Narrow" w:hAnsi="Arial Narrow" w:cs="Arial Narrow" w:eastAsia="Arial Narrow" w:hint="default"/>
          <w:spacing w:val="4"/>
        </w:rPr>
        <w:t> </w:t>
      </w:r>
      <w:r>
        <w:rPr/>
        <w:t>日的合并财务状况以及</w:t>
      </w:r>
      <w:r>
        <w:rPr>
          <w:spacing w:val="-42"/>
        </w:rPr>
        <w:t> </w:t>
      </w:r>
      <w:r>
        <w:rPr>
          <w:rFonts w:ascii="Arial Narrow" w:hAnsi="Arial Narrow" w:cs="Arial Narrow" w:eastAsia="Arial Narrow" w:hint="default"/>
          <w:spacing w:val="-1"/>
        </w:rPr>
        <w:t>201</w:t>
      </w:r>
      <w:r>
        <w:rPr>
          <w:rFonts w:ascii="Arial Narrow" w:hAnsi="Arial Narrow" w:cs="Arial Narrow" w:eastAsia="Arial Narrow" w:hint="default"/>
        </w:rPr>
        <w:t>2</w:t>
      </w:r>
      <w:r>
        <w:rPr>
          <w:rFonts w:ascii="Arial Narrow" w:hAnsi="Arial Narrow" w:cs="Arial Narrow" w:eastAsia="Arial Narrow" w:hint="default"/>
          <w:spacing w:val="1"/>
        </w:rPr>
        <w:t> </w:t>
      </w:r>
      <w:r>
        <w:rPr/>
        <w:t>年度的合并经营成果和合并现金流量</w:t>
      </w:r>
      <w:r>
        <w:rPr>
          <w:spacing w:val="-85"/>
        </w:rPr>
        <w:t>，</w:t>
      </w:r>
      <w:r>
        <w:rPr/>
        <w:t>以</w:t>
      </w:r>
      <w:r>
        <w:rPr>
          <w:spacing w:val="1"/>
        </w:rPr>
        <w:t>及</w:t>
      </w:r>
      <w:r>
        <w:rPr/>
        <w:t>深圳市深信泰</w:t>
      </w:r>
      <w:r>
        <w:rPr>
          <w:spacing w:val="-85"/>
        </w:rPr>
        <w:t>丰</w:t>
      </w:r>
      <w:r>
        <w:rPr/>
        <w:t>（集</w:t>
      </w:r>
    </w:p>
    <w:p>
      <w:pPr>
        <w:spacing w:after="0" w:line="240" w:lineRule="auto"/>
        <w:jc w:val="left"/>
        <w:sectPr>
          <w:footerReference w:type="default" r:id="rId25"/>
          <w:pgSz w:w="11910" w:h="16840"/>
          <w:pgMar w:footer="1331" w:header="745" w:top="1060" w:bottom="1520" w:left="980" w:right="0"/>
          <w:pgNumType w:start="45"/>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4831" w:val="left" w:leader="none"/>
        </w:tabs>
        <w:spacing w:line="491" w:lineRule="auto"/>
        <w:ind w:left="513" w:right="3846" w:hanging="361"/>
        <w:jc w:val="left"/>
      </w:pPr>
      <w:r>
        <w:rPr/>
        <w:t>团）股份有限公司</w:t>
      </w:r>
      <w:r>
        <w:rPr>
          <w:spacing w:val="-44"/>
        </w:rPr>
        <w:t> </w:t>
      </w:r>
      <w:r>
        <w:rPr>
          <w:rFonts w:ascii="Arial Narrow" w:hAnsi="Arial Narrow" w:cs="Arial Narrow" w:eastAsia="Arial Narrow" w:hint="default"/>
        </w:rPr>
        <w:t>2012 </w:t>
      </w:r>
      <w:r>
        <w:rPr/>
        <w:t>年</w:t>
      </w:r>
      <w:r>
        <w:rPr>
          <w:spacing w:val="-43"/>
        </w:rPr>
        <w:t> </w:t>
      </w:r>
      <w:r>
        <w:rPr>
          <w:rFonts w:ascii="Arial Narrow" w:hAnsi="Arial Narrow" w:cs="Arial Narrow" w:eastAsia="Arial Narrow" w:hint="default"/>
        </w:rPr>
        <w:t>12 </w:t>
      </w:r>
      <w:r>
        <w:rPr/>
        <w:t>月</w:t>
      </w:r>
      <w:r>
        <w:rPr>
          <w:spacing w:val="-43"/>
        </w:rPr>
        <w:t> </w:t>
      </w:r>
      <w:r>
        <w:rPr>
          <w:rFonts w:ascii="Arial Narrow" w:hAnsi="Arial Narrow" w:cs="Arial Narrow" w:eastAsia="Arial Narrow" w:hint="default"/>
        </w:rPr>
        <w:t>31</w:t>
      </w:r>
      <w:r>
        <w:rPr>
          <w:rFonts w:ascii="Arial Narrow" w:hAnsi="Arial Narrow" w:cs="Arial Narrow" w:eastAsia="Arial Narrow" w:hint="default"/>
          <w:spacing w:val="1"/>
        </w:rPr>
        <w:t> </w:t>
      </w:r>
      <w:r>
        <w:rPr/>
        <w:t>日的财务状况以及</w:t>
      </w:r>
      <w:r>
        <w:rPr>
          <w:spacing w:val="-43"/>
        </w:rPr>
        <w:t> </w:t>
      </w:r>
      <w:r>
        <w:rPr>
          <w:rFonts w:ascii="Arial Narrow" w:hAnsi="Arial Narrow" w:cs="Arial Narrow" w:eastAsia="Arial Narrow" w:hint="default"/>
        </w:rPr>
        <w:t>2012 </w:t>
      </w:r>
      <w:r>
        <w:rPr/>
        <w:t>年度的经营成果和现金流量。 中瑞岳华会计师事务所（特殊普通合伙）</w:t>
        <w:tab/>
        <w:t>中国注册会计师：李巧仪</w:t>
      </w:r>
    </w:p>
    <w:p>
      <w:pPr>
        <w:spacing w:line="240" w:lineRule="auto" w:before="0"/>
        <w:rPr>
          <w:rFonts w:ascii="宋体" w:hAnsi="宋体" w:cs="宋体" w:eastAsia="宋体" w:hint="default"/>
          <w:sz w:val="20"/>
          <w:szCs w:val="20"/>
        </w:rPr>
      </w:pPr>
    </w:p>
    <w:tbl>
      <w:tblPr>
        <w:tblW w:w="0" w:type="auto"/>
        <w:jc w:val="left"/>
        <w:tblInd w:w="1618" w:type="dxa"/>
        <w:tblLayout w:type="fixed"/>
        <w:tblCellMar>
          <w:top w:w="0" w:type="dxa"/>
          <w:left w:w="0" w:type="dxa"/>
          <w:bottom w:w="0" w:type="dxa"/>
          <w:right w:w="0" w:type="dxa"/>
        </w:tblCellMar>
        <w:tblLook w:val="01E0"/>
      </w:tblPr>
      <w:tblGrid>
        <w:gridCol w:w="2126"/>
        <w:gridCol w:w="3204"/>
      </w:tblGrid>
      <w:tr>
        <w:trPr>
          <w:trHeight w:val="711"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193"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北京</w:t>
            </w:r>
          </w:p>
        </w:tc>
        <w:tc>
          <w:tcPr>
            <w:tcW w:w="3204" w:type="dxa"/>
            <w:tcBorders>
              <w:top w:val="nil" w:sz="6" w:space="0" w:color="auto"/>
              <w:left w:val="nil" w:sz="6" w:space="0" w:color="auto"/>
              <w:bottom w:val="nil" w:sz="6" w:space="0" w:color="auto"/>
              <w:right w:val="nil" w:sz="6" w:space="0" w:color="auto"/>
            </w:tcBorders>
          </w:tcPr>
          <w:p>
            <w:pPr>
              <w:pStyle w:val="TableParagraph"/>
              <w:spacing w:line="180" w:lineRule="exact"/>
              <w:ind w:left="1609" w:right="0" w:hanging="454"/>
              <w:jc w:val="left"/>
              <w:rPr>
                <w:rFonts w:ascii="宋体" w:hAnsi="宋体" w:cs="宋体" w:eastAsia="宋体" w:hint="default"/>
                <w:sz w:val="18"/>
                <w:szCs w:val="18"/>
              </w:rPr>
            </w:pPr>
            <w:r>
              <w:rPr>
                <w:rFonts w:ascii="宋体" w:hAnsi="宋体" w:cs="宋体" w:eastAsia="宋体" w:hint="default"/>
                <w:sz w:val="18"/>
                <w:szCs w:val="18"/>
              </w:rPr>
              <w:t>中国注册会计师：李花</w:t>
            </w: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line="240" w:lineRule="auto" w:before="11"/>
        <w:rPr>
          <w:rFonts w:ascii="宋体" w:hAnsi="宋体" w:cs="宋体" w:eastAsia="宋体" w:hint="default"/>
          <w:sz w:val="25"/>
          <w:szCs w:val="25"/>
        </w:rPr>
      </w:pPr>
    </w:p>
    <w:p>
      <w:pPr>
        <w:pStyle w:val="Heading2"/>
        <w:spacing w:line="369" w:lineRule="exact"/>
        <w:ind w:right="0"/>
        <w:jc w:val="left"/>
        <w:rPr>
          <w:b w:val="0"/>
          <w:bCs w:val="0"/>
        </w:rPr>
      </w:pPr>
      <w:r>
        <w:rPr/>
        <w:t>二、财务报表</w:t>
      </w:r>
      <w:r>
        <w:rPr>
          <w:b w:val="0"/>
          <w:bCs w:val="0"/>
        </w:rPr>
      </w:r>
    </w:p>
    <w:p>
      <w:pPr>
        <w:spacing w:line="240" w:lineRule="auto" w:before="6"/>
        <w:rPr>
          <w:rFonts w:ascii="微软雅黑" w:hAnsi="微软雅黑" w:cs="微软雅黑" w:eastAsia="微软雅黑" w:hint="default"/>
          <w:b/>
          <w:bCs/>
          <w:sz w:val="18"/>
          <w:szCs w:val="18"/>
        </w:rPr>
      </w:pPr>
    </w:p>
    <w:p>
      <w:pPr>
        <w:pStyle w:val="BodyText"/>
        <w:spacing w:line="240" w:lineRule="auto"/>
        <w:ind w:right="0"/>
        <w:jc w:val="left"/>
      </w:pPr>
      <w:r>
        <w:rPr/>
        <w:t>财务附注中报表的单位为：人民币元</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1</w:t>
      </w:r>
      <w:r>
        <w:rPr/>
        <w:t>、合并资产负债表</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right="0"/>
        <w:jc w:val="left"/>
      </w:pPr>
      <w:r>
        <w:rPr/>
        <w:t>编制单位：深圳市深信泰丰</w:t>
      </w:r>
      <w:r>
        <w:rPr>
          <w:rFonts w:ascii="宋体" w:hAnsi="宋体" w:cs="宋体" w:eastAsia="宋体" w:hint="default"/>
        </w:rPr>
        <w:t>(</w:t>
      </w:r>
      <w:r>
        <w:rPr/>
        <w:t>集团</w:t>
      </w:r>
      <w:r>
        <w:rPr>
          <w:rFonts w:ascii="宋体" w:hAnsi="宋体" w:cs="宋体" w:eastAsia="宋体" w:hint="default"/>
        </w:rPr>
        <w:t>)</w:t>
      </w:r>
      <w:r>
        <w:rPr/>
        <w:t>股份有限公司</w:t>
      </w:r>
    </w:p>
    <w:p>
      <w:pPr>
        <w:pStyle w:val="BodyText"/>
        <w:spacing w:line="240" w:lineRule="auto" w:before="117"/>
        <w:ind w:left="0" w:right="1131"/>
        <w:jc w:val="right"/>
      </w:pPr>
      <w:r>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30,629,230.53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51,096,749.46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12,513,584.15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pacing w:val="-1"/>
                <w:sz w:val="18"/>
              </w:rPr>
              <w:t>2,716,617.18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13,185,304.63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29,241,604.12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3,539,603.44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16,796,055.21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1,738,693.39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2,059,349.81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47,547,870.90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46,066,565.78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703,738.57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703,738.57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109,858,025.61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spacing w:val="-1"/>
                <w:sz w:val="18"/>
              </w:rPr>
              <w:t>148,680,680.13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1"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72,142,264.46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36,809,745.26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11,614,248.50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474,125.86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621,695.37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8,730,734.48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8,294,759.30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2,296,935.83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1,548,128.61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83,694,060.63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58,938,577.04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193,552,086.24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207,619,257.17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18,997,646.50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49,953,108.28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47,627,892.29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3,239,708.39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3,771,175.82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3,486,110.82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5,568,480.45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2,564,512.68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5,395,527.20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26,149.00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30,167,881.62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27,740,377.28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2,699,196.00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1,556,359.91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10,619,167.72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93,693,026.70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119,720,267.26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8,578,159.83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340,951.52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663,831.25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1,930,000.00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10,539,111.35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2,593,831.25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104,232,138.05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122,314,098.51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w:t>
            </w:r>
            <w:r>
              <w:rPr>
                <w:rFonts w:ascii="宋体" w:hAnsi="宋体" w:cs="宋体" w:eastAsia="宋体" w:hint="default"/>
                <w:spacing w:val="2"/>
                <w:sz w:val="18"/>
                <w:szCs w:val="18"/>
              </w:rPr>
              <w:t>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357,973,531.00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357,973,531.00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642,648,259.25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642,648,259.25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65,738,593.50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65,738,593.50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-977,040,435.56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-981,055,225.09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89,319,948.19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85,305,158.66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89,319,948.19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85,305,158.66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193,552,086.24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207,619,257.17</w:t>
            </w:r>
          </w:p>
        </w:tc>
      </w:tr>
    </w:tbl>
    <w:p>
      <w:pPr>
        <w:spacing w:line="240" w:lineRule="auto" w:before="11"/>
        <w:rPr>
          <w:rFonts w:ascii="Times New Roman" w:hAnsi="Times New Roman" w:cs="Times New Roman" w:eastAsia="Times New Roman" w:hint="default"/>
          <w:sz w:val="22"/>
          <w:szCs w:val="22"/>
        </w:rPr>
      </w:pPr>
    </w:p>
    <w:p>
      <w:pPr>
        <w:pStyle w:val="BodyText"/>
        <w:tabs>
          <w:tab w:pos="3216" w:val="left" w:leader="none"/>
          <w:tab w:pos="5376" w:val="left" w:leader="none"/>
          <w:tab w:pos="7356" w:val="left" w:leader="none"/>
          <w:tab w:pos="9068" w:val="left" w:leader="none"/>
        </w:tabs>
        <w:spacing w:line="240" w:lineRule="auto" w:before="44"/>
        <w:ind w:right="0"/>
        <w:jc w:val="left"/>
      </w:pPr>
      <w:r>
        <w:rPr/>
        <w:t>法定代表人：晏群</w:t>
        <w:tab/>
        <w:t>主管会计工作负责人：</w:t>
        <w:tab/>
        <w:t>梁侠</w:t>
        <w:tab/>
        <w:t>会计机构负责人：</w:t>
        <w:tab/>
        <w:t>林小浓</w:t>
      </w:r>
    </w:p>
    <w:p>
      <w:pPr>
        <w:spacing w:after="0" w:line="240" w:lineRule="auto"/>
        <w:jc w:val="left"/>
        <w:sectPr>
          <w:pgSz w:w="11910" w:h="16840"/>
          <w:pgMar w:header="745" w:footer="1331"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2</w:t>
      </w:r>
      <w:r>
        <w:rPr/>
        <w:t>、母公司资产负债表</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编制单位：深圳市深信泰丰</w:t>
      </w:r>
      <w:r>
        <w:rPr>
          <w:rFonts w:ascii="宋体" w:hAnsi="宋体" w:cs="宋体" w:eastAsia="宋体" w:hint="default"/>
        </w:rPr>
        <w:t>(</w:t>
      </w:r>
      <w:r>
        <w:rPr/>
        <w:t>集团</w:t>
      </w:r>
      <w:r>
        <w:rPr>
          <w:rFonts w:ascii="宋体" w:hAnsi="宋体" w:cs="宋体" w:eastAsia="宋体" w:hint="default"/>
        </w:rPr>
        <w:t>)</w:t>
      </w:r>
      <w:r>
        <w:rPr/>
        <w:t>股份有限公司</w:t>
      </w:r>
    </w:p>
    <w:p>
      <w:pPr>
        <w:pStyle w:val="BodyText"/>
        <w:spacing w:line="240" w:lineRule="auto" w:before="115"/>
        <w:ind w:left="0" w:right="1131"/>
        <w:jc w:val="right"/>
      </w:pPr>
      <w:r>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6,316,698.94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12,272,448.48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27,398,572.81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26,602,893.94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33,715,271.75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38,875,342.42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318,380,000.00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spacing w:val="-1"/>
                <w:sz w:val="18"/>
              </w:rPr>
              <w:t>318,380,000.00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pacing w:val="-1"/>
                <w:sz w:val="18"/>
              </w:rPr>
              <w:t>747,573.98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833,300.32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right="16"/>
              <w:jc w:val="right"/>
              <w:rPr>
                <w:rFonts w:ascii="宋体" w:hAnsi="宋体" w:cs="宋体" w:eastAsia="宋体" w:hint="default"/>
                <w:sz w:val="18"/>
                <w:szCs w:val="18"/>
              </w:rPr>
            </w:pPr>
            <w:r>
              <w:rPr>
                <w:rFonts w:ascii="宋体"/>
                <w:spacing w:val="-1"/>
                <w:sz w:val="18"/>
              </w:rPr>
              <w:t>377,492.27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493,805.87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1"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319,505,066.25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319,707,106.19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353,220,338.00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358,582,448.61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128,032.82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41,147.97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32,152,266.03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24,350,683.27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1,882,770.84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32,193,714.00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26,361,486.93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32,193,714.00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26,361,486.93</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w:t>
            </w:r>
            <w:r>
              <w:rPr>
                <w:rFonts w:ascii="宋体" w:hAnsi="宋体" w:cs="宋体" w:eastAsia="宋体" w:hint="default"/>
                <w:spacing w:val="2"/>
                <w:sz w:val="18"/>
                <w:szCs w:val="18"/>
              </w:rPr>
              <w:t>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357,973,531.00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357,973,531.00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701,620,566.42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701,620,566.42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65,738,593.50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65,738,593.50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-804,306,066.92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-793,111,729.24</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321,026,624.00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332,220,961.68</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353,220,338.00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358,582,448.61</w:t>
            </w:r>
          </w:p>
        </w:tc>
      </w:tr>
    </w:tbl>
    <w:p>
      <w:pPr>
        <w:spacing w:line="240" w:lineRule="auto" w:before="11"/>
        <w:rPr>
          <w:rFonts w:ascii="Times New Roman" w:hAnsi="Times New Roman" w:cs="Times New Roman" w:eastAsia="Times New Roman" w:hint="default"/>
          <w:sz w:val="22"/>
          <w:szCs w:val="22"/>
        </w:rPr>
      </w:pPr>
    </w:p>
    <w:p>
      <w:pPr>
        <w:pStyle w:val="BodyText"/>
        <w:tabs>
          <w:tab w:pos="3216" w:val="left" w:leader="none"/>
          <w:tab w:pos="5376" w:val="left" w:leader="none"/>
          <w:tab w:pos="7356" w:val="left" w:leader="none"/>
          <w:tab w:pos="9068" w:val="left" w:leader="none"/>
        </w:tabs>
        <w:spacing w:line="240" w:lineRule="auto" w:before="44"/>
        <w:ind w:right="0"/>
        <w:jc w:val="left"/>
      </w:pPr>
      <w:r>
        <w:rPr/>
        <w:t>法定代表人：晏群</w:t>
        <w:tab/>
        <w:t>主管会计工作负责人：</w:t>
        <w:tab/>
        <w:t>梁侠</w:t>
        <w:tab/>
        <w:t>会计机构负责人：</w:t>
        <w:tab/>
        <w:t>林小浓</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w:t>
      </w:r>
      <w:r>
        <w:rPr/>
        <w:t>、合并利润表</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编制单位：深圳市深信泰丰</w:t>
      </w:r>
      <w:r>
        <w:rPr>
          <w:rFonts w:ascii="宋体" w:hAnsi="宋体" w:cs="宋体" w:eastAsia="宋体" w:hint="default"/>
        </w:rPr>
        <w:t>(</w:t>
      </w:r>
      <w:r>
        <w:rPr/>
        <w:t>集团</w:t>
      </w:r>
      <w:r>
        <w:rPr>
          <w:rFonts w:ascii="宋体" w:hAnsi="宋体" w:cs="宋体" w:eastAsia="宋体" w:hint="default"/>
        </w:rPr>
        <w:t>)</w:t>
      </w:r>
      <w:r>
        <w:rPr/>
        <w:t>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457,288,568.49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433,686,988.99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457,288,568.49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433,686,988.99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456,583,351.57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429,465,437.86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396,785,898.71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368,483,259.33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2,004,908.23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1,992,568.75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26,418,021.11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24,969,600.73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30,701,182.50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34,382,926.18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129,492.19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215,091.01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543,848.83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-578,008.14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10"/>
                <w:sz w:val="18"/>
                <w:szCs w:val="18"/>
              </w:rPr>
              <w:t>‚－‛号填列）</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w w:val="105"/>
                <w:sz w:val="18"/>
                <w:szCs w:val="18"/>
              </w:rPr>
              <w:t>投资收益（损失以‚－‛</w:t>
            </w:r>
            <w:r>
              <w:rPr>
                <w:rFonts w:ascii="宋体" w:hAnsi="宋体" w:cs="宋体" w:eastAsia="宋体" w:hint="default"/>
                <w:sz w:val="18"/>
                <w:szCs w:val="18"/>
              </w:rPr>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1" w:top="1060" w:bottom="1540" w:left="980" w:right="0"/>
        </w:sectPr>
      </w:pPr>
    </w:p>
    <w:p>
      <w:pPr>
        <w:spacing w:line="240" w:lineRule="auto" w:before="6"/>
        <w:rPr>
          <w:rFonts w:ascii="宋体" w:hAnsi="宋体" w:cs="宋体" w:eastAsia="宋体" w:hint="default"/>
          <w:sz w:val="28"/>
          <w:szCs w:val="28"/>
        </w:rPr>
      </w:pPr>
      <w:r>
        <w:rPr/>
        <w:pict>
          <v:group style="position:absolute;margin-left:205.369995pt;margin-top:143.359985pt;width:163.35pt;height:20.65pt;mso-position-horizontal-relative:page;mso-position-vertical-relative:page;z-index:-781240" coordorigin="4107,2867" coordsize="3267,413">
            <v:group style="position:absolute;left:4118;top:2878;width:2;height:392" coordorigin="4118,2878" coordsize="2,392">
              <v:shape style="position:absolute;left:4118;top:2878;width:2;height:392" coordorigin="4118,2878" coordsize="0,392" path="m4118,2878l4118,3269e" filled="false" stroked="true" strokeweight="1.08pt" strokecolor="#ffffff">
                <v:path arrowok="t"/>
              </v:shape>
            </v:group>
            <v:group style="position:absolute;left:4129;top:2878;width:3246;height:392" coordorigin="4129,2878" coordsize="3246,392">
              <v:shape style="position:absolute;left:4129;top:2878;width:3246;height:392" coordorigin="4129,2878" coordsize="3246,392" path="m4129,3269l7374,3269,7374,2878,4129,2878,4129,3269xe" filled="true" fillcolor="#ffffff" stroked="false">
                <v:path arrowok="t"/>
                <v:fill type="solid"/>
              </v:shape>
            </v:group>
            <w10:wrap type="none"/>
          </v:group>
        </w:pict>
      </w:r>
      <w:r>
        <w:rPr/>
        <w:pict>
          <v:group style="position:absolute;margin-left:205.369995pt;margin-top:295.189972pt;width:163.35pt;height:20.65pt;mso-position-horizontal-relative:page;mso-position-vertical-relative:page;z-index:-781216" coordorigin="4107,5904" coordsize="3267,413">
            <v:group style="position:absolute;left:4118;top:5915;width:2;height:392" coordorigin="4118,5915" coordsize="2,392">
              <v:shape style="position:absolute;left:4118;top:5915;width:2;height:392" coordorigin="4118,5915" coordsize="0,392" path="m4118,5915l4118,6306e" filled="false" stroked="true" strokeweight="1.08pt" strokecolor="#ffffff">
                <v:path arrowok="t"/>
              </v:shape>
            </v:group>
            <v:group style="position:absolute;left:4129;top:5915;width:3246;height:392" coordorigin="4129,5915" coordsize="3246,392">
              <v:shape style="position:absolute;left:4129;top:5915;width:3246;height:392" coordorigin="4129,5915" coordsize="3246,392" path="m4129,6306l7374,6306,7374,5915,4129,5915,4129,630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139"/>
        <w:gridCol w:w="2172"/>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pacing w:val="-7"/>
                <w:w w:val="105"/>
                <w:sz w:val="18"/>
                <w:szCs w:val="18"/>
              </w:rPr>
              <w:t>汇兑收益（损失以‚</w:t>
            </w:r>
            <w:r>
              <w:rPr>
                <w:rFonts w:ascii="宋体" w:hAnsi="宋体" w:cs="宋体" w:eastAsia="宋体" w:hint="default"/>
                <w:spacing w:val="-7"/>
                <w:w w:val="105"/>
                <w:sz w:val="18"/>
                <w:szCs w:val="18"/>
              </w:rPr>
              <w:t>-</w:t>
            </w:r>
            <w:r>
              <w:rPr>
                <w:rFonts w:ascii="宋体" w:hAnsi="宋体" w:cs="宋体" w:eastAsia="宋体" w:hint="default"/>
                <w:spacing w:val="-7"/>
                <w:w w:val="105"/>
                <w:sz w:val="18"/>
                <w:szCs w:val="18"/>
              </w:rPr>
              <w:t>‛号</w:t>
            </w:r>
            <w:r>
              <w:rPr>
                <w:rFonts w:ascii="宋体" w:hAnsi="宋体" w:cs="宋体" w:eastAsia="宋体" w:hint="default"/>
                <w:w w:val="105"/>
                <w:sz w:val="18"/>
                <w:szCs w:val="18"/>
              </w:rPr>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w w:val="105"/>
                <w:sz w:val="18"/>
                <w:szCs w:val="18"/>
              </w:rPr>
              <w:t>三、营业利润（亏损以‚－‛号填列</w:t>
            </w:r>
          </w:p>
        </w:tc>
        <w:tc>
          <w:tcPr>
            <w:tcW w:w="11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705,216.92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4,221,551.13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92" w:right="0"/>
              <w:jc w:val="left"/>
              <w:rPr>
                <w:rFonts w:ascii="宋体" w:hAnsi="宋体" w:cs="宋体" w:eastAsia="宋体" w:hint="default"/>
                <w:sz w:val="18"/>
                <w:szCs w:val="18"/>
              </w:rPr>
            </w:pPr>
            <w:r>
              <w:rPr>
                <w:rFonts w:ascii="宋体"/>
                <w:sz w:val="18"/>
              </w:rPr>
              <w:t>9,022,162.74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16,243,770.56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4,553,151.11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399,338.75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其中：非流动资产处臵损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575,682.36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386,806.46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2" w:right="0"/>
              <w:jc w:val="left"/>
              <w:rPr>
                <w:rFonts w:ascii="宋体" w:hAnsi="宋体" w:cs="宋体" w:eastAsia="宋体" w:hint="default"/>
                <w:sz w:val="18"/>
                <w:szCs w:val="18"/>
              </w:rPr>
            </w:pPr>
            <w:r>
              <w:rPr>
                <w:rFonts w:ascii="宋体"/>
                <w:sz w:val="18"/>
              </w:rPr>
              <w:t>5,174,228.55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20,065,982.94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92" w:right="0"/>
              <w:jc w:val="left"/>
              <w:rPr>
                <w:rFonts w:ascii="宋体" w:hAnsi="宋体" w:cs="宋体" w:eastAsia="宋体" w:hint="default"/>
                <w:sz w:val="18"/>
                <w:szCs w:val="18"/>
              </w:rPr>
            </w:pPr>
            <w:r>
              <w:rPr>
                <w:rFonts w:ascii="宋体"/>
                <w:sz w:val="18"/>
              </w:rPr>
              <w:t>1,159,439.02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3,463,784.01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w w:val="105"/>
                <w:sz w:val="18"/>
                <w:szCs w:val="18"/>
              </w:rPr>
              <w:t>五、净利润（净亏损以‚－‛号填列</w:t>
            </w:r>
          </w:p>
        </w:tc>
        <w:tc>
          <w:tcPr>
            <w:tcW w:w="11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4,014,789.53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16,602,198.93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4,014,789.53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16,602,198.93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4,014,789.53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16,602,198.93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2" w:right="0"/>
              <w:jc w:val="left"/>
              <w:rPr>
                <w:rFonts w:ascii="宋体" w:hAnsi="宋体" w:cs="宋体" w:eastAsia="宋体" w:hint="default"/>
                <w:sz w:val="18"/>
                <w:szCs w:val="18"/>
              </w:rPr>
            </w:pPr>
            <w:r>
              <w:rPr>
                <w:rFonts w:ascii="宋体"/>
                <w:sz w:val="18"/>
              </w:rPr>
              <w:t>4,014,789.53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16,602,198.93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216" w:val="left" w:leader="none"/>
          <w:tab w:pos="5376" w:val="left" w:leader="none"/>
          <w:tab w:pos="7356" w:val="left" w:leader="none"/>
          <w:tab w:pos="9068" w:val="left" w:leader="none"/>
        </w:tabs>
        <w:spacing w:line="240" w:lineRule="auto" w:before="138"/>
        <w:ind w:right="0"/>
        <w:jc w:val="left"/>
      </w:pPr>
      <w:r>
        <w:rPr/>
        <w:t>法定代表人：晏群</w:t>
        <w:tab/>
        <w:t>主管会计工作负责人：</w:t>
        <w:tab/>
        <w:t>梁侠</w:t>
        <w:tab/>
        <w:t>会计机构负责人：</w:t>
        <w:tab/>
        <w:t>林小浓</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w:t>
      </w:r>
      <w:r>
        <w:rPr/>
        <w:t>、母公司利润表</w:t>
      </w:r>
      <w:r>
        <w:rPr>
          <w:b w:val="0"/>
          <w:bCs w:val="0"/>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right="0"/>
        <w:jc w:val="left"/>
      </w:pPr>
      <w:r>
        <w:rPr/>
        <w:t>编制单位：深圳市深信泰丰</w:t>
      </w:r>
      <w:r>
        <w:rPr>
          <w:rFonts w:ascii="宋体" w:hAnsi="宋体" w:cs="宋体" w:eastAsia="宋体" w:hint="default"/>
        </w:rPr>
        <w:t>(</w:t>
      </w:r>
      <w:r>
        <w:rPr/>
        <w:t>集团</w:t>
      </w:r>
      <w:r>
        <w:rPr>
          <w:rFonts w:ascii="宋体" w:hAnsi="宋体" w:cs="宋体" w:eastAsia="宋体" w:hint="default"/>
        </w:rPr>
        <w:t>)</w:t>
      </w:r>
      <w:r>
        <w:rPr/>
        <w:t>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1331" w:top="1060" w:bottom="1540" w:left="980" w:right="0"/>
        </w:sectPr>
      </w:pPr>
    </w:p>
    <w:p>
      <w:pPr>
        <w:spacing w:line="240" w:lineRule="auto" w:before="6"/>
        <w:rPr>
          <w:rFonts w:ascii="宋体" w:hAnsi="宋体" w:cs="宋体" w:eastAsia="宋体" w:hint="default"/>
          <w:sz w:val="28"/>
          <w:szCs w:val="28"/>
        </w:rPr>
      </w:pPr>
      <w:r>
        <w:rPr/>
        <w:pict>
          <v:group style="position:absolute;margin-left:205.25pt;margin-top:259.465973pt;width:163.5pt;height:20.8pt;mso-position-horizontal-relative:page;mso-position-vertical-relative:page;z-index:-781192" coordorigin="4105,5189" coordsize="3270,416">
            <v:group style="position:absolute;left:4117;top:5201;width:2;height:392" coordorigin="4117,5201" coordsize="2,392">
              <v:shape style="position:absolute;left:4117;top:5201;width:2;height:392" coordorigin="4117,5201" coordsize="0,392" path="m4117,5201l4117,5593e" filled="false" stroked="true" strokeweight="1.2pt" strokecolor="#ffffff">
                <v:path arrowok="t"/>
              </v:shape>
            </v:group>
            <v:group style="position:absolute;left:4129;top:5201;width:3246;height:392" coordorigin="4129,5201" coordsize="3246,392">
              <v:shape style="position:absolute;left:4129;top:5201;width:3246;height:392" coordorigin="4129,5201" coordsize="3246,392" path="m4129,5593l7374,5593,7374,5201,4129,5201,4129,5593xe" filled="true" fillcolor="#ffffff" stroked="false">
                <v:path arrowok="t"/>
                <v:fill type="solid"/>
              </v:shape>
            </v:group>
            <w10:wrap type="none"/>
          </v:group>
        </w:pict>
      </w:r>
      <w:r>
        <w:rPr/>
        <w:pict>
          <v:group style="position:absolute;margin-left:205.25pt;margin-top:395.689972pt;width:163.5pt;height:20.8pt;mso-position-horizontal-relative:page;mso-position-vertical-relative:page;z-index:-781168" coordorigin="4105,7914" coordsize="3270,416">
            <v:group style="position:absolute;left:4117;top:7926;width:2;height:392" coordorigin="4117,7926" coordsize="2,392">
              <v:shape style="position:absolute;left:4117;top:7926;width:2;height:392" coordorigin="4117,7926" coordsize="0,392" path="m4117,7926l4117,8317e" filled="false" stroked="true" strokeweight="1.2pt" strokecolor="#ffffff">
                <v:path arrowok="t"/>
              </v:shape>
            </v:group>
            <v:group style="position:absolute;left:4129;top:7926;width:3246;height:392" coordorigin="4129,7926" coordsize="3246,392">
              <v:shape style="position:absolute;left:4129;top:7926;width:3246;height:392" coordorigin="4129,7926" coordsize="3246,392" path="m4129,8317l7374,8317,7374,7926,4129,7926,4129,831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1052"/>
        <w:gridCol w:w="2262"/>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97" w:right="0"/>
              <w:jc w:val="left"/>
              <w:rPr>
                <w:rFonts w:ascii="宋体" w:hAnsi="宋体" w:cs="宋体" w:eastAsia="宋体" w:hint="default"/>
                <w:sz w:val="18"/>
                <w:szCs w:val="18"/>
              </w:rPr>
            </w:pPr>
            <w:r>
              <w:rPr>
                <w:rFonts w:ascii="宋体"/>
                <w:sz w:val="18"/>
              </w:rPr>
              <w:t>9,055,918.54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9,268,898.30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-469,340.29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-1,195,218.77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97" w:right="0"/>
              <w:jc w:val="left"/>
              <w:rPr>
                <w:rFonts w:ascii="宋体" w:hAnsi="宋体" w:cs="宋体" w:eastAsia="宋体" w:hint="default"/>
                <w:sz w:val="18"/>
                <w:szCs w:val="18"/>
              </w:rPr>
            </w:pPr>
            <w:r>
              <w:rPr>
                <w:rFonts w:ascii="宋体"/>
                <w:sz w:val="18"/>
              </w:rPr>
              <w:t>4,490,530.27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3,006,552.91</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10"/>
                <w:sz w:val="18"/>
                <w:szCs w:val="18"/>
              </w:rPr>
              <w:t>‚－‛号填列）</w:t>
            </w:r>
            <w:r>
              <w:rPr>
                <w:rFonts w:ascii="宋体" w:hAnsi="宋体" w:cs="宋体" w:eastAsia="宋体" w:hint="default"/>
                <w:sz w:val="18"/>
                <w:szCs w:val="18"/>
              </w:rPr>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w w:val="105"/>
                <w:sz w:val="18"/>
                <w:szCs w:val="18"/>
              </w:rPr>
              <w:t>投资收益（损失以‚－‛号</w:t>
            </w:r>
            <w:r>
              <w:rPr>
                <w:rFonts w:ascii="宋体" w:hAnsi="宋体" w:cs="宋体" w:eastAsia="宋体" w:hint="default"/>
                <w:sz w:val="18"/>
                <w:szCs w:val="18"/>
              </w:rPr>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4"/>
                <w:w w:val="105"/>
                <w:sz w:val="18"/>
                <w:szCs w:val="18"/>
              </w:rPr>
              <w:t>二、营业利润（亏损以‚－‛号填列</w:t>
            </w:r>
          </w:p>
        </w:tc>
        <w:tc>
          <w:tcPr>
            <w:tcW w:w="105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2"/>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-13,077,108.52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-11,080,232.44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7" w:right="0"/>
              <w:jc w:val="left"/>
              <w:rPr>
                <w:rFonts w:ascii="宋体" w:hAnsi="宋体" w:cs="宋体" w:eastAsia="宋体" w:hint="default"/>
                <w:sz w:val="18"/>
                <w:szCs w:val="18"/>
              </w:rPr>
            </w:pPr>
            <w:r>
              <w:rPr>
                <w:rFonts w:ascii="宋体"/>
                <w:sz w:val="18"/>
              </w:rPr>
              <w:t>1,882,770.84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6,772,724.00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331,184.53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其中：非流动资产处臵损失</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331,184.53</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7" w:right="0"/>
              <w:jc w:val="left"/>
              <w:rPr>
                <w:rFonts w:ascii="宋体" w:hAnsi="宋体" w:cs="宋体" w:eastAsia="宋体" w:hint="default"/>
                <w:sz w:val="18"/>
                <w:szCs w:val="18"/>
              </w:rPr>
            </w:pPr>
            <w:r>
              <w:rPr>
                <w:rFonts w:ascii="宋体"/>
                <w:sz w:val="18"/>
              </w:rPr>
              <w:t>-11,194,337.68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-4,638,692.97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w w:val="105"/>
                <w:sz w:val="18"/>
                <w:szCs w:val="18"/>
              </w:rPr>
              <w:t>四、净利润（净亏损以‚－‛号填列</w:t>
            </w:r>
          </w:p>
        </w:tc>
        <w:tc>
          <w:tcPr>
            <w:tcW w:w="105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-11,194,337.68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-4,638,692.97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17" w:right="0"/>
              <w:jc w:val="left"/>
              <w:rPr>
                <w:rFonts w:ascii="宋体" w:hAnsi="宋体" w:cs="宋体" w:eastAsia="宋体" w:hint="default"/>
                <w:sz w:val="18"/>
                <w:szCs w:val="18"/>
              </w:rPr>
            </w:pPr>
            <w:r>
              <w:rPr>
                <w:rFonts w:ascii="宋体"/>
                <w:sz w:val="18"/>
              </w:rPr>
              <w:t>-11,194,337.68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-4,638,692.97</w:t>
            </w:r>
          </w:p>
        </w:tc>
      </w:tr>
    </w:tbl>
    <w:p>
      <w:pPr>
        <w:spacing w:line="240" w:lineRule="auto" w:before="2"/>
        <w:rPr>
          <w:rFonts w:ascii="宋体" w:hAnsi="宋体" w:cs="宋体" w:eastAsia="宋体" w:hint="default"/>
          <w:sz w:val="20"/>
          <w:szCs w:val="20"/>
        </w:rPr>
      </w:pPr>
    </w:p>
    <w:p>
      <w:pPr>
        <w:pStyle w:val="BodyText"/>
        <w:tabs>
          <w:tab w:pos="3216" w:val="left" w:leader="none"/>
          <w:tab w:pos="5376" w:val="left" w:leader="none"/>
          <w:tab w:pos="7356" w:val="left" w:leader="none"/>
          <w:tab w:pos="9068" w:val="left" w:leader="none"/>
        </w:tabs>
        <w:spacing w:line="240" w:lineRule="auto" w:before="44"/>
        <w:ind w:right="0"/>
        <w:jc w:val="left"/>
      </w:pPr>
      <w:r>
        <w:rPr/>
        <w:t>法定代表人：晏群</w:t>
        <w:tab/>
        <w:t>主管会计工作负责人：</w:t>
        <w:tab/>
        <w:t>梁侠</w:t>
        <w:tab/>
        <w:t>会计机构负责人：</w:t>
        <w:tab/>
        <w:t>林小浓</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w:t>
      </w:r>
      <w:r>
        <w:rPr/>
        <w:t>、合并现金流量表</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编制单位：深圳市深信泰丰</w:t>
      </w:r>
      <w:r>
        <w:rPr>
          <w:rFonts w:ascii="宋体" w:hAnsi="宋体" w:cs="宋体" w:eastAsia="宋体" w:hint="default"/>
        </w:rPr>
        <w:t>(</w:t>
      </w:r>
      <w:r>
        <w:rPr/>
        <w:t>集团</w:t>
      </w:r>
      <w:r>
        <w:rPr>
          <w:rFonts w:ascii="宋体" w:hAnsi="宋体" w:cs="宋体" w:eastAsia="宋体" w:hint="default"/>
        </w:rPr>
        <w:t>)</w:t>
      </w:r>
      <w:r>
        <w:rPr/>
        <w:t>股份有限公司</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013" w:right="0"/>
              <w:jc w:val="left"/>
              <w:rPr>
                <w:rFonts w:ascii="宋体" w:hAnsi="宋体" w:cs="宋体" w:eastAsia="宋体" w:hint="default"/>
                <w:sz w:val="18"/>
                <w:szCs w:val="18"/>
              </w:rPr>
            </w:pPr>
            <w:r>
              <w:rPr>
                <w:rFonts w:ascii="宋体"/>
                <w:sz w:val="18"/>
              </w:rPr>
              <w:t>470,457,823.09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09" w:right="0"/>
              <w:jc w:val="left"/>
              <w:rPr>
                <w:rFonts w:ascii="宋体" w:hAnsi="宋体" w:cs="宋体" w:eastAsia="宋体" w:hint="default"/>
                <w:sz w:val="18"/>
                <w:szCs w:val="18"/>
              </w:rPr>
            </w:pPr>
            <w:r>
              <w:rPr>
                <w:rFonts w:ascii="宋体"/>
                <w:sz w:val="18"/>
              </w:rPr>
              <w:t>464,302,395.93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处臵交易性金融资产净增加额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5,576,189.44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15,305,573.76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476,034,012.53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479,607,969.69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367,050,748.66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371,790,965.51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55,788,142.99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46,474,136.70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16,797,505.04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13,320,590.14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44,372,471.36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39,094,628.26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484,008,868.05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470,680,320.61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-7,974,855.52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8,927,649.08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处臵固定资产、无形资产和其他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616,500.00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处臵子公司及其他营业单位收到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616,500.00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23,473,809.70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23,013,762.73</w:t>
            </w:r>
          </w:p>
        </w:tc>
      </w:tr>
    </w:tbl>
    <w:p>
      <w:pPr>
        <w:spacing w:after="0" w:line="240" w:lineRule="auto"/>
        <w:jc w:val="right"/>
        <w:rPr>
          <w:rFonts w:ascii="宋体" w:hAnsi="宋体" w:cs="宋体" w:eastAsia="宋体" w:hint="default"/>
          <w:sz w:val="18"/>
          <w:szCs w:val="18"/>
        </w:rPr>
        <w:sectPr>
          <w:pgSz w:w="11910" w:h="16840"/>
          <w:pgMar w:header="745"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23,473,809.70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23,013,762.73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-23,393,809.70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-22,397,262.73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12,496,600.00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12,496,600.00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1,219,244.17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376,209.54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1,595,453.71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10,901,146.29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-20,467,518.93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-13,469,613.65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51,096,749.46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64,566,363.11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30,629,230.53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51,096,749.46</w:t>
            </w:r>
          </w:p>
        </w:tc>
      </w:tr>
    </w:tbl>
    <w:p>
      <w:pPr>
        <w:spacing w:line="240" w:lineRule="auto" w:before="11"/>
        <w:rPr>
          <w:rFonts w:ascii="Times New Roman" w:hAnsi="Times New Roman" w:cs="Times New Roman" w:eastAsia="Times New Roman" w:hint="default"/>
          <w:sz w:val="22"/>
          <w:szCs w:val="22"/>
        </w:rPr>
      </w:pPr>
    </w:p>
    <w:p>
      <w:pPr>
        <w:pStyle w:val="BodyText"/>
        <w:tabs>
          <w:tab w:pos="3216" w:val="left" w:leader="none"/>
          <w:tab w:pos="5376" w:val="left" w:leader="none"/>
          <w:tab w:pos="7356" w:val="left" w:leader="none"/>
          <w:tab w:pos="9068" w:val="left" w:leader="none"/>
        </w:tabs>
        <w:spacing w:line="240" w:lineRule="auto" w:before="44"/>
        <w:ind w:right="0"/>
        <w:jc w:val="left"/>
      </w:pPr>
      <w:r>
        <w:rPr/>
        <w:t>法定代表人：晏群</w:t>
        <w:tab/>
        <w:t>主管会计工作负责人：</w:t>
        <w:tab/>
        <w:t>梁侠</w:t>
        <w:tab/>
        <w:t>会计机构负责人：</w:t>
        <w:tab/>
        <w:t>林小浓</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w:t>
      </w:r>
      <w:r>
        <w:rPr/>
        <w:t>、母公司现金流量表</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编制单位：深圳市深信泰丰</w:t>
      </w:r>
      <w:r>
        <w:rPr>
          <w:rFonts w:ascii="宋体" w:hAnsi="宋体" w:cs="宋体" w:eastAsia="宋体" w:hint="default"/>
        </w:rPr>
        <w:t>(</w:t>
      </w:r>
      <w:r>
        <w:rPr/>
        <w:t>集团</w:t>
      </w:r>
      <w:r>
        <w:rPr>
          <w:rFonts w:ascii="宋体" w:hAnsi="宋体" w:cs="宋体" w:eastAsia="宋体" w:hint="default"/>
        </w:rPr>
        <w:t>)</w:t>
      </w:r>
      <w:r>
        <w:rPr/>
        <w:t>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27,552,392.75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48,211,540.01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27,552,392.75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48,211,540.01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4,662,751.09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5,489,448.34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28,688,963.20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53,312,394.47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33,351,714.29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58,801,842.81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-5,799,321.54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-10,590,302.80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处臵固定资产、无形资产和其他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处臵子公司及其他营业单位收到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156,428.00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995,496.28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156,428.00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995,496.28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-156,428.00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-979,496.28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-5,955,749.54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-11,569,799.08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12,272,448.48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23,842,247.56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6,316,698.94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12,272,448.48</w:t>
            </w:r>
          </w:p>
        </w:tc>
      </w:tr>
    </w:tbl>
    <w:p>
      <w:pPr>
        <w:spacing w:line="240" w:lineRule="auto" w:before="11"/>
        <w:rPr>
          <w:rFonts w:ascii="Times New Roman" w:hAnsi="Times New Roman" w:cs="Times New Roman" w:eastAsia="Times New Roman" w:hint="default"/>
          <w:sz w:val="22"/>
          <w:szCs w:val="22"/>
        </w:rPr>
      </w:pPr>
    </w:p>
    <w:p>
      <w:pPr>
        <w:pStyle w:val="BodyText"/>
        <w:tabs>
          <w:tab w:pos="3216" w:val="left" w:leader="none"/>
          <w:tab w:pos="5376" w:val="left" w:leader="none"/>
          <w:tab w:pos="7356" w:val="left" w:leader="none"/>
          <w:tab w:pos="9068" w:val="left" w:leader="none"/>
        </w:tabs>
        <w:spacing w:line="240" w:lineRule="auto" w:before="44"/>
        <w:ind w:right="0"/>
        <w:jc w:val="left"/>
      </w:pPr>
      <w:r>
        <w:rPr/>
        <w:t>法定代表人：晏群</w:t>
        <w:tab/>
        <w:t>主管会计工作负责人：</w:t>
        <w:tab/>
        <w:t>梁侠</w:t>
        <w:tab/>
        <w:t>会计机构负责人：</w:t>
        <w:tab/>
        <w:t>林小浓</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7</w:t>
      </w:r>
      <w:r>
        <w:rPr/>
        <w:t>、合并所有者权益变动表</w:t>
      </w:r>
      <w:r>
        <w:rPr>
          <w:b w:val="0"/>
          <w:bCs w:val="0"/>
        </w:rPr>
      </w:r>
    </w:p>
    <w:p>
      <w:pPr>
        <w:spacing w:line="240" w:lineRule="auto" w:before="14"/>
        <w:rPr>
          <w:rFonts w:ascii="微软雅黑" w:hAnsi="微软雅黑" w:cs="微软雅黑" w:eastAsia="微软雅黑" w:hint="default"/>
          <w:b/>
          <w:bCs/>
          <w:sz w:val="16"/>
          <w:szCs w:val="16"/>
        </w:rPr>
      </w:pPr>
    </w:p>
    <w:p>
      <w:pPr>
        <w:spacing w:after="0" w:line="240" w:lineRule="auto"/>
        <w:rPr>
          <w:rFonts w:ascii="微软雅黑" w:hAnsi="微软雅黑" w:cs="微软雅黑" w:eastAsia="微软雅黑" w:hint="default"/>
          <w:sz w:val="16"/>
          <w:szCs w:val="16"/>
        </w:rPr>
        <w:sectPr>
          <w:pgSz w:w="11910" w:h="16840"/>
          <w:pgMar w:header="745" w:footer="1331" w:top="1060" w:bottom="1520" w:left="980" w:right="0"/>
        </w:sectPr>
      </w:pPr>
    </w:p>
    <w:p>
      <w:pPr>
        <w:pStyle w:val="BodyText"/>
        <w:spacing w:line="357" w:lineRule="auto" w:before="44"/>
        <w:ind w:right="-16"/>
        <w:jc w:val="left"/>
      </w:pPr>
      <w:r>
        <w:rPr/>
        <w:t>编制单位：深圳市深信泰丰</w:t>
      </w:r>
      <w:r>
        <w:rPr>
          <w:rFonts w:ascii="宋体" w:hAnsi="宋体" w:cs="宋体" w:eastAsia="宋体" w:hint="default"/>
        </w:rPr>
        <w:t>(</w:t>
      </w:r>
      <w:r>
        <w:rPr/>
        <w:t>集团</w:t>
      </w:r>
      <w:r>
        <w:rPr>
          <w:rFonts w:ascii="宋体" w:hAnsi="宋体" w:cs="宋体" w:eastAsia="宋体" w:hint="default"/>
        </w:rPr>
        <w:t>)</w:t>
      </w:r>
      <w:r>
        <w:rPr/>
        <w:t>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937" w:space="4984"/>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19"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357,97</w:t>
            </w:r>
          </w:p>
          <w:p>
            <w:pPr>
              <w:pStyle w:val="TableParagraph"/>
              <w:spacing w:line="240" w:lineRule="auto" w:before="76"/>
              <w:ind w:right="20"/>
              <w:jc w:val="right"/>
              <w:rPr>
                <w:rFonts w:ascii="宋体" w:hAnsi="宋体" w:cs="宋体" w:eastAsia="宋体" w:hint="default"/>
                <w:sz w:val="18"/>
                <w:szCs w:val="18"/>
              </w:rPr>
            </w:pPr>
            <w:r>
              <w:rPr>
                <w:rFonts w:ascii="宋体"/>
                <w:sz w:val="18"/>
              </w:rPr>
              <w:t>3,531.</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6"/>
              <w:ind w:left="24" w:right="0"/>
              <w:jc w:val="left"/>
              <w:rPr>
                <w:rFonts w:ascii="宋体" w:hAnsi="宋体" w:cs="宋体" w:eastAsia="宋体" w:hint="default"/>
                <w:sz w:val="18"/>
                <w:szCs w:val="18"/>
              </w:rPr>
            </w:pPr>
            <w:r>
              <w:rPr>
                <w:rFonts w:ascii="宋体"/>
                <w:sz w:val="18"/>
              </w:rPr>
              <w:t>,259.25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65,738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,593.5</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-981,05</w:t>
            </w:r>
          </w:p>
          <w:p>
            <w:pPr>
              <w:pStyle w:val="TableParagraph"/>
              <w:spacing w:line="240" w:lineRule="auto" w:before="76"/>
              <w:ind w:right="16"/>
              <w:jc w:val="right"/>
              <w:rPr>
                <w:rFonts w:ascii="宋体" w:hAnsi="宋体" w:cs="宋体" w:eastAsia="宋体" w:hint="default"/>
                <w:sz w:val="18"/>
                <w:szCs w:val="18"/>
              </w:rPr>
            </w:pPr>
            <w:r>
              <w:rPr>
                <w:rFonts w:ascii="宋体"/>
                <w:sz w:val="18"/>
              </w:rPr>
              <w:t>5,225.0</w:t>
            </w:r>
          </w:p>
          <w:p>
            <w:pPr>
              <w:pStyle w:val="TableParagraph"/>
              <w:spacing w:line="240" w:lineRule="auto" w:before="76"/>
              <w:ind w:right="18"/>
              <w:jc w:val="right"/>
              <w:rPr>
                <w:rFonts w:ascii="宋体" w:hAnsi="宋体" w:cs="宋体" w:eastAsia="宋体" w:hint="default"/>
                <w:sz w:val="18"/>
                <w:szCs w:val="18"/>
              </w:rPr>
            </w:pPr>
            <w:r>
              <w:rPr>
                <w:rFonts w:ascii="宋体"/>
                <w:sz w:val="18"/>
              </w:rPr>
              <w:t>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85,305,15</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8.66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357,97</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3,531.</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7"/>
              <w:ind w:left="24" w:right="0"/>
              <w:jc w:val="left"/>
              <w:rPr>
                <w:rFonts w:ascii="宋体" w:hAnsi="宋体" w:cs="宋体" w:eastAsia="宋体" w:hint="default"/>
                <w:sz w:val="18"/>
                <w:szCs w:val="18"/>
              </w:rPr>
            </w:pPr>
            <w:r>
              <w:rPr>
                <w:rFonts w:ascii="宋体"/>
                <w:sz w:val="18"/>
              </w:rPr>
              <w:t>,259.25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65,738</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,593.5</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-981,05</w:t>
            </w:r>
          </w:p>
          <w:p>
            <w:pPr>
              <w:pStyle w:val="TableParagraph"/>
              <w:spacing w:line="240" w:lineRule="auto" w:before="77"/>
              <w:ind w:right="16"/>
              <w:jc w:val="right"/>
              <w:rPr>
                <w:rFonts w:ascii="宋体" w:hAnsi="宋体" w:cs="宋体" w:eastAsia="宋体" w:hint="default"/>
                <w:sz w:val="18"/>
                <w:szCs w:val="18"/>
              </w:rPr>
            </w:pPr>
            <w:r>
              <w:rPr>
                <w:rFonts w:ascii="宋体"/>
                <w:sz w:val="18"/>
              </w:rPr>
              <w:t>5,225.0</w:t>
            </w:r>
          </w:p>
          <w:p>
            <w:pPr>
              <w:pStyle w:val="TableParagraph"/>
              <w:spacing w:line="240" w:lineRule="auto" w:before="76"/>
              <w:ind w:right="18"/>
              <w:jc w:val="right"/>
              <w:rPr>
                <w:rFonts w:ascii="宋体" w:hAnsi="宋体" w:cs="宋体" w:eastAsia="宋体" w:hint="default"/>
                <w:sz w:val="18"/>
                <w:szCs w:val="18"/>
              </w:rPr>
            </w:pPr>
            <w:r>
              <w:rPr>
                <w:rFonts w:ascii="宋体"/>
                <w:sz w:val="18"/>
              </w:rPr>
              <w:t>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85,305,15</w:t>
            </w:r>
          </w:p>
          <w:p>
            <w:pPr>
              <w:pStyle w:val="TableParagraph"/>
              <w:spacing w:line="240" w:lineRule="auto" w:before="77"/>
              <w:ind w:left="501" w:right="0"/>
              <w:jc w:val="left"/>
              <w:rPr>
                <w:rFonts w:ascii="宋体" w:hAnsi="宋体" w:cs="宋体" w:eastAsia="宋体" w:hint="default"/>
                <w:sz w:val="18"/>
                <w:szCs w:val="18"/>
              </w:rPr>
            </w:pPr>
            <w:r>
              <w:rPr>
                <w:rFonts w:ascii="宋体"/>
                <w:sz w:val="18"/>
              </w:rPr>
              <w:t>8.66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w w:val="105"/>
                <w:sz w:val="18"/>
                <w:szCs w:val="18"/>
              </w:rPr>
              <w:t>以‚－‛号填列）</w:t>
            </w:r>
            <w:r>
              <w:rPr>
                <w:rFonts w:ascii="宋体" w:hAnsi="宋体" w:cs="宋体" w:eastAsia="宋体" w:hint="default"/>
                <w:sz w:val="18"/>
                <w:szCs w:val="18"/>
              </w:rPr>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4,014,7</w:t>
            </w:r>
          </w:p>
          <w:p>
            <w:pPr>
              <w:pStyle w:val="TableParagraph"/>
              <w:spacing w:line="240" w:lineRule="auto" w:before="76"/>
              <w:ind w:left="188" w:right="0"/>
              <w:jc w:val="center"/>
              <w:rPr>
                <w:rFonts w:ascii="宋体" w:hAnsi="宋体" w:cs="宋体" w:eastAsia="宋体" w:hint="default"/>
                <w:sz w:val="18"/>
                <w:szCs w:val="18"/>
              </w:rPr>
            </w:pPr>
            <w:r>
              <w:rPr>
                <w:rFonts w:ascii="宋体"/>
                <w:sz w:val="18"/>
              </w:rPr>
              <w:t>89.53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4,014,789</w:t>
            </w:r>
          </w:p>
          <w:p>
            <w:pPr>
              <w:pStyle w:val="TableParagraph"/>
              <w:spacing w:line="240" w:lineRule="auto" w:before="76"/>
              <w:ind w:right="17"/>
              <w:jc w:val="right"/>
              <w:rPr>
                <w:rFonts w:ascii="宋体" w:hAnsi="宋体" w:cs="宋体" w:eastAsia="宋体" w:hint="default"/>
                <w:sz w:val="18"/>
                <w:szCs w:val="18"/>
              </w:rPr>
            </w:pPr>
            <w:r>
              <w:rPr>
                <w:rFonts w:ascii="宋体"/>
                <w:sz w:val="18"/>
              </w:rPr>
              <w:t>.53</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4,014,7</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89.53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4,014,789</w:t>
            </w:r>
          </w:p>
          <w:p>
            <w:pPr>
              <w:pStyle w:val="TableParagraph"/>
              <w:spacing w:line="240" w:lineRule="auto" w:before="76"/>
              <w:ind w:right="17"/>
              <w:jc w:val="right"/>
              <w:rPr>
                <w:rFonts w:ascii="宋体" w:hAnsi="宋体" w:cs="宋体" w:eastAsia="宋体" w:hint="default"/>
                <w:sz w:val="18"/>
                <w:szCs w:val="18"/>
              </w:rPr>
            </w:pPr>
            <w:r>
              <w:rPr>
                <w:rFonts w:ascii="宋体"/>
                <w:sz w:val="18"/>
              </w:rPr>
              <w:t>.53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sz w:val="18"/>
              </w:rPr>
              <w:t>4,014,7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0" w:right="0"/>
              <w:jc w:val="left"/>
              <w:rPr>
                <w:rFonts w:ascii="宋体" w:hAnsi="宋体" w:cs="宋体" w:eastAsia="宋体" w:hint="default"/>
                <w:sz w:val="18"/>
                <w:szCs w:val="18"/>
              </w:rPr>
            </w:pPr>
            <w:r>
              <w:rPr>
                <w:rFonts w:ascii="宋体"/>
                <w:sz w:val="18"/>
              </w:rPr>
              <w:t>4,014,789</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781144"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宋体" w:hAnsi="宋体" w:cs="宋体" w:eastAsia="宋体" w:hint="default"/>
                <w:sz w:val="18"/>
                <w:szCs w:val="18"/>
              </w:rPr>
            </w:pPr>
            <w:r>
              <w:rPr>
                <w:rFonts w:ascii="宋体"/>
                <w:sz w:val="18"/>
              </w:rPr>
              <w:t>89.53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.53</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357,97</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3,531.</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6"/>
              <w:ind w:left="24" w:right="0"/>
              <w:jc w:val="left"/>
              <w:rPr>
                <w:rFonts w:ascii="宋体" w:hAnsi="宋体" w:cs="宋体" w:eastAsia="宋体" w:hint="default"/>
                <w:sz w:val="18"/>
                <w:szCs w:val="18"/>
              </w:rPr>
            </w:pPr>
            <w:r>
              <w:rPr>
                <w:rFonts w:ascii="宋体"/>
                <w:sz w:val="18"/>
              </w:rPr>
              <w:t>,259.25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65,738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,593.5</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-977,04</w:t>
            </w:r>
          </w:p>
          <w:p>
            <w:pPr>
              <w:pStyle w:val="TableParagraph"/>
              <w:spacing w:line="240" w:lineRule="auto" w:before="76"/>
              <w:ind w:right="16"/>
              <w:jc w:val="right"/>
              <w:rPr>
                <w:rFonts w:ascii="宋体" w:hAnsi="宋体" w:cs="宋体" w:eastAsia="宋体" w:hint="default"/>
                <w:sz w:val="18"/>
                <w:szCs w:val="18"/>
              </w:rPr>
            </w:pPr>
            <w:r>
              <w:rPr>
                <w:rFonts w:ascii="宋体"/>
                <w:sz w:val="18"/>
              </w:rPr>
              <w:t>0,435.5</w:t>
            </w:r>
          </w:p>
          <w:p>
            <w:pPr>
              <w:pStyle w:val="TableParagraph"/>
              <w:spacing w:line="240" w:lineRule="auto" w:before="76"/>
              <w:ind w:right="18"/>
              <w:jc w:val="right"/>
              <w:rPr>
                <w:rFonts w:ascii="宋体" w:hAnsi="宋体" w:cs="宋体" w:eastAsia="宋体" w:hint="default"/>
                <w:sz w:val="18"/>
                <w:szCs w:val="18"/>
              </w:rPr>
            </w:pPr>
            <w:r>
              <w:rPr>
                <w:rFonts w:ascii="宋体"/>
                <w:sz w:val="18"/>
              </w:rPr>
              <w:t>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24" w:right="0"/>
              <w:jc w:val="left"/>
              <w:rPr>
                <w:rFonts w:ascii="宋体" w:hAnsi="宋体" w:cs="宋体" w:eastAsia="宋体" w:hint="default"/>
                <w:sz w:val="18"/>
                <w:szCs w:val="18"/>
              </w:rPr>
            </w:pPr>
            <w:r>
              <w:rPr>
                <w:rFonts w:ascii="宋体"/>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89,319,94</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8.19</w:t>
            </w:r>
          </w:p>
        </w:tc>
      </w:tr>
    </w:tbl>
    <w:p>
      <w:pPr>
        <w:pStyle w:val="BodyText"/>
        <w:spacing w:line="240" w:lineRule="auto" w:before="49"/>
        <w:ind w:right="0"/>
        <w:jc w:val="left"/>
      </w:pPr>
      <w:r>
        <w:rPr/>
        <w:t>上年金额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79"/>
        <w:gridCol w:w="675"/>
        <w:gridCol w:w="686"/>
        <w:gridCol w:w="686"/>
        <w:gridCol w:w="686"/>
        <w:gridCol w:w="684"/>
        <w:gridCol w:w="684"/>
        <w:gridCol w:w="686"/>
        <w:gridCol w:w="687"/>
        <w:gridCol w:w="818"/>
        <w:gridCol w:w="893"/>
      </w:tblGrid>
      <w:tr>
        <w:trPr>
          <w:trHeight w:val="402" w:hRule="exact"/>
        </w:trPr>
        <w:tc>
          <w:tcPr>
            <w:tcW w:w="2379" w:type="dxa"/>
            <w:vMerge w:val="restart"/>
            <w:tcBorders>
              <w:top w:val="single" w:sz="4" w:space="0" w:color="000000"/>
              <w:left w:val="single" w:sz="4" w:space="0" w:color="000000"/>
              <w:right w:val="single" w:sz="4" w:space="0" w:color="000000"/>
            </w:tcBorders>
            <w:shd w:val="clear" w:color="auto" w:fill="D2D2D2"/>
          </w:tcPr>
          <w:p>
            <w:pPr/>
          </w:p>
        </w:tc>
        <w:tc>
          <w:tcPr>
            <w:tcW w:w="718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547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5"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55"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0"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19"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2" w:hRule="exact"/>
        </w:trPr>
        <w:tc>
          <w:tcPr>
            <w:tcW w:w="2379" w:type="dxa"/>
            <w:vMerge w:val="restart"/>
            <w:tcBorders>
              <w:top w:val="nil" w:sz="6" w:space="0" w:color="auto"/>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5"/>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79"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79"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vMerge w:val="restart"/>
            <w:tcBorders>
              <w:top w:val="single" w:sz="4" w:space="0" w:color="000000"/>
              <w:left w:val="single" w:sz="10"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357,97</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3,531.</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640,002</w:t>
            </w:r>
          </w:p>
          <w:p>
            <w:pPr>
              <w:pStyle w:val="TableParagraph"/>
              <w:spacing w:line="240" w:lineRule="auto" w:before="76"/>
              <w:ind w:left="24" w:right="0"/>
              <w:jc w:val="left"/>
              <w:rPr>
                <w:rFonts w:ascii="宋体" w:hAnsi="宋体" w:cs="宋体" w:eastAsia="宋体" w:hint="default"/>
                <w:sz w:val="18"/>
                <w:szCs w:val="18"/>
              </w:rPr>
            </w:pPr>
            <w:r>
              <w:rPr>
                <w:rFonts w:ascii="宋体"/>
                <w:sz w:val="18"/>
              </w:rPr>
              <w:t>,411.17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65,738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,593.5</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-997,65</w:t>
            </w:r>
          </w:p>
          <w:p>
            <w:pPr>
              <w:pStyle w:val="TableParagraph"/>
              <w:spacing w:line="240" w:lineRule="auto" w:before="76"/>
              <w:ind w:right="16"/>
              <w:jc w:val="right"/>
              <w:rPr>
                <w:rFonts w:ascii="宋体" w:hAnsi="宋体" w:cs="宋体" w:eastAsia="宋体" w:hint="default"/>
                <w:sz w:val="18"/>
                <w:szCs w:val="18"/>
              </w:rPr>
            </w:pPr>
            <w:r>
              <w:rPr>
                <w:rFonts w:ascii="宋体"/>
                <w:sz w:val="18"/>
              </w:rPr>
              <w:t>7,424.0</w:t>
            </w:r>
          </w:p>
          <w:p>
            <w:pPr>
              <w:pStyle w:val="TableParagraph"/>
              <w:spacing w:line="240" w:lineRule="auto" w:before="76"/>
              <w:ind w:right="18"/>
              <w:jc w:val="right"/>
              <w:rPr>
                <w:rFonts w:ascii="宋体" w:hAnsi="宋体" w:cs="宋体" w:eastAsia="宋体" w:hint="default"/>
                <w:sz w:val="18"/>
                <w:szCs w:val="18"/>
              </w:rPr>
            </w:pPr>
            <w:r>
              <w:rPr>
                <w:rFonts w:ascii="宋体"/>
                <w:sz w:val="18"/>
              </w:rPr>
              <w:t>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66,057,11</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1.65</w:t>
            </w:r>
          </w:p>
        </w:tc>
      </w:tr>
      <w:tr>
        <w:trPr>
          <w:trHeight w:val="391" w:hRule="exact"/>
        </w:trPr>
        <w:tc>
          <w:tcPr>
            <w:tcW w:w="2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75"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4" w:right="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p>
        </w:tc>
        <w:tc>
          <w:tcPr>
            <w:tcW w:w="675"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980" w:header="745" w:top="1060" w:bottom="1160" w:left="980" w:right="0"/>
          <w:pgNumType w:start="58"/>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1912" type="#_x0000_t75" stroked="false">
            <v:imagedata r:id="rId13"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产生的追溯调整</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357,97</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3,531.</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640,002</w:t>
            </w:r>
          </w:p>
          <w:p>
            <w:pPr>
              <w:pStyle w:val="TableParagraph"/>
              <w:spacing w:line="240" w:lineRule="auto" w:before="76"/>
              <w:ind w:left="24" w:right="0"/>
              <w:jc w:val="left"/>
              <w:rPr>
                <w:rFonts w:ascii="宋体" w:hAnsi="宋体" w:cs="宋体" w:eastAsia="宋体" w:hint="default"/>
                <w:sz w:val="18"/>
                <w:szCs w:val="18"/>
              </w:rPr>
            </w:pPr>
            <w:r>
              <w:rPr>
                <w:rFonts w:ascii="宋体"/>
                <w:sz w:val="18"/>
              </w:rPr>
              <w:t>,411.17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65,738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,593.5</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-997,65</w:t>
            </w:r>
          </w:p>
          <w:p>
            <w:pPr>
              <w:pStyle w:val="TableParagraph"/>
              <w:spacing w:line="240" w:lineRule="auto" w:before="76"/>
              <w:ind w:right="16"/>
              <w:jc w:val="right"/>
              <w:rPr>
                <w:rFonts w:ascii="宋体" w:hAnsi="宋体" w:cs="宋体" w:eastAsia="宋体" w:hint="default"/>
                <w:sz w:val="18"/>
                <w:szCs w:val="18"/>
              </w:rPr>
            </w:pPr>
            <w:r>
              <w:rPr>
                <w:rFonts w:ascii="宋体"/>
                <w:sz w:val="18"/>
              </w:rPr>
              <w:t>7,424.0</w:t>
            </w:r>
          </w:p>
          <w:p>
            <w:pPr>
              <w:pStyle w:val="TableParagraph"/>
              <w:spacing w:line="240" w:lineRule="auto" w:before="76"/>
              <w:ind w:right="18"/>
              <w:jc w:val="right"/>
              <w:rPr>
                <w:rFonts w:ascii="宋体" w:hAnsi="宋体" w:cs="宋体" w:eastAsia="宋体" w:hint="default"/>
                <w:sz w:val="18"/>
                <w:szCs w:val="18"/>
              </w:rPr>
            </w:pPr>
            <w:r>
              <w:rPr>
                <w:rFonts w:ascii="宋体"/>
                <w:sz w:val="18"/>
              </w:rPr>
              <w:t>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sz w:val="18"/>
              </w:rPr>
              <w:t>66,057,11</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1.65</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w w:val="105"/>
                <w:sz w:val="18"/>
                <w:szCs w:val="18"/>
              </w:rPr>
              <w:t>以‚－‛号填列）</w:t>
            </w:r>
            <w:r>
              <w:rPr>
                <w:rFonts w:ascii="宋体" w:hAnsi="宋体" w:cs="宋体" w:eastAsia="宋体" w:hint="default"/>
                <w:sz w:val="18"/>
                <w:szCs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2,645,8</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48.08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16,602,</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198.93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19,248,04</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7.01</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16,602,</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198.93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16,602,19</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8.93</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16,602,</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198.93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16,602,19</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8.93</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2,645,8</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48.08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2,645,848</w:t>
            </w:r>
          </w:p>
          <w:p>
            <w:pPr>
              <w:pStyle w:val="TableParagraph"/>
              <w:spacing w:line="240" w:lineRule="auto" w:before="76"/>
              <w:ind w:right="17"/>
              <w:jc w:val="right"/>
              <w:rPr>
                <w:rFonts w:ascii="宋体" w:hAnsi="宋体" w:cs="宋体" w:eastAsia="宋体" w:hint="default"/>
                <w:sz w:val="18"/>
                <w:szCs w:val="18"/>
              </w:rPr>
            </w:pPr>
            <w:r>
              <w:rPr>
                <w:rFonts w:ascii="宋体"/>
                <w:sz w:val="18"/>
              </w:rPr>
              <w:t>.08</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2,645,8</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48.08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2,645,848</w:t>
            </w:r>
          </w:p>
          <w:p>
            <w:pPr>
              <w:pStyle w:val="TableParagraph"/>
              <w:spacing w:line="240" w:lineRule="auto" w:before="77"/>
              <w:ind w:right="17"/>
              <w:jc w:val="right"/>
              <w:rPr>
                <w:rFonts w:ascii="宋体" w:hAnsi="宋体" w:cs="宋体" w:eastAsia="宋体" w:hint="default"/>
                <w:sz w:val="18"/>
                <w:szCs w:val="18"/>
              </w:rPr>
            </w:pPr>
            <w:r>
              <w:rPr>
                <w:rFonts w:ascii="宋体"/>
                <w:sz w:val="18"/>
              </w:rPr>
              <w:t>.08</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357,97</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3,531.</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4"/>
              <w:ind w:left="24" w:right="0"/>
              <w:jc w:val="left"/>
              <w:rPr>
                <w:rFonts w:ascii="宋体" w:hAnsi="宋体" w:cs="宋体" w:eastAsia="宋体" w:hint="default"/>
                <w:sz w:val="18"/>
                <w:szCs w:val="18"/>
              </w:rPr>
            </w:pPr>
            <w:r>
              <w:rPr>
                <w:rFonts w:ascii="宋体"/>
                <w:sz w:val="18"/>
              </w:rPr>
              <w:t>,259.25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65,738</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,593.5</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-981,05</w:t>
            </w:r>
          </w:p>
          <w:p>
            <w:pPr>
              <w:pStyle w:val="TableParagraph"/>
              <w:spacing w:line="240" w:lineRule="auto" w:before="74"/>
              <w:ind w:right="16"/>
              <w:jc w:val="right"/>
              <w:rPr>
                <w:rFonts w:ascii="宋体" w:hAnsi="宋体" w:cs="宋体" w:eastAsia="宋体" w:hint="default"/>
                <w:sz w:val="18"/>
                <w:szCs w:val="18"/>
              </w:rPr>
            </w:pPr>
            <w:r>
              <w:rPr>
                <w:rFonts w:ascii="宋体"/>
                <w:sz w:val="18"/>
              </w:rPr>
              <w:t>5,225.0</w:t>
            </w:r>
          </w:p>
          <w:p>
            <w:pPr>
              <w:pStyle w:val="TableParagraph"/>
              <w:spacing w:line="240" w:lineRule="auto" w:before="76"/>
              <w:ind w:right="18"/>
              <w:jc w:val="right"/>
              <w:rPr>
                <w:rFonts w:ascii="宋体" w:hAnsi="宋体" w:cs="宋体" w:eastAsia="宋体" w:hint="default"/>
                <w:sz w:val="18"/>
                <w:szCs w:val="18"/>
              </w:rPr>
            </w:pPr>
            <w:r>
              <w:rPr>
                <w:rFonts w:ascii="宋体"/>
                <w:sz w:val="18"/>
              </w:rPr>
              <w:t>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sz w:val="18"/>
              </w:rPr>
              <w:t>85,305,15</w:t>
            </w:r>
          </w:p>
          <w:p>
            <w:pPr>
              <w:pStyle w:val="TableParagraph"/>
              <w:spacing w:line="240" w:lineRule="auto" w:before="74"/>
              <w:ind w:left="501" w:right="0"/>
              <w:jc w:val="left"/>
              <w:rPr>
                <w:rFonts w:ascii="宋体" w:hAnsi="宋体" w:cs="宋体" w:eastAsia="宋体" w:hint="default"/>
                <w:sz w:val="18"/>
                <w:szCs w:val="18"/>
              </w:rPr>
            </w:pPr>
            <w:r>
              <w:rPr>
                <w:rFonts w:ascii="宋体"/>
                <w:sz w:val="18"/>
              </w:rPr>
              <w:t>8.66</w:t>
            </w:r>
          </w:p>
        </w:tc>
      </w:tr>
    </w:tbl>
    <w:p>
      <w:pPr>
        <w:spacing w:line="240" w:lineRule="auto" w:before="11"/>
        <w:rPr>
          <w:rFonts w:ascii="Times New Roman" w:hAnsi="Times New Roman" w:cs="Times New Roman" w:eastAsia="Times New Roman" w:hint="default"/>
          <w:sz w:val="22"/>
          <w:szCs w:val="22"/>
        </w:rPr>
      </w:pPr>
    </w:p>
    <w:p>
      <w:pPr>
        <w:pStyle w:val="BodyText"/>
        <w:tabs>
          <w:tab w:pos="3216" w:val="left" w:leader="none"/>
          <w:tab w:pos="5376" w:val="left" w:leader="none"/>
          <w:tab w:pos="7356" w:val="left" w:leader="none"/>
          <w:tab w:pos="9068" w:val="left" w:leader="none"/>
        </w:tabs>
        <w:spacing w:line="240" w:lineRule="auto" w:before="44"/>
        <w:ind w:right="0"/>
        <w:jc w:val="left"/>
      </w:pPr>
      <w:r>
        <w:rPr/>
        <w:t>法定代表人：晏群</w:t>
        <w:tab/>
        <w:t>主管会计工作负责人：</w:t>
        <w:tab/>
        <w:t>梁侠</w:t>
        <w:tab/>
        <w:t>会计机构负责人：</w:t>
        <w:tab/>
        <w:t>林小浓</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8</w:t>
      </w:r>
      <w:r>
        <w:rPr/>
        <w:t>、母公司所有者权益变动表</w:t>
      </w:r>
      <w:r>
        <w:rPr>
          <w:b w:val="0"/>
          <w:bCs w:val="0"/>
        </w:rPr>
      </w:r>
    </w:p>
    <w:p>
      <w:pPr>
        <w:spacing w:line="240" w:lineRule="auto" w:before="14"/>
        <w:rPr>
          <w:rFonts w:ascii="微软雅黑" w:hAnsi="微软雅黑" w:cs="微软雅黑" w:eastAsia="微软雅黑" w:hint="default"/>
          <w:b/>
          <w:bCs/>
          <w:sz w:val="16"/>
          <w:szCs w:val="16"/>
        </w:rPr>
      </w:pPr>
    </w:p>
    <w:p>
      <w:pPr>
        <w:spacing w:after="0" w:line="240" w:lineRule="auto"/>
        <w:rPr>
          <w:rFonts w:ascii="微软雅黑" w:hAnsi="微软雅黑" w:cs="微软雅黑" w:eastAsia="微软雅黑" w:hint="default"/>
          <w:sz w:val="16"/>
          <w:szCs w:val="16"/>
        </w:rPr>
        <w:sectPr>
          <w:footerReference w:type="default" r:id="rId27"/>
          <w:pgSz w:w="11910" w:h="16840"/>
          <w:pgMar w:footer="1282" w:header="745" w:top="1060" w:bottom="1540" w:left="980" w:right="0"/>
          <w:pgNumType w:start="60"/>
        </w:sectPr>
      </w:pPr>
    </w:p>
    <w:p>
      <w:pPr>
        <w:pStyle w:val="BodyText"/>
        <w:spacing w:line="357" w:lineRule="auto" w:before="44"/>
        <w:ind w:right="-16"/>
        <w:jc w:val="left"/>
      </w:pPr>
      <w:r>
        <w:rPr/>
        <w:t>编制单位：深圳市深信泰丰</w:t>
      </w:r>
      <w:r>
        <w:rPr>
          <w:rFonts w:ascii="宋体" w:hAnsi="宋体" w:cs="宋体" w:eastAsia="宋体" w:hint="default"/>
        </w:rPr>
        <w:t>(</w:t>
      </w:r>
      <w:r>
        <w:rPr/>
        <w:t>集团</w:t>
      </w:r>
      <w:r>
        <w:rPr>
          <w:rFonts w:ascii="宋体" w:hAnsi="宋体" w:cs="宋体" w:eastAsia="宋体" w:hint="default"/>
        </w:rPr>
        <w:t>)</w:t>
      </w:r>
      <w:r>
        <w:rPr/>
        <w:t>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937" w:space="4984"/>
            <w:col w:w="200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5"/>
        <w:gridCol w:w="884"/>
        <w:gridCol w:w="886"/>
        <w:gridCol w:w="886"/>
        <w:gridCol w:w="886"/>
        <w:gridCol w:w="886"/>
        <w:gridCol w:w="886"/>
        <w:gridCol w:w="888"/>
        <w:gridCol w:w="890"/>
      </w:tblGrid>
      <w:tr>
        <w:trPr>
          <w:trHeight w:val="396"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65"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58"/>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65"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65"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58"/>
              <w:ind w:left="33" w:right="0"/>
              <w:jc w:val="left"/>
              <w:rPr>
                <w:rFonts w:ascii="宋体" w:hAnsi="宋体" w:cs="宋体" w:eastAsia="宋体" w:hint="default"/>
                <w:sz w:val="18"/>
                <w:szCs w:val="18"/>
              </w:rPr>
            </w:pPr>
            <w:r>
              <w:rPr>
                <w:rFonts w:ascii="宋体"/>
                <w:sz w:val="18"/>
              </w:rPr>
              <w:t>357,973,5</w:t>
            </w:r>
          </w:p>
          <w:p>
            <w:pPr>
              <w:pStyle w:val="TableParagraph"/>
              <w:spacing w:line="240" w:lineRule="auto" w:before="76"/>
              <w:ind w:left="394" w:right="0"/>
              <w:jc w:val="left"/>
              <w:rPr>
                <w:rFonts w:ascii="宋体" w:hAnsi="宋体" w:cs="宋体" w:eastAsia="宋体" w:hint="default"/>
                <w:sz w:val="18"/>
                <w:szCs w:val="18"/>
              </w:rPr>
            </w:pPr>
            <w:r>
              <w:rPr>
                <w:rFonts w:ascii="宋体"/>
                <w:sz w:val="18"/>
              </w:rPr>
              <w:t>31.00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8"/>
              <w:ind w:left="43" w:right="0"/>
              <w:jc w:val="left"/>
              <w:rPr>
                <w:rFonts w:ascii="宋体" w:hAnsi="宋体" w:cs="宋体" w:eastAsia="宋体" w:hint="default"/>
                <w:sz w:val="18"/>
                <w:szCs w:val="18"/>
              </w:rPr>
            </w:pPr>
            <w:r>
              <w:rPr>
                <w:rFonts w:ascii="宋体"/>
                <w:sz w:val="18"/>
              </w:rPr>
              <w:t>701,620,5</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66.42</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8"/>
              <w:ind w:left="43" w:right="0"/>
              <w:jc w:val="left"/>
              <w:rPr>
                <w:rFonts w:ascii="宋体" w:hAnsi="宋体" w:cs="宋体" w:eastAsia="宋体" w:hint="default"/>
                <w:sz w:val="18"/>
                <w:szCs w:val="18"/>
              </w:rPr>
            </w:pPr>
            <w:r>
              <w:rPr>
                <w:rFonts w:ascii="宋体"/>
                <w:sz w:val="18"/>
              </w:rPr>
              <w:t>65,738,59</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3.50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8"/>
              <w:ind w:left="45" w:right="0"/>
              <w:jc w:val="left"/>
              <w:rPr>
                <w:rFonts w:ascii="宋体" w:hAnsi="宋体" w:cs="宋体" w:eastAsia="宋体" w:hint="default"/>
                <w:sz w:val="18"/>
                <w:szCs w:val="18"/>
              </w:rPr>
            </w:pPr>
            <w:r>
              <w:rPr>
                <w:rFonts w:ascii="宋体"/>
                <w:sz w:val="18"/>
              </w:rPr>
              <w:t>-793,111,</w:t>
            </w:r>
          </w:p>
          <w:p>
            <w:pPr>
              <w:pStyle w:val="TableParagraph"/>
              <w:spacing w:line="240" w:lineRule="auto" w:before="76"/>
              <w:ind w:left="316" w:right="0"/>
              <w:jc w:val="left"/>
              <w:rPr>
                <w:rFonts w:ascii="宋体" w:hAnsi="宋体" w:cs="宋体" w:eastAsia="宋体" w:hint="default"/>
                <w:sz w:val="18"/>
                <w:szCs w:val="18"/>
              </w:rPr>
            </w:pPr>
            <w:r>
              <w:rPr>
                <w:rFonts w:ascii="宋体"/>
                <w:sz w:val="18"/>
              </w:rPr>
              <w:t>729.24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332,220,9</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61.68</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58"/>
              <w:ind w:left="33" w:right="0"/>
              <w:jc w:val="left"/>
              <w:rPr>
                <w:rFonts w:ascii="宋体" w:hAnsi="宋体" w:cs="宋体" w:eastAsia="宋体" w:hint="default"/>
                <w:sz w:val="18"/>
                <w:szCs w:val="18"/>
              </w:rPr>
            </w:pPr>
            <w:r>
              <w:rPr>
                <w:rFonts w:ascii="宋体"/>
                <w:sz w:val="18"/>
              </w:rPr>
              <w:t>357,973,5</w:t>
            </w:r>
          </w:p>
          <w:p>
            <w:pPr>
              <w:pStyle w:val="TableParagraph"/>
              <w:spacing w:line="240" w:lineRule="auto" w:before="77"/>
              <w:ind w:left="394" w:right="0"/>
              <w:jc w:val="left"/>
              <w:rPr>
                <w:rFonts w:ascii="宋体" w:hAnsi="宋体" w:cs="宋体" w:eastAsia="宋体" w:hint="default"/>
                <w:sz w:val="18"/>
                <w:szCs w:val="18"/>
              </w:rPr>
            </w:pPr>
            <w:r>
              <w:rPr>
                <w:rFonts w:ascii="宋体"/>
                <w:sz w:val="18"/>
              </w:rPr>
              <w:t>31.00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8"/>
              <w:ind w:left="43" w:right="0"/>
              <w:jc w:val="left"/>
              <w:rPr>
                <w:rFonts w:ascii="宋体" w:hAnsi="宋体" w:cs="宋体" w:eastAsia="宋体" w:hint="default"/>
                <w:sz w:val="18"/>
                <w:szCs w:val="18"/>
              </w:rPr>
            </w:pPr>
            <w:r>
              <w:rPr>
                <w:rFonts w:ascii="宋体"/>
                <w:sz w:val="18"/>
              </w:rPr>
              <w:t>701,620,5</w:t>
            </w:r>
          </w:p>
          <w:p>
            <w:pPr>
              <w:pStyle w:val="TableParagraph"/>
              <w:spacing w:line="240" w:lineRule="auto" w:before="77"/>
              <w:ind w:left="403" w:right="0"/>
              <w:jc w:val="left"/>
              <w:rPr>
                <w:rFonts w:ascii="宋体" w:hAnsi="宋体" w:cs="宋体" w:eastAsia="宋体" w:hint="default"/>
                <w:sz w:val="18"/>
                <w:szCs w:val="18"/>
              </w:rPr>
            </w:pPr>
            <w:r>
              <w:rPr>
                <w:rFonts w:ascii="宋体"/>
                <w:sz w:val="18"/>
              </w:rPr>
              <w:t>66.42</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8"/>
              <w:ind w:left="43" w:right="0"/>
              <w:jc w:val="left"/>
              <w:rPr>
                <w:rFonts w:ascii="宋体" w:hAnsi="宋体" w:cs="宋体" w:eastAsia="宋体" w:hint="default"/>
                <w:sz w:val="18"/>
                <w:szCs w:val="18"/>
              </w:rPr>
            </w:pPr>
            <w:r>
              <w:rPr>
                <w:rFonts w:ascii="宋体"/>
                <w:sz w:val="18"/>
              </w:rPr>
              <w:t>65,738,59</w:t>
            </w:r>
          </w:p>
          <w:p>
            <w:pPr>
              <w:pStyle w:val="TableParagraph"/>
              <w:spacing w:line="240" w:lineRule="auto" w:before="77"/>
              <w:ind w:left="494" w:right="0"/>
              <w:jc w:val="left"/>
              <w:rPr>
                <w:rFonts w:ascii="宋体" w:hAnsi="宋体" w:cs="宋体" w:eastAsia="宋体" w:hint="default"/>
                <w:sz w:val="18"/>
                <w:szCs w:val="18"/>
              </w:rPr>
            </w:pPr>
            <w:r>
              <w:rPr>
                <w:rFonts w:ascii="宋体"/>
                <w:sz w:val="18"/>
              </w:rPr>
              <w:t>3.50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8"/>
              <w:ind w:left="45" w:right="0"/>
              <w:jc w:val="left"/>
              <w:rPr>
                <w:rFonts w:ascii="宋体" w:hAnsi="宋体" w:cs="宋体" w:eastAsia="宋体" w:hint="default"/>
                <w:sz w:val="18"/>
                <w:szCs w:val="18"/>
              </w:rPr>
            </w:pPr>
            <w:r>
              <w:rPr>
                <w:rFonts w:ascii="宋体"/>
                <w:sz w:val="18"/>
              </w:rPr>
              <w:t>-793,111,</w:t>
            </w:r>
          </w:p>
          <w:p>
            <w:pPr>
              <w:pStyle w:val="TableParagraph"/>
              <w:spacing w:line="240" w:lineRule="auto" w:before="77"/>
              <w:ind w:left="316" w:right="0"/>
              <w:jc w:val="left"/>
              <w:rPr>
                <w:rFonts w:ascii="宋体" w:hAnsi="宋体" w:cs="宋体" w:eastAsia="宋体" w:hint="default"/>
                <w:sz w:val="18"/>
                <w:szCs w:val="18"/>
              </w:rPr>
            </w:pPr>
            <w:r>
              <w:rPr>
                <w:rFonts w:ascii="宋体"/>
                <w:sz w:val="18"/>
              </w:rPr>
              <w:t>729.24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332,220,9</w:t>
            </w:r>
          </w:p>
          <w:p>
            <w:pPr>
              <w:pStyle w:val="TableParagraph"/>
              <w:spacing w:line="240" w:lineRule="auto" w:before="77"/>
              <w:ind w:left="407" w:right="0"/>
              <w:jc w:val="left"/>
              <w:rPr>
                <w:rFonts w:ascii="宋体" w:hAnsi="宋体" w:cs="宋体" w:eastAsia="宋体" w:hint="default"/>
                <w:sz w:val="18"/>
                <w:szCs w:val="18"/>
              </w:rPr>
            </w:pPr>
            <w:r>
              <w:rPr>
                <w:rFonts w:ascii="宋体"/>
                <w:sz w:val="18"/>
              </w:rPr>
              <w:t>61.68</w:t>
            </w:r>
          </w:p>
        </w:tc>
      </w:tr>
      <w:tr>
        <w:trPr>
          <w:trHeight w:val="392"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w:t>
            </w:r>
            <w:r>
              <w:rPr>
                <w:rFonts w:ascii="宋体" w:hAnsi="宋体" w:cs="宋体" w:eastAsia="宋体" w:hint="default"/>
                <w:w w:val="105"/>
                <w:sz w:val="18"/>
                <w:szCs w:val="18"/>
              </w:rPr>
              <w:t>以‚－‛号填列）</w:t>
            </w:r>
            <w:r>
              <w:rPr>
                <w:rFonts w:ascii="宋体" w:hAnsi="宋体" w:cs="宋体" w:eastAsia="宋体" w:hint="default"/>
                <w:sz w:val="18"/>
                <w:szCs w:val="18"/>
              </w:rPr>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37.68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37.68</w:t>
            </w: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8"/>
              <w:ind w:left="45"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37.68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37.68</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8"/>
              <w:ind w:left="45"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37.68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37.68</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22"/>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group style="position:absolute;margin-left:180.740005pt;margin-top:112.099983pt;width:42.65pt;height:40.950pt;mso-position-horizontal-relative:page;mso-position-vertical-relative:page;z-index:-781096" coordorigin="3615,2242" coordsize="853,819">
            <v:group style="position:absolute;left:3627;top:2254;width:2;height:392" coordorigin="3627,2254" coordsize="2,392">
              <v:shape style="position:absolute;left:3627;top:2254;width:2;height:392" coordorigin="3627,2254" coordsize="0,392" path="m3627,2254l3627,2645e" filled="false" stroked="true" strokeweight="1.2pt" strokecolor="#ffffff">
                <v:path arrowok="t"/>
              </v:shape>
            </v:group>
            <v:group style="position:absolute;left:3639;top:2254;width:829;height:392" coordorigin="3639,2254" coordsize="829,392">
              <v:shape style="position:absolute;left:3639;top:2254;width:829;height:392" coordorigin="3639,2254" coordsize="829,392" path="m3639,2645l4467,2645,4467,2254,3639,2254,3639,2645xe" filled="true" fillcolor="#ffffff" stroked="false">
                <v:path arrowok="t"/>
                <v:fill type="solid"/>
              </v:shape>
            </v:group>
            <v:group style="position:absolute;left:3627;top:2657;width:2;height:392" coordorigin="3627,2657" coordsize="2,392">
              <v:shape style="position:absolute;left:3627;top:2657;width:2;height:392" coordorigin="3627,2657" coordsize="0,392" path="m3627,2657l3627,3048e" filled="false" stroked="true" strokeweight="1.2pt" strokecolor="#ffffff">
                <v:path arrowok="t"/>
              </v:shape>
            </v:group>
            <v:group style="position:absolute;left:3639;top:2657;width:829;height:392" coordorigin="3639,2657" coordsize="829,392">
              <v:shape style="position:absolute;left:3639;top:2657;width:829;height:392" coordorigin="3639,2657" coordsize="829,392" path="m3639,3048l4467,3048,4467,2657,3639,2657,3639,304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．资本公积转增资本（或股本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．盈余公积转增资本（或股本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357,973,5</w:t>
            </w:r>
          </w:p>
          <w:p>
            <w:pPr>
              <w:pStyle w:val="TableParagraph"/>
              <w:spacing w:line="240" w:lineRule="auto" w:before="76"/>
              <w:ind w:left="401" w:right="0"/>
              <w:jc w:val="left"/>
              <w:rPr>
                <w:rFonts w:ascii="宋体" w:hAnsi="宋体" w:cs="宋体" w:eastAsia="宋体" w:hint="default"/>
                <w:sz w:val="18"/>
                <w:szCs w:val="18"/>
              </w:rPr>
            </w:pPr>
            <w:r>
              <w:rPr>
                <w:rFonts w:ascii="宋体"/>
                <w:sz w:val="18"/>
              </w:rPr>
              <w:t>31.00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701,620,5</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66.42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65,738,59</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-804,306,</w:t>
            </w:r>
          </w:p>
          <w:p>
            <w:pPr>
              <w:pStyle w:val="TableParagraph"/>
              <w:spacing w:line="240" w:lineRule="auto" w:before="76"/>
              <w:ind w:left="316" w:right="0"/>
              <w:jc w:val="left"/>
              <w:rPr>
                <w:rFonts w:ascii="宋体" w:hAnsi="宋体" w:cs="宋体" w:eastAsia="宋体" w:hint="default"/>
                <w:sz w:val="18"/>
                <w:szCs w:val="18"/>
              </w:rPr>
            </w:pPr>
            <w:r>
              <w:rPr>
                <w:rFonts w:ascii="宋体"/>
                <w:sz w:val="18"/>
              </w:rPr>
              <w:t>066.92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321,026,6</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24.00</w:t>
            </w:r>
          </w:p>
        </w:tc>
      </w:tr>
    </w:tbl>
    <w:p>
      <w:pPr>
        <w:pStyle w:val="BodyText"/>
        <w:spacing w:line="240" w:lineRule="auto" w:before="49"/>
        <w:ind w:right="0"/>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6"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357,973,5</w:t>
            </w:r>
          </w:p>
          <w:p>
            <w:pPr>
              <w:pStyle w:val="TableParagraph"/>
              <w:spacing w:line="240" w:lineRule="auto" w:before="74"/>
              <w:ind w:left="406" w:right="0"/>
              <w:jc w:val="left"/>
              <w:rPr>
                <w:rFonts w:ascii="宋体" w:hAnsi="宋体" w:cs="宋体" w:eastAsia="宋体" w:hint="default"/>
                <w:sz w:val="18"/>
                <w:szCs w:val="18"/>
              </w:rPr>
            </w:pPr>
            <w:r>
              <w:rPr>
                <w:rFonts w:ascii="宋体"/>
                <w:sz w:val="18"/>
              </w:rPr>
              <w:t>31.00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701,620,5</w:t>
            </w:r>
          </w:p>
          <w:p>
            <w:pPr>
              <w:pStyle w:val="TableParagraph"/>
              <w:spacing w:line="240" w:lineRule="auto" w:before="74"/>
              <w:ind w:left="400" w:right="0"/>
              <w:jc w:val="left"/>
              <w:rPr>
                <w:rFonts w:ascii="宋体" w:hAnsi="宋体" w:cs="宋体" w:eastAsia="宋体" w:hint="default"/>
                <w:sz w:val="18"/>
                <w:szCs w:val="18"/>
              </w:rPr>
            </w:pPr>
            <w:r>
              <w:rPr>
                <w:rFonts w:ascii="宋体"/>
                <w:sz w:val="18"/>
              </w:rPr>
              <w:t>66.42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65,738,59</w:t>
            </w:r>
          </w:p>
          <w:p>
            <w:pPr>
              <w:pStyle w:val="TableParagraph"/>
              <w:spacing w:line="240" w:lineRule="auto" w:before="74"/>
              <w:ind w:left="492" w:right="0"/>
              <w:jc w:val="left"/>
              <w:rPr>
                <w:rFonts w:ascii="宋体" w:hAnsi="宋体" w:cs="宋体" w:eastAsia="宋体" w:hint="default"/>
                <w:sz w:val="18"/>
                <w:szCs w:val="18"/>
              </w:rPr>
            </w:pPr>
            <w:r>
              <w:rPr>
                <w:rFonts w:ascii="宋体"/>
                <w:sz w:val="18"/>
              </w:rPr>
              <w:t>3.50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-788,473,</w:t>
            </w:r>
          </w:p>
          <w:p>
            <w:pPr>
              <w:pStyle w:val="TableParagraph"/>
              <w:spacing w:line="240" w:lineRule="auto" w:before="74"/>
              <w:ind w:left="311" w:right="0"/>
              <w:jc w:val="left"/>
              <w:rPr>
                <w:rFonts w:ascii="宋体" w:hAnsi="宋体" w:cs="宋体" w:eastAsia="宋体" w:hint="default"/>
                <w:sz w:val="18"/>
                <w:szCs w:val="18"/>
              </w:rPr>
            </w:pPr>
            <w:r>
              <w:rPr>
                <w:rFonts w:ascii="宋体"/>
                <w:sz w:val="18"/>
              </w:rPr>
              <w:t>036.27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336,859,6</w:t>
            </w:r>
          </w:p>
          <w:p>
            <w:pPr>
              <w:pStyle w:val="TableParagraph"/>
              <w:spacing w:line="240" w:lineRule="auto" w:before="74"/>
              <w:ind w:left="398" w:right="0"/>
              <w:jc w:val="left"/>
              <w:rPr>
                <w:rFonts w:ascii="宋体" w:hAnsi="宋体" w:cs="宋体" w:eastAsia="宋体" w:hint="default"/>
                <w:sz w:val="18"/>
                <w:szCs w:val="18"/>
              </w:rPr>
            </w:pPr>
            <w:r>
              <w:rPr>
                <w:rFonts w:ascii="宋体"/>
                <w:sz w:val="18"/>
              </w:rPr>
              <w:t>54.65</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357,973,5</w:t>
            </w:r>
          </w:p>
          <w:p>
            <w:pPr>
              <w:pStyle w:val="TableParagraph"/>
              <w:spacing w:line="240" w:lineRule="auto" w:before="74"/>
              <w:ind w:left="406" w:right="0"/>
              <w:jc w:val="left"/>
              <w:rPr>
                <w:rFonts w:ascii="宋体" w:hAnsi="宋体" w:cs="宋体" w:eastAsia="宋体" w:hint="default"/>
                <w:sz w:val="18"/>
                <w:szCs w:val="18"/>
              </w:rPr>
            </w:pPr>
            <w:r>
              <w:rPr>
                <w:rFonts w:ascii="宋体"/>
                <w:sz w:val="18"/>
              </w:rPr>
              <w:t>31.00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701,620,5</w:t>
            </w:r>
          </w:p>
          <w:p>
            <w:pPr>
              <w:pStyle w:val="TableParagraph"/>
              <w:spacing w:line="240" w:lineRule="auto" w:before="74"/>
              <w:ind w:left="400" w:right="0"/>
              <w:jc w:val="left"/>
              <w:rPr>
                <w:rFonts w:ascii="宋体" w:hAnsi="宋体" w:cs="宋体" w:eastAsia="宋体" w:hint="default"/>
                <w:sz w:val="18"/>
                <w:szCs w:val="18"/>
              </w:rPr>
            </w:pPr>
            <w:r>
              <w:rPr>
                <w:rFonts w:ascii="宋体"/>
                <w:sz w:val="18"/>
              </w:rPr>
              <w:t>66.42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65,738,59</w:t>
            </w:r>
          </w:p>
          <w:p>
            <w:pPr>
              <w:pStyle w:val="TableParagraph"/>
              <w:spacing w:line="240" w:lineRule="auto" w:before="74"/>
              <w:ind w:left="492" w:right="0"/>
              <w:jc w:val="left"/>
              <w:rPr>
                <w:rFonts w:ascii="宋体" w:hAnsi="宋体" w:cs="宋体" w:eastAsia="宋体" w:hint="default"/>
                <w:sz w:val="18"/>
                <w:szCs w:val="18"/>
              </w:rPr>
            </w:pPr>
            <w:r>
              <w:rPr>
                <w:rFonts w:ascii="宋体"/>
                <w:sz w:val="18"/>
              </w:rPr>
              <w:t>3.50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-788,473,</w:t>
            </w:r>
          </w:p>
          <w:p>
            <w:pPr>
              <w:pStyle w:val="TableParagraph"/>
              <w:spacing w:line="240" w:lineRule="auto" w:before="74"/>
              <w:ind w:left="311" w:right="0"/>
              <w:jc w:val="left"/>
              <w:rPr>
                <w:rFonts w:ascii="宋体" w:hAnsi="宋体" w:cs="宋体" w:eastAsia="宋体" w:hint="default"/>
                <w:sz w:val="18"/>
                <w:szCs w:val="18"/>
              </w:rPr>
            </w:pPr>
            <w:r>
              <w:rPr>
                <w:rFonts w:ascii="宋体"/>
                <w:sz w:val="18"/>
              </w:rPr>
              <w:t>036.27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336,859,6</w:t>
            </w:r>
          </w:p>
          <w:p>
            <w:pPr>
              <w:pStyle w:val="TableParagraph"/>
              <w:spacing w:line="240" w:lineRule="auto" w:before="74"/>
              <w:ind w:left="398" w:right="0"/>
              <w:jc w:val="left"/>
              <w:rPr>
                <w:rFonts w:ascii="宋体" w:hAnsi="宋体" w:cs="宋体" w:eastAsia="宋体" w:hint="default"/>
                <w:sz w:val="18"/>
                <w:szCs w:val="18"/>
              </w:rPr>
            </w:pPr>
            <w:r>
              <w:rPr>
                <w:rFonts w:ascii="宋体"/>
                <w:sz w:val="18"/>
              </w:rPr>
              <w:t>54.65</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10"/>
                <w:sz w:val="18"/>
                <w:szCs w:val="18"/>
              </w:rPr>
              <w:t>‚－‛号填列）</w:t>
            </w:r>
            <w:r>
              <w:rPr>
                <w:rFonts w:ascii="宋体" w:hAnsi="宋体" w:cs="宋体" w:eastAsia="宋体" w:hint="default"/>
                <w:sz w:val="18"/>
                <w:szCs w:val="18"/>
              </w:rPr>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-4,638,69</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2.97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-4,638,69</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2.97</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-4,638,69</w:t>
            </w:r>
          </w:p>
          <w:p>
            <w:pPr>
              <w:pStyle w:val="TableParagraph"/>
              <w:spacing w:line="240" w:lineRule="auto" w:before="74"/>
              <w:ind w:left="491" w:right="0"/>
              <w:jc w:val="left"/>
              <w:rPr>
                <w:rFonts w:ascii="宋体" w:hAnsi="宋体" w:cs="宋体" w:eastAsia="宋体" w:hint="default"/>
                <w:sz w:val="18"/>
                <w:szCs w:val="18"/>
              </w:rPr>
            </w:pPr>
            <w:r>
              <w:rPr>
                <w:rFonts w:ascii="宋体"/>
                <w:sz w:val="18"/>
              </w:rPr>
              <w:t>2.97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-4,638,69</w:t>
            </w:r>
          </w:p>
          <w:p>
            <w:pPr>
              <w:pStyle w:val="TableParagraph"/>
              <w:spacing w:line="240" w:lineRule="auto" w:before="74"/>
              <w:ind w:left="489" w:right="0"/>
              <w:jc w:val="left"/>
              <w:rPr>
                <w:rFonts w:ascii="宋体" w:hAnsi="宋体" w:cs="宋体" w:eastAsia="宋体" w:hint="default"/>
                <w:sz w:val="18"/>
                <w:szCs w:val="18"/>
              </w:rPr>
            </w:pPr>
            <w:r>
              <w:rPr>
                <w:rFonts w:ascii="宋体"/>
                <w:sz w:val="18"/>
              </w:rPr>
              <w:t>2.97</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-4,638,69</w:t>
            </w:r>
          </w:p>
          <w:p>
            <w:pPr>
              <w:pStyle w:val="TableParagraph"/>
              <w:spacing w:line="240" w:lineRule="auto" w:before="74"/>
              <w:ind w:left="491" w:right="0"/>
              <w:jc w:val="left"/>
              <w:rPr>
                <w:rFonts w:ascii="宋体" w:hAnsi="宋体" w:cs="宋体" w:eastAsia="宋体" w:hint="default"/>
                <w:sz w:val="18"/>
                <w:szCs w:val="18"/>
              </w:rPr>
            </w:pPr>
            <w:r>
              <w:rPr>
                <w:rFonts w:ascii="宋体"/>
                <w:sz w:val="18"/>
              </w:rPr>
              <w:t>2.97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-4,638,69</w:t>
            </w:r>
          </w:p>
          <w:p>
            <w:pPr>
              <w:pStyle w:val="TableParagraph"/>
              <w:spacing w:line="240" w:lineRule="auto" w:before="74"/>
              <w:ind w:left="489" w:right="0"/>
              <w:jc w:val="left"/>
              <w:rPr>
                <w:rFonts w:ascii="宋体" w:hAnsi="宋体" w:cs="宋体" w:eastAsia="宋体" w:hint="default"/>
                <w:sz w:val="18"/>
                <w:szCs w:val="18"/>
              </w:rPr>
            </w:pPr>
            <w:r>
              <w:rPr>
                <w:rFonts w:ascii="宋体"/>
                <w:sz w:val="18"/>
              </w:rPr>
              <w:t>2.97</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282" w:top="1060" w:bottom="1520" w:left="980" w:right="0"/>
        </w:sectPr>
      </w:pPr>
    </w:p>
    <w:p>
      <w:pPr>
        <w:spacing w:line="240" w:lineRule="auto" w:before="6"/>
        <w:rPr>
          <w:rFonts w:ascii="宋体" w:hAnsi="宋体" w:cs="宋体" w:eastAsia="宋体" w:hint="default"/>
          <w:sz w:val="28"/>
          <w:szCs w:val="28"/>
        </w:rPr>
      </w:pPr>
      <w:r>
        <w:rPr/>
        <w:pict>
          <v:group style="position:absolute;margin-left:182.899994pt;margin-top:193.099976pt;width:41.45pt;height:39.75pt;mso-position-horizontal-relative:page;mso-position-vertical-relative:page;z-index:-781072" coordorigin="3658,3862" coordsize="829,795">
            <v:group style="position:absolute;left:3658;top:3862;width:829;height:392" coordorigin="3658,3862" coordsize="829,392">
              <v:shape style="position:absolute;left:3658;top:3862;width:829;height:392" coordorigin="3658,3862" coordsize="829,392" path="m3658,4253l4486,4253,4486,3862,3658,3862,3658,4253xe" filled="true" fillcolor="#ffffff" stroked="false">
                <v:path arrowok="t"/>
                <v:fill type="solid"/>
              </v:shape>
            </v:group>
            <v:group style="position:absolute;left:3658;top:4265;width:829;height:392" coordorigin="3658,4265" coordsize="829,392">
              <v:shape style="position:absolute;left:3658;top:4265;width:829;height:392" coordorigin="3658,4265" coordsize="829,392" path="m3658,4656l4486,4656,4486,4265,3658,4265,3658,465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357,973,5</w:t>
            </w:r>
          </w:p>
          <w:p>
            <w:pPr>
              <w:pStyle w:val="TableParagraph"/>
              <w:spacing w:line="240" w:lineRule="auto" w:before="76"/>
              <w:ind w:left="401" w:right="0"/>
              <w:jc w:val="left"/>
              <w:rPr>
                <w:rFonts w:ascii="宋体" w:hAnsi="宋体" w:cs="宋体" w:eastAsia="宋体" w:hint="default"/>
                <w:sz w:val="18"/>
                <w:szCs w:val="18"/>
              </w:rPr>
            </w:pPr>
            <w:r>
              <w:rPr>
                <w:rFonts w:ascii="宋体"/>
                <w:sz w:val="18"/>
              </w:rPr>
              <w:t>31.00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701,620,5</w:t>
            </w:r>
          </w:p>
          <w:p>
            <w:pPr>
              <w:pStyle w:val="TableParagraph"/>
              <w:spacing w:line="240" w:lineRule="auto" w:before="76"/>
              <w:ind w:left="400" w:right="0"/>
              <w:jc w:val="left"/>
              <w:rPr>
                <w:rFonts w:ascii="宋体" w:hAnsi="宋体" w:cs="宋体" w:eastAsia="宋体" w:hint="default"/>
                <w:sz w:val="18"/>
                <w:szCs w:val="18"/>
              </w:rPr>
            </w:pPr>
            <w:r>
              <w:rPr>
                <w:rFonts w:ascii="宋体"/>
                <w:sz w:val="18"/>
              </w:rPr>
              <w:t>66.42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65,738,59</w:t>
            </w:r>
          </w:p>
          <w:p>
            <w:pPr>
              <w:pStyle w:val="TableParagraph"/>
              <w:spacing w:line="240" w:lineRule="auto" w:before="76"/>
              <w:ind w:left="492" w:right="0"/>
              <w:jc w:val="left"/>
              <w:rPr>
                <w:rFonts w:ascii="宋体" w:hAnsi="宋体" w:cs="宋体" w:eastAsia="宋体" w:hint="default"/>
                <w:sz w:val="18"/>
                <w:szCs w:val="18"/>
              </w:rPr>
            </w:pPr>
            <w:r>
              <w:rPr>
                <w:rFonts w:ascii="宋体"/>
                <w:sz w:val="18"/>
              </w:rPr>
              <w:t>3.50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-793,111,</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729.24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332,220,9</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61.68</w:t>
            </w:r>
          </w:p>
        </w:tc>
      </w:tr>
    </w:tbl>
    <w:p>
      <w:pPr>
        <w:spacing w:line="240" w:lineRule="auto" w:before="2"/>
        <w:rPr>
          <w:rFonts w:ascii="宋体" w:hAnsi="宋体" w:cs="宋体" w:eastAsia="宋体" w:hint="default"/>
          <w:sz w:val="20"/>
          <w:szCs w:val="20"/>
        </w:rPr>
      </w:pPr>
    </w:p>
    <w:p>
      <w:pPr>
        <w:pStyle w:val="BodyText"/>
        <w:tabs>
          <w:tab w:pos="3216" w:val="left" w:leader="none"/>
          <w:tab w:pos="5376" w:val="left" w:leader="none"/>
          <w:tab w:pos="7356" w:val="left" w:leader="none"/>
          <w:tab w:pos="9068" w:val="left" w:leader="none"/>
        </w:tabs>
        <w:spacing w:line="240" w:lineRule="auto" w:before="44"/>
        <w:ind w:right="0"/>
        <w:jc w:val="left"/>
      </w:pPr>
      <w:r>
        <w:rPr/>
        <w:t>法定代表人：晏群</w:t>
        <w:tab/>
        <w:t>主管会计工作负责人：</w:t>
        <w:tab/>
        <w:t>梁侠</w:t>
        <w:tab/>
        <w:t>会计机构负责人：</w:t>
        <w:tab/>
        <w:t>林小浓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三、公司基本情况</w:t>
      </w:r>
      <w:r>
        <w:rPr>
          <w:b w:val="0"/>
          <w:bCs w:val="0"/>
        </w:rPr>
      </w:r>
    </w:p>
    <w:p>
      <w:pPr>
        <w:spacing w:line="240" w:lineRule="auto" w:before="17"/>
        <w:rPr>
          <w:rFonts w:ascii="微软雅黑" w:hAnsi="微软雅黑" w:cs="微软雅黑" w:eastAsia="微软雅黑" w:hint="default"/>
          <w:b/>
          <w:bCs/>
          <w:sz w:val="22"/>
          <w:szCs w:val="22"/>
        </w:rPr>
      </w:pPr>
    </w:p>
    <w:p>
      <w:pPr>
        <w:pStyle w:val="BodyText"/>
        <w:spacing w:line="477" w:lineRule="auto"/>
        <w:ind w:right="0" w:firstLine="360"/>
        <w:jc w:val="left"/>
      </w:pPr>
      <w:r>
        <w:rPr>
          <w:spacing w:val="-2"/>
        </w:rPr>
        <w:t>深圳市深信泰丰（集团）股份有限公司（以下简称‚本公司‛或‚公司‛）前身为深圳市华宝畜禽联合公司，</w:t>
      </w:r>
      <w:r>
        <w:rPr>
          <w:rFonts w:ascii="宋体" w:hAnsi="宋体" w:cs="宋体" w:eastAsia="宋体" w:hint="default"/>
          <w:spacing w:val="-2"/>
        </w:rPr>
        <w:t>1981</w:t>
      </w:r>
      <w:r>
        <w:rPr>
          <w:spacing w:val="-2"/>
        </w:rPr>
        <w:t>年</w:t>
      </w:r>
      <w:r>
        <w:rPr>
          <w:rFonts w:ascii="宋体" w:hAnsi="宋体" w:cs="宋体" w:eastAsia="宋体" w:hint="default"/>
          <w:spacing w:val="-2"/>
        </w:rPr>
        <w:t>11 </w:t>
      </w:r>
      <w:r>
        <w:rPr>
          <w:spacing w:val="-5"/>
        </w:rPr>
        <w:t>月</w:t>
      </w:r>
      <w:r>
        <w:rPr>
          <w:rFonts w:ascii="宋体" w:hAnsi="宋体" w:cs="宋体" w:eastAsia="宋体" w:hint="default"/>
          <w:spacing w:val="-5"/>
        </w:rPr>
        <w:t>20</w:t>
      </w:r>
      <w:r>
        <w:rPr>
          <w:spacing w:val="-5"/>
        </w:rPr>
        <w:t>日经深圳市人民政府以市特府【</w:t>
      </w:r>
      <w:r>
        <w:rPr>
          <w:rFonts w:ascii="宋体" w:hAnsi="宋体" w:cs="宋体" w:eastAsia="宋体" w:hint="default"/>
          <w:spacing w:val="-5"/>
        </w:rPr>
        <w:t>1981</w:t>
      </w:r>
      <w:r>
        <w:rPr>
          <w:spacing w:val="-5"/>
        </w:rPr>
        <w:t>】</w:t>
      </w:r>
      <w:r>
        <w:rPr>
          <w:rFonts w:ascii="宋体" w:hAnsi="宋体" w:cs="宋体" w:eastAsia="宋体" w:hint="default"/>
          <w:spacing w:val="-5"/>
        </w:rPr>
        <w:t>20</w:t>
      </w:r>
      <w:r>
        <w:rPr>
          <w:spacing w:val="-5"/>
        </w:rPr>
        <w:t>号文批准成立，并于</w:t>
      </w:r>
      <w:r>
        <w:rPr>
          <w:rFonts w:ascii="宋体" w:hAnsi="宋体" w:cs="宋体" w:eastAsia="宋体" w:hint="default"/>
          <w:spacing w:val="-5"/>
        </w:rPr>
        <w:t>1983</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31</w:t>
      </w:r>
      <w:r>
        <w:rPr>
          <w:spacing w:val="-5"/>
        </w:rPr>
        <w:t>日经中国牧工商联合总公司以（</w:t>
      </w:r>
      <w:r>
        <w:rPr>
          <w:rFonts w:ascii="宋体" w:hAnsi="宋体" w:cs="宋体" w:eastAsia="宋体" w:hint="default"/>
          <w:spacing w:val="-5"/>
        </w:rPr>
        <w:t>83</w:t>
      </w:r>
      <w:r>
        <w:rPr>
          <w:spacing w:val="-5"/>
        </w:rPr>
        <w:t>）农牧（办）</w:t>
      </w:r>
      <w:r>
        <w:rPr>
          <w:spacing w:val="-47"/>
        </w:rPr>
        <w:t> </w:t>
      </w:r>
      <w:r>
        <w:rPr>
          <w:spacing w:val="-47"/>
        </w:rPr>
      </w:r>
      <w:r>
        <w:rPr>
          <w:spacing w:val="-2"/>
        </w:rPr>
        <w:t>字第</w:t>
      </w:r>
      <w:r>
        <w:rPr>
          <w:rFonts w:ascii="宋体" w:hAnsi="宋体" w:cs="宋体" w:eastAsia="宋体" w:hint="default"/>
          <w:spacing w:val="-2"/>
        </w:rPr>
        <w:t>02</w:t>
      </w:r>
      <w:r>
        <w:rPr>
          <w:spacing w:val="-2"/>
        </w:rPr>
        <w:t>号文批准更名为深圳华宝牧工商联合公司。</w:t>
      </w:r>
      <w:r>
        <w:rPr>
          <w:rFonts w:ascii="宋体" w:hAnsi="宋体" w:cs="宋体" w:eastAsia="宋体" w:hint="default"/>
          <w:spacing w:val="-2"/>
        </w:rPr>
        <w:t>1993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日经深圳市人民政府以深府办复【</w:t>
      </w:r>
      <w:r>
        <w:rPr>
          <w:rFonts w:ascii="宋体" w:hAnsi="宋体" w:cs="宋体" w:eastAsia="宋体" w:hint="default"/>
          <w:spacing w:val="-2"/>
        </w:rPr>
        <w:t>1993</w:t>
      </w:r>
      <w:r>
        <w:rPr>
          <w:spacing w:val="-2"/>
        </w:rPr>
        <w:t>】</w:t>
      </w:r>
      <w:r>
        <w:rPr>
          <w:rFonts w:ascii="宋体" w:hAnsi="宋体" w:cs="宋体" w:eastAsia="宋体" w:hint="default"/>
          <w:spacing w:val="-2"/>
        </w:rPr>
        <w:t>855</w:t>
      </w:r>
      <w:r>
        <w:rPr>
          <w:spacing w:val="-2"/>
        </w:rPr>
        <w:t>号文批准，由中</w:t>
      </w:r>
      <w:r>
        <w:rPr>
          <w:spacing w:val="-57"/>
        </w:rPr>
        <w:t> </w:t>
      </w:r>
      <w:r>
        <w:rPr>
          <w:spacing w:val="-57"/>
        </w:rPr>
      </w:r>
      <w:r>
        <w:rPr>
          <w:spacing w:val="-2"/>
        </w:rPr>
        <w:t>国牧工商总公司、深圳市宝安区投资管理公司、深圳经济特区食品贸易（集团）公司三家为发起人，通过改组以社会募集方</w:t>
      </w:r>
      <w:r>
        <w:rPr>
          <w:spacing w:val="-67"/>
        </w:rPr>
        <w:t> </w:t>
      </w:r>
      <w:r>
        <w:rPr>
          <w:spacing w:val="-67"/>
        </w:rPr>
      </w:r>
      <w:r>
        <w:rPr/>
        <w:t>式设立深圳市华宝（集团）股份有限公司。本公司于</w:t>
      </w:r>
      <w:r>
        <w:rPr>
          <w:rFonts w:ascii="宋体" w:hAnsi="宋体" w:cs="宋体" w:eastAsia="宋体" w:hint="default"/>
        </w:rPr>
        <w:t>2001</w:t>
      </w:r>
      <w:r>
        <w:rPr/>
        <w:t>年</w:t>
      </w:r>
      <w:r>
        <w:rPr>
          <w:rFonts w:ascii="宋体" w:hAnsi="宋体" w:cs="宋体" w:eastAsia="宋体" w:hint="default"/>
        </w:rPr>
        <w:t>2</w:t>
      </w:r>
      <w:r>
        <w:rPr/>
        <w:t>月</w:t>
      </w:r>
      <w:r>
        <w:rPr>
          <w:rFonts w:ascii="宋体" w:hAnsi="宋体" w:cs="宋体" w:eastAsia="宋体" w:hint="default"/>
        </w:rPr>
        <w:t>27</w:t>
      </w:r>
      <w:r>
        <w:rPr/>
        <w:t>日经深圳市工商行政管理局批准，将公司名称变更为现名 称深圳市深信泰丰（集团）股份有限公司。本公司已领取注册号为</w:t>
      </w:r>
      <w:r>
        <w:rPr>
          <w:rFonts w:ascii="宋体" w:hAnsi="宋体" w:cs="宋体" w:eastAsia="宋体" w:hint="default"/>
        </w:rPr>
        <w:t>440301103553063</w:t>
      </w:r>
      <w:r>
        <w:rPr/>
        <w:t>企业法人营业执照，注册资本为人民币 </w:t>
      </w:r>
      <w:r>
        <w:rPr>
          <w:rFonts w:ascii="宋体" w:hAnsi="宋体" w:cs="宋体" w:eastAsia="宋体" w:hint="default"/>
        </w:rPr>
        <w:t>357,973,531.00</w:t>
      </w:r>
      <w:r>
        <w:rPr/>
        <w:t>元。</w:t>
      </w:r>
    </w:p>
    <w:p>
      <w:pPr>
        <w:pStyle w:val="BodyText"/>
        <w:spacing w:line="240" w:lineRule="auto" w:before="55"/>
        <w:ind w:left="513" w:right="0"/>
        <w:jc w:val="left"/>
      </w:pPr>
      <w:r>
        <w:rPr>
          <w:rFonts w:ascii="宋体" w:hAnsi="宋体" w:cs="宋体" w:eastAsia="宋体" w:hint="default"/>
        </w:rPr>
        <w:t>1</w:t>
      </w:r>
      <w:r>
        <w:rPr/>
        <w:t>、股东所持公司的法人股发生的股权转让事宜：</w:t>
      </w:r>
    </w:p>
    <w:p>
      <w:pPr>
        <w:spacing w:line="240" w:lineRule="auto" w:before="10"/>
        <w:rPr>
          <w:rFonts w:ascii="宋体" w:hAnsi="宋体" w:cs="宋体" w:eastAsia="宋体" w:hint="default"/>
          <w:sz w:val="17"/>
          <w:szCs w:val="17"/>
        </w:rPr>
      </w:pPr>
    </w:p>
    <w:p>
      <w:pPr>
        <w:pStyle w:val="BodyText"/>
        <w:spacing w:line="477" w:lineRule="auto"/>
        <w:ind w:right="1136" w:firstLine="360"/>
        <w:jc w:val="both"/>
      </w:pPr>
      <w:r>
        <w:rPr/>
        <w:t>（</w:t>
      </w:r>
      <w:r>
        <w:rPr>
          <w:rFonts w:ascii="宋体" w:hAnsi="宋体" w:cs="宋体" w:eastAsia="宋体" w:hint="default"/>
        </w:rPr>
        <w:t>1</w:t>
      </w:r>
      <w:r>
        <w:rPr/>
        <w:t>）深圳市证券管理办公室于</w:t>
      </w:r>
      <w:r>
        <w:rPr>
          <w:rFonts w:ascii="宋体" w:hAnsi="宋体" w:cs="宋体" w:eastAsia="宋体" w:hint="default"/>
        </w:rPr>
        <w:t>1999</w:t>
      </w:r>
      <w:r>
        <w:rPr/>
        <w:t>年</w:t>
      </w:r>
      <w:r>
        <w:rPr>
          <w:rFonts w:ascii="宋体" w:hAnsi="宋体" w:cs="宋体" w:eastAsia="宋体" w:hint="default"/>
        </w:rPr>
        <w:t>9</w:t>
      </w:r>
      <w:r>
        <w:rPr/>
        <w:t>月</w:t>
      </w:r>
      <w:r>
        <w:rPr>
          <w:rFonts w:ascii="宋体" w:hAnsi="宋体" w:cs="宋体" w:eastAsia="宋体" w:hint="default"/>
        </w:rPr>
        <w:t>9</w:t>
      </w:r>
      <w:r>
        <w:rPr/>
        <w:t>日以深证办复【</w:t>
      </w:r>
      <w:r>
        <w:rPr>
          <w:rFonts w:ascii="宋体" w:hAnsi="宋体" w:cs="宋体" w:eastAsia="宋体" w:hint="default"/>
        </w:rPr>
        <w:t>1999</w:t>
      </w:r>
      <w:r>
        <w:rPr/>
        <w:t>】</w:t>
      </w:r>
      <w:r>
        <w:rPr>
          <w:rFonts w:ascii="宋体" w:hAnsi="宋体" w:cs="宋体" w:eastAsia="宋体" w:hint="default"/>
        </w:rPr>
        <w:t>42</w:t>
      </w:r>
      <w:r>
        <w:rPr/>
        <w:t>号文批准，以及经财政部于</w:t>
      </w:r>
      <w:r>
        <w:rPr>
          <w:rFonts w:ascii="宋体" w:hAnsi="宋体" w:cs="宋体" w:eastAsia="宋体" w:hint="default"/>
        </w:rPr>
        <w:t>1999</w:t>
      </w:r>
      <w:r>
        <w:rPr/>
        <w:t>年</w:t>
      </w:r>
      <w:r>
        <w:rPr>
          <w:rFonts w:ascii="宋体" w:hAnsi="宋体" w:cs="宋体" w:eastAsia="宋体" w:hint="default"/>
        </w:rPr>
        <w:t>11</w:t>
      </w:r>
      <w:r>
        <w:rPr/>
        <w:t>月</w:t>
      </w:r>
      <w:r>
        <w:rPr>
          <w:rFonts w:ascii="宋体" w:hAnsi="宋体" w:cs="宋体" w:eastAsia="宋体" w:hint="default"/>
        </w:rPr>
        <w:t>24</w:t>
      </w:r>
      <w:r>
        <w:rPr/>
        <w:t>日以财管 字【</w:t>
      </w:r>
      <w:r>
        <w:rPr>
          <w:rFonts w:ascii="宋体" w:hAnsi="宋体" w:cs="宋体" w:eastAsia="宋体" w:hint="default"/>
        </w:rPr>
        <w:t>1999</w:t>
      </w:r>
      <w:r>
        <w:rPr/>
        <w:t>】</w:t>
      </w:r>
      <w:r>
        <w:rPr>
          <w:rFonts w:ascii="宋体" w:hAnsi="宋体" w:cs="宋体" w:eastAsia="宋体" w:hint="default"/>
        </w:rPr>
        <w:t>362</w:t>
      </w:r>
      <w:r>
        <w:rPr/>
        <w:t>号文批准，由深圳国际信托投资有限责任公司受让本公司原股东—中国牧工商（集团）总公司持有的本公司 法人股份</w:t>
      </w:r>
      <w:r>
        <w:rPr>
          <w:rFonts w:ascii="宋体" w:hAnsi="宋体" w:cs="宋体" w:eastAsia="宋体" w:hint="default"/>
        </w:rPr>
        <w:t>77,886,656</w:t>
      </w:r>
      <w:r>
        <w:rPr/>
        <w:t>股，并办妥股权过户手续。转让完成后，中国牧工商（集团）总公司不再持有本公司股权。</w:t>
      </w:r>
    </w:p>
    <w:p>
      <w:pPr>
        <w:pStyle w:val="BodyText"/>
        <w:spacing w:line="240" w:lineRule="auto" w:before="54"/>
        <w:ind w:left="513" w:right="0"/>
        <w:jc w:val="left"/>
        <w:rPr>
          <w:rFonts w:ascii="宋体" w:hAnsi="宋体" w:cs="宋体" w:eastAsia="宋体" w:hint="default"/>
        </w:rPr>
      </w:pPr>
      <w:r>
        <w:rPr/>
        <w:t>（</w:t>
      </w:r>
      <w:r>
        <w:rPr>
          <w:rFonts w:ascii="宋体" w:hAnsi="宋体" w:cs="宋体" w:eastAsia="宋体" w:hint="default"/>
        </w:rPr>
        <w:t>2</w:t>
      </w:r>
      <w:r>
        <w:rPr/>
        <w:t>）深圳市宝安区人民政府于</w:t>
      </w:r>
      <w:r>
        <w:rPr>
          <w:rFonts w:ascii="宋体" w:hAnsi="宋体" w:cs="宋体" w:eastAsia="宋体" w:hint="default"/>
        </w:rPr>
        <w:t>1999</w:t>
      </w:r>
      <w:r>
        <w:rPr/>
        <w:t>年</w:t>
      </w:r>
      <w:r>
        <w:rPr>
          <w:rFonts w:ascii="宋体" w:hAnsi="宋体" w:cs="宋体" w:eastAsia="宋体" w:hint="default"/>
        </w:rPr>
        <w:t>9</w:t>
      </w:r>
      <w:r>
        <w:rPr/>
        <w:t>月</w:t>
      </w:r>
      <w:r>
        <w:rPr>
          <w:rFonts w:ascii="宋体" w:hAnsi="宋体" w:cs="宋体" w:eastAsia="宋体" w:hint="default"/>
        </w:rPr>
        <w:t>9</w:t>
      </w:r>
      <w:r>
        <w:rPr/>
        <w:t>日以深宝府函【</w:t>
      </w:r>
      <w:r>
        <w:rPr>
          <w:rFonts w:ascii="宋体" w:hAnsi="宋体" w:cs="宋体" w:eastAsia="宋体" w:hint="default"/>
        </w:rPr>
        <w:t>1999</w:t>
      </w:r>
      <w:r>
        <w:rPr/>
        <w:t>】</w:t>
      </w:r>
      <w:r>
        <w:rPr>
          <w:rFonts w:ascii="宋体" w:hAnsi="宋体" w:cs="宋体" w:eastAsia="宋体" w:hint="default"/>
        </w:rPr>
        <w:t>29</w:t>
      </w:r>
      <w:r>
        <w:rPr/>
        <w:t>号文批准、深圳市国有资产管理办公室于</w:t>
      </w:r>
      <w:r>
        <w:rPr>
          <w:rFonts w:ascii="宋体" w:hAnsi="宋体" w:cs="宋体" w:eastAsia="宋体" w:hint="default"/>
        </w:rPr>
        <w:t>1999</w:t>
      </w:r>
      <w:r>
        <w:rPr/>
        <w:t>年</w:t>
      </w:r>
      <w:r>
        <w:rPr>
          <w:rFonts w:ascii="宋体" w:hAnsi="宋体" w:cs="宋体" w:eastAsia="宋体" w:hint="default"/>
        </w:rPr>
        <w:t>9</w:t>
      </w:r>
    </w:p>
    <w:p>
      <w:pPr>
        <w:spacing w:line="240" w:lineRule="auto" w:before="10"/>
        <w:rPr>
          <w:rFonts w:ascii="宋体" w:hAnsi="宋体" w:cs="宋体" w:eastAsia="宋体" w:hint="default"/>
          <w:sz w:val="17"/>
          <w:szCs w:val="17"/>
        </w:rPr>
      </w:pPr>
    </w:p>
    <w:p>
      <w:pPr>
        <w:pStyle w:val="BodyText"/>
        <w:spacing w:line="240" w:lineRule="auto"/>
        <w:ind w:right="0"/>
        <w:jc w:val="left"/>
      </w:pPr>
      <w:r>
        <w:rPr/>
        <w:t>月</w:t>
      </w:r>
      <w:r>
        <w:rPr>
          <w:rFonts w:ascii="宋体" w:hAnsi="宋体" w:cs="宋体" w:eastAsia="宋体" w:hint="default"/>
        </w:rPr>
        <w:t>3</w:t>
      </w:r>
      <w:r>
        <w:rPr/>
        <w:t>日以【</w:t>
      </w:r>
      <w:r>
        <w:rPr>
          <w:rFonts w:ascii="宋体" w:hAnsi="宋体" w:cs="宋体" w:eastAsia="宋体" w:hint="default"/>
        </w:rPr>
        <w:t>1999</w:t>
      </w:r>
      <w:r>
        <w:rPr/>
        <w:t>】</w:t>
      </w:r>
      <w:r>
        <w:rPr>
          <w:rFonts w:ascii="宋体" w:hAnsi="宋体" w:cs="宋体" w:eastAsia="宋体" w:hint="default"/>
        </w:rPr>
        <w:t>65</w:t>
      </w:r>
      <w:r>
        <w:rPr/>
        <w:t>号文批准，以及深圳市证券管理办公室于</w:t>
      </w:r>
      <w:r>
        <w:rPr>
          <w:rFonts w:ascii="宋体" w:hAnsi="宋体" w:cs="宋体" w:eastAsia="宋体" w:hint="default"/>
        </w:rPr>
        <w:t>1999</w:t>
      </w:r>
      <w:r>
        <w:rPr/>
        <w:t>年</w:t>
      </w:r>
      <w:r>
        <w:rPr>
          <w:rFonts w:ascii="宋体" w:hAnsi="宋体" w:cs="宋体" w:eastAsia="宋体" w:hint="default"/>
        </w:rPr>
        <w:t>9</w:t>
      </w:r>
      <w:r>
        <w:rPr/>
        <w:t>月</w:t>
      </w:r>
      <w:r>
        <w:rPr>
          <w:rFonts w:ascii="宋体" w:hAnsi="宋体" w:cs="宋体" w:eastAsia="宋体" w:hint="default"/>
        </w:rPr>
        <w:t>9</w:t>
      </w:r>
      <w:r>
        <w:rPr/>
        <w:t>日以深证办复【</w:t>
      </w:r>
      <w:r>
        <w:rPr>
          <w:rFonts w:ascii="宋体" w:hAnsi="宋体" w:cs="宋体" w:eastAsia="宋体" w:hint="default"/>
        </w:rPr>
        <w:t>1999</w:t>
      </w:r>
      <w:r>
        <w:rPr/>
        <w:t>】</w:t>
      </w:r>
      <w:r>
        <w:rPr>
          <w:rFonts w:ascii="宋体" w:hAnsi="宋体" w:cs="宋体" w:eastAsia="宋体" w:hint="default"/>
        </w:rPr>
        <w:t>42</w:t>
      </w:r>
      <w:r>
        <w:rPr/>
        <w:t>号文批准，以及经财政部</w:t>
      </w:r>
    </w:p>
    <w:p>
      <w:pPr>
        <w:spacing w:after="0" w:line="240" w:lineRule="auto"/>
        <w:jc w:val="left"/>
        <w:sectPr>
          <w:pgSz w:w="11910" w:h="16840"/>
          <w:pgMar w:header="745" w:footer="128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8"/>
        <w:jc w:val="both"/>
      </w:pPr>
      <w:r>
        <w:rPr/>
        <w:t>于</w:t>
      </w:r>
      <w:r>
        <w:rPr>
          <w:rFonts w:ascii="宋体" w:hAnsi="宋体" w:cs="宋体" w:eastAsia="宋体" w:hint="default"/>
        </w:rPr>
        <w:t>1999</w:t>
      </w:r>
      <w:r>
        <w:rPr/>
        <w:t>年</w:t>
      </w:r>
      <w:r>
        <w:rPr>
          <w:rFonts w:ascii="宋体" w:hAnsi="宋体" w:cs="宋体" w:eastAsia="宋体" w:hint="default"/>
        </w:rPr>
        <w:t>11</w:t>
      </w:r>
      <w:r>
        <w:rPr/>
        <w:t>月</w:t>
      </w:r>
      <w:r>
        <w:rPr>
          <w:rFonts w:ascii="宋体" w:hAnsi="宋体" w:cs="宋体" w:eastAsia="宋体" w:hint="default"/>
        </w:rPr>
        <w:t>24</w:t>
      </w:r>
      <w:r>
        <w:rPr/>
        <w:t>日以财管字【</w:t>
      </w:r>
      <w:r>
        <w:rPr>
          <w:rFonts w:ascii="宋体" w:hAnsi="宋体" w:cs="宋体" w:eastAsia="宋体" w:hint="default"/>
        </w:rPr>
        <w:t>1999</w:t>
      </w:r>
      <w:r>
        <w:rPr/>
        <w:t>】</w:t>
      </w:r>
      <w:r>
        <w:rPr>
          <w:rFonts w:ascii="宋体" w:hAnsi="宋体" w:cs="宋体" w:eastAsia="宋体" w:hint="default"/>
        </w:rPr>
        <w:t>362</w:t>
      </w:r>
      <w:r>
        <w:rPr/>
        <w:t>号文批准由深圳国际信托投资有限责任公司受让本公司原第一大股东—深圳市宝安 区投资管理公司持有的本公司国家股份</w:t>
      </w:r>
      <w:r>
        <w:rPr>
          <w:rFonts w:ascii="宋体" w:hAnsi="宋体" w:cs="宋体" w:eastAsia="宋体" w:hint="default"/>
        </w:rPr>
        <w:t>71,335,413</w:t>
      </w:r>
      <w:r>
        <w:rPr/>
        <w:t>股。</w:t>
      </w:r>
    </w:p>
    <w:p>
      <w:pPr>
        <w:pStyle w:val="BodyText"/>
        <w:spacing w:line="477" w:lineRule="auto" w:before="54"/>
        <w:ind w:right="1124" w:firstLine="360"/>
        <w:jc w:val="left"/>
      </w:pPr>
      <w:r>
        <w:rPr>
          <w:rFonts w:ascii="宋体" w:hAnsi="宋体" w:cs="宋体" w:eastAsia="宋体" w:hint="default"/>
        </w:rPr>
        <w:t>2002</w:t>
      </w:r>
      <w:r>
        <w:rPr/>
        <w:t>年</w:t>
      </w:r>
      <w:r>
        <w:rPr>
          <w:rFonts w:ascii="宋体" w:hAnsi="宋体" w:cs="宋体" w:eastAsia="宋体" w:hint="default"/>
        </w:rPr>
        <w:t>10</w:t>
      </w:r>
      <w:r>
        <w:rPr/>
        <w:t>月</w:t>
      </w:r>
      <w:r>
        <w:rPr>
          <w:rFonts w:ascii="宋体" w:hAnsi="宋体" w:cs="宋体" w:eastAsia="宋体" w:hint="default"/>
        </w:rPr>
        <w:t>16</w:t>
      </w:r>
      <w:r>
        <w:rPr/>
        <w:t>日</w:t>
      </w:r>
      <w:r>
        <w:rPr>
          <w:rFonts w:ascii="宋体" w:hAnsi="宋体" w:cs="宋体" w:eastAsia="宋体" w:hint="default"/>
        </w:rPr>
        <w:t>,</w:t>
      </w:r>
      <w:r>
        <w:rPr/>
        <w:t>深圳市宝安区投资管理公司与深圳国际信托投资有限责任公司重新签定了《股权转让协议书》，根据 </w:t>
      </w:r>
      <w:r>
        <w:rPr>
          <w:spacing w:val="-2"/>
        </w:rPr>
        <w:t>审计后本公司</w:t>
      </w:r>
      <w:r>
        <w:rPr>
          <w:rFonts w:ascii="宋体" w:hAnsi="宋体" w:cs="宋体" w:eastAsia="宋体" w:hint="default"/>
          <w:spacing w:val="-2"/>
        </w:rPr>
        <w:t>2001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日净资产，上述股权转让价格为</w:t>
      </w:r>
      <w:r>
        <w:rPr>
          <w:rFonts w:ascii="宋体" w:hAnsi="宋体" w:cs="宋体" w:eastAsia="宋体" w:hint="default"/>
          <w:spacing w:val="-2"/>
        </w:rPr>
        <w:t>1.16</w:t>
      </w:r>
      <w:r>
        <w:rPr>
          <w:spacing w:val="-2"/>
        </w:rPr>
        <w:t>元</w:t>
      </w:r>
      <w:r>
        <w:rPr>
          <w:rFonts w:ascii="宋体" w:hAnsi="宋体" w:cs="宋体" w:eastAsia="宋体" w:hint="default"/>
          <w:spacing w:val="-2"/>
        </w:rPr>
        <w:t>/</w:t>
      </w:r>
      <w:r>
        <w:rPr>
          <w:spacing w:val="-2"/>
        </w:rPr>
        <w:t>股，总价款为</w:t>
      </w:r>
      <w:r>
        <w:rPr>
          <w:rFonts w:ascii="宋体" w:hAnsi="宋体" w:cs="宋体" w:eastAsia="宋体" w:hint="default"/>
          <w:spacing w:val="-2"/>
        </w:rPr>
        <w:t>82,749,079.08</w:t>
      </w:r>
      <w:r>
        <w:rPr>
          <w:spacing w:val="-2"/>
        </w:rPr>
        <w:t>元。该事项已获财政部财企</w:t>
      </w:r>
    </w:p>
    <w:p>
      <w:pPr>
        <w:pStyle w:val="BodyText"/>
        <w:spacing w:line="240" w:lineRule="auto" w:before="54"/>
        <w:ind w:right="0"/>
        <w:jc w:val="both"/>
      </w:pPr>
      <w:r>
        <w:rPr/>
        <w:t>【</w:t>
      </w:r>
      <w:r>
        <w:rPr>
          <w:rFonts w:ascii="宋体" w:hAnsi="宋体" w:cs="宋体" w:eastAsia="宋体" w:hint="default"/>
        </w:rPr>
        <w:t>2003</w:t>
      </w:r>
      <w:r>
        <w:rPr/>
        <w:t>】</w:t>
      </w:r>
      <w:r>
        <w:rPr>
          <w:rFonts w:ascii="宋体" w:hAnsi="宋体" w:cs="宋体" w:eastAsia="宋体" w:hint="default"/>
        </w:rPr>
        <w:t>64</w:t>
      </w:r>
      <w:r>
        <w:rPr/>
        <w:t>号文批复、中国证监会证监公司字【</w:t>
      </w:r>
      <w:r>
        <w:rPr>
          <w:rFonts w:ascii="宋体" w:hAnsi="宋体" w:cs="宋体" w:eastAsia="宋体" w:hint="default"/>
        </w:rPr>
        <w:t>2003</w:t>
      </w:r>
      <w:r>
        <w:rPr/>
        <w:t>】</w:t>
      </w:r>
      <w:r>
        <w:rPr>
          <w:rFonts w:ascii="宋体" w:hAnsi="宋体" w:cs="宋体" w:eastAsia="宋体" w:hint="default"/>
        </w:rPr>
        <w:t>38</w:t>
      </w:r>
      <w:r>
        <w:rPr/>
        <w:t>号文批复，并办妥股权过户手续。</w:t>
      </w:r>
    </w:p>
    <w:p>
      <w:pPr>
        <w:spacing w:line="240" w:lineRule="auto" w:before="10"/>
        <w:rPr>
          <w:rFonts w:ascii="宋体" w:hAnsi="宋体" w:cs="宋体" w:eastAsia="宋体" w:hint="default"/>
          <w:sz w:val="17"/>
          <w:szCs w:val="17"/>
        </w:rPr>
      </w:pPr>
    </w:p>
    <w:p>
      <w:pPr>
        <w:pStyle w:val="BodyText"/>
        <w:spacing w:line="477" w:lineRule="auto"/>
        <w:ind w:right="1124" w:firstLine="360"/>
        <w:jc w:val="left"/>
      </w:pPr>
      <w:r>
        <w:rPr/>
        <w:t>（</w:t>
      </w:r>
      <w:r>
        <w:rPr>
          <w:rFonts w:ascii="宋体" w:hAnsi="宋体" w:cs="宋体" w:eastAsia="宋体" w:hint="default"/>
        </w:rPr>
        <w:t>3</w:t>
      </w:r>
      <w:r>
        <w:rPr/>
        <w:t>）深圳市宝安区人民政府于</w:t>
      </w:r>
      <w:r>
        <w:rPr>
          <w:rFonts w:ascii="宋体" w:hAnsi="宋体" w:cs="宋体" w:eastAsia="宋体" w:hint="default"/>
        </w:rPr>
        <w:t>2000</w:t>
      </w:r>
      <w:r>
        <w:rPr/>
        <w:t>年</w:t>
      </w:r>
      <w:r>
        <w:rPr>
          <w:rFonts w:ascii="宋体" w:hAnsi="宋体" w:cs="宋体" w:eastAsia="宋体" w:hint="default"/>
        </w:rPr>
        <w:t>10</w:t>
      </w:r>
      <w:r>
        <w:rPr/>
        <w:t>月</w:t>
      </w:r>
      <w:r>
        <w:rPr>
          <w:rFonts w:ascii="宋体" w:hAnsi="宋体" w:cs="宋体" w:eastAsia="宋体" w:hint="default"/>
        </w:rPr>
        <w:t>19</w:t>
      </w:r>
      <w:r>
        <w:rPr/>
        <w:t>日以深宝函【</w:t>
      </w:r>
      <w:r>
        <w:rPr>
          <w:rFonts w:ascii="宋体" w:hAnsi="宋体" w:cs="宋体" w:eastAsia="宋体" w:hint="default"/>
        </w:rPr>
        <w:t>2000</w:t>
      </w:r>
      <w:r>
        <w:rPr/>
        <w:t>】</w:t>
      </w:r>
      <w:r>
        <w:rPr>
          <w:rFonts w:ascii="宋体" w:hAnsi="宋体" w:cs="宋体" w:eastAsia="宋体" w:hint="default"/>
        </w:rPr>
        <w:t>42</w:t>
      </w:r>
      <w:r>
        <w:rPr/>
        <w:t>号文批准，由深圳泰丰电子有限公司受让本公司原 股东—深圳市宝安区投资管理公司持有的公司国家股</w:t>
      </w:r>
      <w:r>
        <w:rPr>
          <w:rFonts w:ascii="宋体" w:hAnsi="宋体" w:cs="宋体" w:eastAsia="宋体" w:hint="default"/>
        </w:rPr>
        <w:t>24,891,152</w:t>
      </w:r>
      <w:r>
        <w:rPr/>
        <w:t>股。</w:t>
      </w:r>
    </w:p>
    <w:p>
      <w:pPr>
        <w:pStyle w:val="BodyText"/>
        <w:spacing w:line="477" w:lineRule="auto" w:before="54"/>
        <w:ind w:right="0" w:firstLine="360"/>
        <w:jc w:val="left"/>
      </w:pPr>
      <w:r>
        <w:rPr>
          <w:rFonts w:ascii="宋体" w:hAnsi="宋体" w:cs="宋体" w:eastAsia="宋体" w:hint="default"/>
          <w:spacing w:val="-2"/>
        </w:rPr>
        <w:t>2002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日，深圳市宝安区投资管理公司与深圳泰丰电子有限公司重新签定了《股权转让协议书》，根据审计后的</w:t>
      </w:r>
      <w:r>
        <w:rPr/>
        <w:t> </w:t>
      </w:r>
      <w:r>
        <w:rPr>
          <w:spacing w:val="-3"/>
        </w:rPr>
        <w:t>本公司</w:t>
      </w:r>
      <w:r>
        <w:rPr>
          <w:rFonts w:ascii="宋体" w:hAnsi="宋体" w:cs="宋体" w:eastAsia="宋体" w:hint="default"/>
          <w:spacing w:val="-3"/>
        </w:rPr>
        <w:t>2001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日净资产，上述股权转让价格为</w:t>
      </w:r>
      <w:r>
        <w:rPr>
          <w:rFonts w:ascii="宋体" w:hAnsi="宋体" w:cs="宋体" w:eastAsia="宋体" w:hint="default"/>
          <w:spacing w:val="-3"/>
        </w:rPr>
        <w:t>1.16</w:t>
      </w:r>
      <w:r>
        <w:rPr>
          <w:spacing w:val="-3"/>
        </w:rPr>
        <w:t>元</w:t>
      </w:r>
      <w:r>
        <w:rPr>
          <w:rFonts w:ascii="宋体" w:hAnsi="宋体" w:cs="宋体" w:eastAsia="宋体" w:hint="default"/>
          <w:spacing w:val="-3"/>
        </w:rPr>
        <w:t>/</w:t>
      </w:r>
      <w:r>
        <w:rPr>
          <w:spacing w:val="-3"/>
        </w:rPr>
        <w:t>股，总价款为</w:t>
      </w:r>
      <w:r>
        <w:rPr>
          <w:rFonts w:ascii="宋体" w:hAnsi="宋体" w:cs="宋体" w:eastAsia="宋体" w:hint="default"/>
          <w:spacing w:val="-3"/>
        </w:rPr>
        <w:t>28,873,736.32</w:t>
      </w:r>
      <w:r>
        <w:rPr>
          <w:spacing w:val="-3"/>
        </w:rPr>
        <w:t>元。该事项已获财政部财企【</w:t>
      </w:r>
      <w:r>
        <w:rPr>
          <w:rFonts w:ascii="宋体" w:hAnsi="宋体" w:cs="宋体" w:eastAsia="宋体" w:hint="default"/>
          <w:spacing w:val="-3"/>
        </w:rPr>
        <w:t>2003</w:t>
      </w:r>
      <w:r>
        <w:rPr>
          <w:spacing w:val="-3"/>
        </w:rPr>
        <w:t>】</w:t>
      </w:r>
      <w:r>
        <w:rPr>
          <w:spacing w:val="-70"/>
        </w:rPr>
        <w:t> </w:t>
      </w:r>
      <w:r>
        <w:rPr>
          <w:rFonts w:ascii="宋体" w:hAnsi="宋体" w:cs="宋体" w:eastAsia="宋体" w:hint="default"/>
        </w:rPr>
        <w:t>64</w:t>
      </w:r>
      <w:r>
        <w:rPr/>
        <w:t>号文批复，并办妥股权过户手续。</w:t>
      </w:r>
    </w:p>
    <w:p>
      <w:pPr>
        <w:pStyle w:val="BodyText"/>
        <w:spacing w:line="240" w:lineRule="auto" w:before="54"/>
        <w:ind w:left="513" w:right="0"/>
        <w:jc w:val="left"/>
      </w:pPr>
      <w:r>
        <w:rPr/>
        <w:t>此次股权转让后，深圳市宝安区投资管理公司尚持有本公司股份为</w:t>
      </w:r>
      <w:r>
        <w:rPr>
          <w:rFonts w:ascii="宋体" w:hAnsi="宋体" w:cs="宋体" w:eastAsia="宋体" w:hint="default"/>
        </w:rPr>
        <w:t>37,329,007</w:t>
      </w:r>
      <w:r>
        <w:rPr/>
        <w:t>股。</w:t>
      </w:r>
    </w:p>
    <w:p>
      <w:pPr>
        <w:spacing w:line="240" w:lineRule="auto" w:before="10"/>
        <w:rPr>
          <w:rFonts w:ascii="宋体" w:hAnsi="宋体" w:cs="宋体" w:eastAsia="宋体" w:hint="default"/>
          <w:sz w:val="17"/>
          <w:szCs w:val="17"/>
        </w:rPr>
      </w:pPr>
    </w:p>
    <w:p>
      <w:pPr>
        <w:pStyle w:val="BodyText"/>
        <w:spacing w:line="477" w:lineRule="auto"/>
        <w:ind w:right="1124" w:firstLine="360"/>
        <w:jc w:val="left"/>
      </w:pPr>
      <w:r>
        <w:rPr/>
        <w:t>（</w:t>
      </w:r>
      <w:r>
        <w:rPr>
          <w:rFonts w:ascii="宋体" w:hAnsi="宋体" w:cs="宋体" w:eastAsia="宋体" w:hint="default"/>
        </w:rPr>
        <w:t>4</w:t>
      </w:r>
      <w:r>
        <w:rPr/>
        <w:t>）深圳市投资管理公司于</w:t>
      </w:r>
      <w:r>
        <w:rPr>
          <w:rFonts w:ascii="宋体" w:hAnsi="宋体" w:cs="宋体" w:eastAsia="宋体" w:hint="default"/>
        </w:rPr>
        <w:t>2000</w:t>
      </w:r>
      <w:r>
        <w:rPr/>
        <w:t>年</w:t>
      </w:r>
      <w:r>
        <w:rPr>
          <w:rFonts w:ascii="宋体" w:hAnsi="宋体" w:cs="宋体" w:eastAsia="宋体" w:hint="default"/>
        </w:rPr>
        <w:t>12</w:t>
      </w:r>
      <w:r>
        <w:rPr/>
        <w:t>月</w:t>
      </w:r>
      <w:r>
        <w:rPr>
          <w:rFonts w:ascii="宋体" w:hAnsi="宋体" w:cs="宋体" w:eastAsia="宋体" w:hint="default"/>
        </w:rPr>
        <w:t>8</w:t>
      </w:r>
      <w:r>
        <w:rPr/>
        <w:t>日以深投【</w:t>
      </w:r>
      <w:r>
        <w:rPr>
          <w:rFonts w:ascii="宋体" w:hAnsi="宋体" w:cs="宋体" w:eastAsia="宋体" w:hint="default"/>
        </w:rPr>
        <w:t>2000</w:t>
      </w:r>
      <w:r>
        <w:rPr/>
        <w:t>】</w:t>
      </w:r>
      <w:r>
        <w:rPr>
          <w:rFonts w:ascii="宋体" w:hAnsi="宋体" w:cs="宋体" w:eastAsia="宋体" w:hint="default"/>
        </w:rPr>
        <w:t>411</w:t>
      </w:r>
      <w:r>
        <w:rPr/>
        <w:t>号批准，由深圳泰丰电子有限公司受让公司原股东—深 圳市国际信托投资有限责任公司持有的本公司法人股</w:t>
      </w:r>
      <w:r>
        <w:rPr>
          <w:rFonts w:ascii="宋体" w:hAnsi="宋体" w:cs="宋体" w:eastAsia="宋体" w:hint="default"/>
        </w:rPr>
        <w:t>57,560,789</w:t>
      </w:r>
      <w:r>
        <w:rPr/>
        <w:t>股，因需政府其他部门批准，故未办理股权过户手续。</w:t>
      </w:r>
    </w:p>
    <w:p>
      <w:pPr>
        <w:pStyle w:val="BodyText"/>
        <w:spacing w:line="477" w:lineRule="auto" w:before="54"/>
        <w:ind w:right="0" w:firstLine="360"/>
        <w:jc w:val="left"/>
      </w:pPr>
      <w:r>
        <w:rPr>
          <w:spacing w:val="-2"/>
        </w:rPr>
        <w:t>（</w:t>
      </w:r>
      <w:r>
        <w:rPr>
          <w:rFonts w:ascii="宋体" w:hAnsi="宋体" w:cs="宋体" w:eastAsia="宋体" w:hint="default"/>
          <w:spacing w:val="-2"/>
        </w:rPr>
        <w:t>5</w:t>
      </w:r>
      <w:r>
        <w:rPr>
          <w:spacing w:val="-2"/>
        </w:rPr>
        <w:t>）国务院国有资产监督管理委员会于</w:t>
      </w:r>
      <w:r>
        <w:rPr>
          <w:rFonts w:ascii="宋体" w:hAnsi="宋体" w:cs="宋体" w:eastAsia="宋体" w:hint="default"/>
          <w:spacing w:val="-2"/>
        </w:rPr>
        <w:t>2006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5</w:t>
      </w:r>
      <w:r>
        <w:rPr>
          <w:spacing w:val="-2"/>
        </w:rPr>
        <w:t>日以国资产权【</w:t>
      </w:r>
      <w:r>
        <w:rPr>
          <w:rFonts w:ascii="宋体" w:hAnsi="宋体" w:cs="宋体" w:eastAsia="宋体" w:hint="default"/>
          <w:spacing w:val="-2"/>
        </w:rPr>
        <w:t>2006</w:t>
      </w:r>
      <w:r>
        <w:rPr>
          <w:spacing w:val="-2"/>
        </w:rPr>
        <w:t>】</w:t>
      </w:r>
      <w:r>
        <w:rPr>
          <w:rFonts w:ascii="宋体" w:hAnsi="宋体" w:cs="宋体" w:eastAsia="宋体" w:hint="default"/>
          <w:spacing w:val="-2"/>
        </w:rPr>
        <w:t>106</w:t>
      </w:r>
      <w:r>
        <w:rPr>
          <w:spacing w:val="-2"/>
        </w:rPr>
        <w:t>号批准，由中国希格玛有限公司受让公司</w:t>
      </w:r>
      <w:r>
        <w:rPr/>
        <w:t> 原股东—深圳市国际信托投资有限责任公司持有的本公司国有股</w:t>
      </w:r>
      <w:r>
        <w:rPr>
          <w:rFonts w:ascii="宋体" w:hAnsi="宋体" w:cs="宋体" w:eastAsia="宋体" w:hint="default"/>
        </w:rPr>
        <w:t>91,661,280</w:t>
      </w:r>
      <w:r>
        <w:rPr/>
        <w:t>股，并办妥股权过户手续。</w:t>
      </w:r>
    </w:p>
    <w:p>
      <w:pPr>
        <w:pStyle w:val="BodyText"/>
        <w:spacing w:line="477" w:lineRule="auto" w:before="54"/>
        <w:ind w:right="0" w:firstLine="360"/>
        <w:jc w:val="left"/>
      </w:pPr>
      <w:r>
        <w:rPr>
          <w:spacing w:val="-2"/>
        </w:rPr>
        <w:t>（</w:t>
      </w:r>
      <w:r>
        <w:rPr>
          <w:rFonts w:ascii="宋体" w:hAnsi="宋体" w:cs="宋体" w:eastAsia="宋体" w:hint="default"/>
          <w:spacing w:val="-2"/>
        </w:rPr>
        <w:t>6</w:t>
      </w:r>
      <w:r>
        <w:rPr>
          <w:spacing w:val="-2"/>
        </w:rPr>
        <w:t>）由于深圳泰丰电子有限公司持有的本公司</w:t>
      </w:r>
      <w:r>
        <w:rPr>
          <w:rFonts w:ascii="宋体" w:hAnsi="宋体" w:cs="宋体" w:eastAsia="宋体" w:hint="default"/>
          <w:spacing w:val="-2"/>
        </w:rPr>
        <w:t>24,891,152</w:t>
      </w:r>
      <w:r>
        <w:rPr>
          <w:spacing w:val="-2"/>
        </w:rPr>
        <w:t>股法人股被北京市第一中级人民法院于</w:t>
      </w:r>
      <w:r>
        <w:rPr>
          <w:rFonts w:ascii="宋体" w:hAnsi="宋体" w:cs="宋体" w:eastAsia="宋体" w:hint="default"/>
          <w:spacing w:val="-2"/>
        </w:rPr>
        <w:t>2006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28</w:t>
      </w:r>
      <w:r>
        <w:rPr>
          <w:spacing w:val="-2"/>
        </w:rPr>
        <w:t>日公开拍</w:t>
      </w:r>
      <w:r>
        <w:rPr/>
        <w:t> </w:t>
      </w:r>
      <w:r>
        <w:rPr>
          <w:spacing w:val="-3"/>
        </w:rPr>
        <w:t>卖。上海灵竹投资咨询有限公司、上海美佳商贸有限公司以联合竞拍方式各得</w:t>
      </w:r>
      <w:r>
        <w:rPr>
          <w:rFonts w:ascii="宋体" w:hAnsi="宋体" w:cs="宋体" w:eastAsia="宋体" w:hint="default"/>
          <w:spacing w:val="-3"/>
        </w:rPr>
        <w:t>12,445,576</w:t>
      </w:r>
      <w:r>
        <w:rPr>
          <w:spacing w:val="-3"/>
        </w:rPr>
        <w:t>股，并于</w:t>
      </w:r>
      <w:r>
        <w:rPr>
          <w:rFonts w:ascii="宋体" w:hAnsi="宋体" w:cs="宋体" w:eastAsia="宋体" w:hint="default"/>
          <w:spacing w:val="-3"/>
        </w:rPr>
        <w:t>2007</w:t>
      </w:r>
      <w:r>
        <w:rPr>
          <w:spacing w:val="-3"/>
        </w:rPr>
        <w:t>年办妥股权过户手续。</w:t>
      </w:r>
    </w:p>
    <w:p>
      <w:pPr>
        <w:pStyle w:val="BodyText"/>
        <w:spacing w:line="477" w:lineRule="auto" w:before="54"/>
        <w:ind w:right="1132" w:firstLine="360"/>
        <w:jc w:val="both"/>
      </w:pPr>
      <w:r>
        <w:rPr>
          <w:spacing w:val="-2"/>
        </w:rPr>
        <w:t>（</w:t>
      </w:r>
      <w:r>
        <w:rPr>
          <w:rFonts w:ascii="宋体" w:hAnsi="宋体" w:cs="宋体" w:eastAsia="宋体" w:hint="default"/>
          <w:spacing w:val="-2"/>
        </w:rPr>
        <w:t>7</w:t>
      </w:r>
      <w:r>
        <w:rPr>
          <w:spacing w:val="-2"/>
        </w:rPr>
        <w:t>）由于深圳泰丰电子有限公司持有的本公司</w:t>
      </w:r>
      <w:r>
        <w:rPr>
          <w:rFonts w:ascii="宋体" w:hAnsi="宋体" w:cs="宋体" w:eastAsia="宋体" w:hint="default"/>
          <w:spacing w:val="-2"/>
        </w:rPr>
        <w:t>6,000,000</w:t>
      </w:r>
      <w:r>
        <w:rPr>
          <w:spacing w:val="-2"/>
        </w:rPr>
        <w:t>股法人股被广东省河源市中级人民法院公开拍卖。竞买人杨跃</w:t>
      </w:r>
      <w:r>
        <w:rPr/>
        <w:t> 烽、郝琳、谢雯、张丽程以联合竞拍方式竞得。具体为：杨跃烽拥有</w:t>
      </w:r>
      <w:r>
        <w:rPr>
          <w:rFonts w:ascii="宋体" w:hAnsi="宋体" w:cs="宋体" w:eastAsia="宋体" w:hint="default"/>
        </w:rPr>
        <w:t>300</w:t>
      </w:r>
      <w:r>
        <w:rPr/>
        <w:t>万股、郝琳拥有</w:t>
      </w:r>
      <w:r>
        <w:rPr>
          <w:rFonts w:ascii="宋体" w:hAnsi="宋体" w:cs="宋体" w:eastAsia="宋体" w:hint="default"/>
        </w:rPr>
        <w:t>100</w:t>
      </w:r>
      <w:r>
        <w:rPr/>
        <w:t>万股、谢雯拥有</w:t>
      </w:r>
      <w:r>
        <w:rPr>
          <w:rFonts w:ascii="宋体" w:hAnsi="宋体" w:cs="宋体" w:eastAsia="宋体" w:hint="default"/>
        </w:rPr>
        <w:t>100</w:t>
      </w:r>
      <w:r>
        <w:rPr/>
        <w:t>万股、张丽 程拥有</w:t>
      </w:r>
      <w:r>
        <w:rPr>
          <w:rFonts w:ascii="宋体" w:hAnsi="宋体" w:cs="宋体" w:eastAsia="宋体" w:hint="default"/>
        </w:rPr>
        <w:t>100</w:t>
      </w:r>
      <w:r>
        <w:rPr/>
        <w:t>万股，并于</w:t>
      </w:r>
      <w:r>
        <w:rPr>
          <w:rFonts w:ascii="宋体" w:hAnsi="宋体" w:cs="宋体" w:eastAsia="宋体" w:hint="default"/>
        </w:rPr>
        <w:t>2008</w:t>
      </w:r>
      <w:r>
        <w:rPr/>
        <w:t>年办妥股权过户手续。</w:t>
      </w:r>
    </w:p>
    <w:p>
      <w:pPr>
        <w:pStyle w:val="BodyText"/>
        <w:spacing w:line="477" w:lineRule="auto" w:before="54"/>
        <w:ind w:right="0" w:firstLine="360"/>
        <w:jc w:val="left"/>
      </w:pPr>
      <w:r>
        <w:rPr>
          <w:spacing w:val="-2"/>
        </w:rPr>
        <w:t>（</w:t>
      </w:r>
      <w:r>
        <w:rPr>
          <w:rFonts w:ascii="宋体" w:hAnsi="宋体" w:cs="宋体" w:eastAsia="宋体" w:hint="default"/>
          <w:spacing w:val="-2"/>
        </w:rPr>
        <w:t>8</w:t>
      </w:r>
      <w:r>
        <w:rPr>
          <w:spacing w:val="-2"/>
        </w:rPr>
        <w:t>）</w:t>
      </w: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15</w:t>
      </w:r>
      <w:r>
        <w:rPr>
          <w:spacing w:val="-2"/>
        </w:rPr>
        <w:t>日，深圳泰丰电子有限公司持有的公司</w:t>
      </w:r>
      <w:r>
        <w:rPr>
          <w:rFonts w:ascii="宋体" w:hAnsi="宋体" w:cs="宋体" w:eastAsia="宋体" w:hint="default"/>
          <w:spacing w:val="-2"/>
        </w:rPr>
        <w:t>3050</w:t>
      </w:r>
      <w:r>
        <w:rPr>
          <w:spacing w:val="-2"/>
        </w:rPr>
        <w:t>万股股权被北京市第一中级人民法院公开拍卖，由重庆润</w:t>
      </w:r>
      <w:r>
        <w:rPr/>
        <w:t> 江基础设施投资有限公司竞得，并已办妥股权过户手续。</w:t>
      </w:r>
    </w:p>
    <w:p>
      <w:pPr>
        <w:pStyle w:val="BodyText"/>
        <w:spacing w:line="477" w:lineRule="auto" w:before="54"/>
        <w:ind w:left="513" w:right="1123"/>
        <w:jc w:val="left"/>
      </w:pPr>
      <w:r>
        <w:rPr>
          <w:rFonts w:ascii="宋体" w:hAnsi="宋体" w:cs="宋体" w:eastAsia="宋体" w:hint="default"/>
        </w:rPr>
        <w:t>2</w:t>
      </w:r>
      <w:r>
        <w:rPr/>
        <w:t>、股权分臵改革情况 本公司于</w:t>
      </w: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28</w:t>
      </w:r>
      <w:r>
        <w:rPr/>
        <w:t>日召开股权分臵改革相关股东会议，审议通过《深圳市深信泰丰（集团）股份有限公司股权分臵</w:t>
      </w:r>
    </w:p>
    <w:p>
      <w:pPr>
        <w:pStyle w:val="BodyText"/>
        <w:spacing w:line="477" w:lineRule="auto" w:before="54"/>
        <w:ind w:right="1128"/>
        <w:jc w:val="both"/>
      </w:pPr>
      <w:r>
        <w:rPr>
          <w:spacing w:val="-2"/>
        </w:rPr>
        <w:t>改革方案》。根据股权分臵改革方案，公司申请增加注册资本人民币</w:t>
      </w:r>
      <w:r>
        <w:rPr>
          <w:rFonts w:ascii="宋体" w:hAnsi="宋体" w:cs="宋体" w:eastAsia="宋体" w:hint="default"/>
          <w:spacing w:val="-2"/>
        </w:rPr>
        <w:t>46,834,131.00</w:t>
      </w:r>
      <w:r>
        <w:rPr>
          <w:spacing w:val="-2"/>
        </w:rPr>
        <w:t>元，以截止</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11</w:t>
      </w:r>
      <w:r>
        <w:rPr>
          <w:spacing w:val="-2"/>
        </w:rPr>
        <w:t>日的可流通股本</w:t>
      </w:r>
      <w:r>
        <w:rPr>
          <w:spacing w:val="-52"/>
        </w:rPr>
        <w:t> </w:t>
      </w:r>
      <w:r>
        <w:rPr>
          <w:rFonts w:ascii="宋体" w:hAnsi="宋体" w:cs="宋体" w:eastAsia="宋体" w:hint="default"/>
        </w:rPr>
        <w:t>84,658,866</w:t>
      </w:r>
      <w:r>
        <w:rPr/>
        <w:t>股为基数，用资本公积金向截止</w:t>
      </w:r>
      <w:r>
        <w:rPr>
          <w:rFonts w:ascii="宋体" w:hAnsi="宋体" w:cs="宋体" w:eastAsia="宋体" w:hint="default"/>
        </w:rPr>
        <w:t>2008</w:t>
      </w:r>
      <w:r>
        <w:rPr/>
        <w:t>年</w:t>
      </w:r>
      <w:r>
        <w:rPr>
          <w:rFonts w:ascii="宋体" w:hAnsi="宋体" w:cs="宋体" w:eastAsia="宋体" w:hint="default"/>
        </w:rPr>
        <w:t>7</w:t>
      </w:r>
      <w:r>
        <w:rPr/>
        <w:t>月</w:t>
      </w:r>
      <w:r>
        <w:rPr>
          <w:rFonts w:ascii="宋体" w:hAnsi="宋体" w:cs="宋体" w:eastAsia="宋体" w:hint="default"/>
        </w:rPr>
        <w:t>11</w:t>
      </w:r>
      <w:r>
        <w:rPr/>
        <w:t>日在册的全体流通股股东转增股本，流通股股东获得每</w:t>
      </w:r>
      <w:r>
        <w:rPr>
          <w:rFonts w:ascii="宋体" w:hAnsi="宋体" w:cs="宋体" w:eastAsia="宋体" w:hint="default"/>
        </w:rPr>
        <w:t>10</w:t>
      </w:r>
      <w:r>
        <w:rPr/>
        <w:t>股转增</w:t>
      </w:r>
    </w:p>
    <w:p>
      <w:pPr>
        <w:pStyle w:val="BodyText"/>
        <w:spacing w:line="477" w:lineRule="auto" w:before="54"/>
        <w:ind w:right="1136"/>
        <w:jc w:val="both"/>
      </w:pPr>
      <w:r>
        <w:rPr>
          <w:rFonts w:ascii="宋体" w:hAnsi="宋体" w:cs="宋体" w:eastAsia="宋体" w:hint="default"/>
        </w:rPr>
        <w:t>5.5321</w:t>
      </w:r>
      <w:r>
        <w:rPr/>
        <w:t>股的股份，即</w:t>
      </w:r>
      <w:r>
        <w:rPr>
          <w:rFonts w:ascii="宋体" w:hAnsi="宋体" w:cs="宋体" w:eastAsia="宋体" w:hint="default"/>
        </w:rPr>
        <w:t>46,834,131</w:t>
      </w:r>
      <w:r>
        <w:rPr/>
        <w:t>股，面值每股人民币</w:t>
      </w:r>
      <w:r>
        <w:rPr>
          <w:rFonts w:ascii="宋体" w:hAnsi="宋体" w:cs="宋体" w:eastAsia="宋体" w:hint="default"/>
        </w:rPr>
        <w:t>1</w:t>
      </w:r>
      <w:r>
        <w:rPr/>
        <w:t>元；上述对价水平换算为非流通股股东送股方案，相当于流通股股东 每</w:t>
      </w:r>
      <w:r>
        <w:rPr>
          <w:rFonts w:ascii="宋体" w:hAnsi="宋体" w:cs="宋体" w:eastAsia="宋体" w:hint="default"/>
        </w:rPr>
        <w:t>10</w:t>
      </w:r>
      <w:r>
        <w:rPr/>
        <w:t>股获送</w:t>
      </w:r>
      <w:r>
        <w:rPr>
          <w:rFonts w:ascii="宋体" w:hAnsi="宋体" w:cs="宋体" w:eastAsia="宋体" w:hint="default"/>
        </w:rPr>
        <w:t>3.5</w:t>
      </w:r>
      <w:r>
        <w:rPr/>
        <w:t>股，公司总股本增加至</w:t>
      </w:r>
      <w:r>
        <w:rPr>
          <w:rFonts w:ascii="宋体" w:hAnsi="宋体" w:cs="宋体" w:eastAsia="宋体" w:hint="default"/>
        </w:rPr>
        <w:t>357,973,531</w:t>
      </w:r>
      <w:r>
        <w:rPr/>
        <w:t>股。转增完成后，公司的注册资本增加人民币</w:t>
      </w:r>
      <w:r>
        <w:rPr>
          <w:rFonts w:ascii="宋体" w:hAnsi="宋体" w:cs="宋体" w:eastAsia="宋体" w:hint="default"/>
        </w:rPr>
        <w:t>46,834,131.00</w:t>
      </w:r>
      <w:r>
        <w:rPr/>
        <w:t>元，变更后 的注册资本为人民币</w:t>
      </w:r>
      <w:r>
        <w:rPr>
          <w:rFonts w:ascii="宋体" w:hAnsi="宋体" w:cs="宋体" w:eastAsia="宋体" w:hint="default"/>
        </w:rPr>
        <w:t>357,973,531.00</w:t>
      </w:r>
      <w:r>
        <w:rPr/>
        <w:t>元。</w:t>
      </w:r>
    </w:p>
    <w:p>
      <w:pPr>
        <w:pStyle w:val="BodyText"/>
        <w:spacing w:line="240" w:lineRule="auto" w:before="54"/>
        <w:ind w:left="513" w:right="0"/>
        <w:jc w:val="left"/>
      </w:pPr>
      <w:r>
        <w:rPr>
          <w:rFonts w:ascii="宋体" w:hAnsi="宋体" w:cs="宋体" w:eastAsia="宋体" w:hint="default"/>
        </w:rPr>
        <w:t>3</w:t>
      </w:r>
      <w:r>
        <w:rPr/>
        <w:t>、公司重整事项中股东权益调整事项：</w:t>
      </w:r>
    </w:p>
    <w:p>
      <w:pPr>
        <w:spacing w:after="0" w:line="240" w:lineRule="auto"/>
        <w:jc w:val="left"/>
        <w:sectPr>
          <w:pgSz w:w="11910" w:h="16840"/>
          <w:pgMar w:header="745" w:footer="1282" w:top="1060" w:bottom="148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29" w:firstLine="360"/>
        <w:jc w:val="both"/>
      </w:pPr>
      <w:r>
        <w:rPr>
          <w:spacing w:val="-2"/>
        </w:rPr>
        <w:t>根据深圳市中级人民法院批准的重整计划，公司全体限售流通股股东，即中国希格玛有限公司、深圳市宝安区投资管理</w:t>
      </w:r>
      <w:r>
        <w:rPr/>
        <w:t> 公司、重庆润江基础设施投资有限公司、深圳国际信托投资有限责任公司各无偿让渡所持有的限售流通股的</w:t>
      </w:r>
      <w:r>
        <w:rPr>
          <w:rFonts w:ascii="宋体" w:hAnsi="宋体" w:cs="宋体" w:eastAsia="宋体" w:hint="default"/>
        </w:rPr>
        <w:t>15%</w:t>
      </w:r>
      <w:r>
        <w:rPr/>
        <w:t>，合计让渡 限售流通股</w:t>
      </w:r>
      <w:r>
        <w:rPr>
          <w:rFonts w:ascii="宋体" w:hAnsi="宋体" w:cs="宋体" w:eastAsia="宋体" w:hint="default"/>
        </w:rPr>
        <w:t>25,415,516</w:t>
      </w:r>
      <w:r>
        <w:rPr/>
        <w:t>股；全体流通股股东各无偿让渡所持有的流通股的</w:t>
      </w:r>
      <w:r>
        <w:rPr>
          <w:rFonts w:ascii="宋体" w:hAnsi="宋体" w:cs="宋体" w:eastAsia="宋体" w:hint="default"/>
        </w:rPr>
        <w:t>10%</w:t>
      </w:r>
      <w:r>
        <w:rPr/>
        <w:t>，合计让渡流通股</w:t>
      </w:r>
      <w:r>
        <w:rPr>
          <w:rFonts w:ascii="宋体" w:hAnsi="宋体" w:cs="宋体" w:eastAsia="宋体" w:hint="default"/>
        </w:rPr>
        <w:t>18,849,303</w:t>
      </w:r>
      <w:r>
        <w:rPr/>
        <w:t>股。以上共计让 </w:t>
      </w:r>
      <w:r>
        <w:rPr>
          <w:spacing w:val="-2"/>
        </w:rPr>
        <w:t>渡公司股票</w:t>
      </w:r>
      <w:r>
        <w:rPr>
          <w:rFonts w:ascii="宋体" w:hAnsi="宋体" w:cs="宋体" w:eastAsia="宋体" w:hint="default"/>
          <w:spacing w:val="-2"/>
        </w:rPr>
        <w:t>44,264,819</w:t>
      </w:r>
      <w:r>
        <w:rPr>
          <w:spacing w:val="-2"/>
        </w:rPr>
        <w:t>股，占公司总股本的</w:t>
      </w:r>
      <w:r>
        <w:rPr>
          <w:rFonts w:ascii="宋体" w:hAnsi="宋体" w:cs="宋体" w:eastAsia="宋体" w:hint="default"/>
          <w:spacing w:val="-2"/>
        </w:rPr>
        <w:t>12.37%</w:t>
      </w:r>
      <w:r>
        <w:rPr>
          <w:spacing w:val="-2"/>
        </w:rPr>
        <w:t>。该等股票用于支付公司重整费用和共益债务、清偿普通债权、保全主要</w:t>
      </w:r>
      <w:r>
        <w:rPr>
          <w:spacing w:val="-55"/>
        </w:rPr>
        <w:t> </w:t>
      </w:r>
      <w:r>
        <w:rPr>
          <w:spacing w:val="-55"/>
        </w:rPr>
      </w:r>
      <w:r>
        <w:rPr/>
        <w:t>子公司经营性资产。</w:t>
      </w:r>
      <w:r>
        <w:rPr>
          <w:rFonts w:ascii="宋体" w:hAnsi="宋体" w:cs="宋体" w:eastAsia="宋体" w:hint="default"/>
        </w:rPr>
        <w:t>2010</w:t>
      </w:r>
      <w:r>
        <w:rPr/>
        <w:t>年度重整完后，本公司注册资本仍为人民币</w:t>
      </w:r>
      <w:r>
        <w:rPr>
          <w:rFonts w:ascii="宋体" w:hAnsi="宋体" w:cs="宋体" w:eastAsia="宋体" w:hint="default"/>
        </w:rPr>
        <w:t>357,973,531.00</w:t>
      </w:r>
      <w:r>
        <w:rPr/>
        <w:t>元。</w:t>
      </w:r>
    </w:p>
    <w:p>
      <w:pPr>
        <w:pStyle w:val="BodyText"/>
        <w:spacing w:line="477" w:lineRule="auto" w:before="54"/>
        <w:ind w:left="513" w:right="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357,973,531</w:t>
      </w:r>
      <w:r>
        <w:rPr/>
        <w:t>万股，股票面值为每股人民币</w:t>
      </w:r>
      <w:r>
        <w:rPr>
          <w:rFonts w:ascii="宋体" w:hAnsi="宋体" w:cs="宋体" w:eastAsia="宋体" w:hint="default"/>
        </w:rPr>
        <w:t>1</w:t>
      </w:r>
      <w:r>
        <w:rPr/>
        <w:t>元。 </w:t>
      </w:r>
      <w:r>
        <w:rPr>
          <w:spacing w:val="-2"/>
        </w:rPr>
        <w:t>本公司及子公司（统称‚本集团‛）主要经营范围为：（</w:t>
      </w:r>
      <w:r>
        <w:rPr>
          <w:rFonts w:ascii="宋体" w:hAnsi="宋体" w:cs="宋体" w:eastAsia="宋体" w:hint="default"/>
          <w:spacing w:val="-2"/>
        </w:rPr>
        <w:t>1</w:t>
      </w:r>
      <w:r>
        <w:rPr>
          <w:spacing w:val="-2"/>
        </w:rPr>
        <w:t>）通讯服务运营、数据与语音服务、通讯设备的研制、开发、</w:t>
      </w:r>
    </w:p>
    <w:p>
      <w:pPr>
        <w:pStyle w:val="BodyText"/>
        <w:spacing w:line="477" w:lineRule="auto" w:before="54"/>
        <w:ind w:right="1124"/>
        <w:jc w:val="left"/>
      </w:pPr>
      <w:r>
        <w:rPr/>
        <w:t>生产与销售、软件开发；（</w:t>
      </w:r>
      <w:r>
        <w:rPr>
          <w:rFonts w:ascii="宋体" w:hAnsi="宋体" w:cs="宋体" w:eastAsia="宋体" w:hint="default"/>
        </w:rPr>
        <w:t>2</w:t>
      </w:r>
      <w:r>
        <w:rPr/>
        <w:t>）经营国内商业、物资供销业；（</w:t>
      </w:r>
      <w:r>
        <w:rPr>
          <w:rFonts w:ascii="宋体" w:hAnsi="宋体" w:cs="宋体" w:eastAsia="宋体" w:hint="default"/>
        </w:rPr>
        <w:t>3</w:t>
      </w:r>
      <w:r>
        <w:rPr/>
        <w:t>）进出口贸易；（</w:t>
      </w:r>
      <w:r>
        <w:rPr>
          <w:rFonts w:ascii="宋体" w:hAnsi="宋体" w:cs="宋体" w:eastAsia="宋体" w:hint="default"/>
        </w:rPr>
        <w:t>4</w:t>
      </w:r>
      <w:r>
        <w:rPr/>
        <w:t>）食用动物养殖及相应的肉类加工、饲 料生产和销售；（</w:t>
      </w:r>
      <w:r>
        <w:rPr>
          <w:rFonts w:ascii="宋体" w:hAnsi="宋体" w:cs="宋体" w:eastAsia="宋体" w:hint="default"/>
        </w:rPr>
        <w:t>5</w:t>
      </w:r>
      <w:r>
        <w:rPr/>
        <w:t>）果树种植；（</w:t>
      </w:r>
      <w:r>
        <w:rPr>
          <w:rFonts w:ascii="宋体" w:hAnsi="宋体" w:cs="宋体" w:eastAsia="宋体" w:hint="default"/>
        </w:rPr>
        <w:t>6</w:t>
      </w:r>
      <w:r>
        <w:rPr/>
        <w:t>）房地产投资与开发。</w:t>
      </w:r>
    </w:p>
    <w:p>
      <w:pPr>
        <w:pStyle w:val="BodyText"/>
        <w:spacing w:line="240" w:lineRule="auto" w:before="54"/>
        <w:ind w:left="513" w:right="0"/>
        <w:jc w:val="left"/>
      </w:pPr>
      <w:r>
        <w:rPr/>
        <w:t>本财务报表业经本公司董事会于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18</w:t>
      </w:r>
      <w:r>
        <w:rPr/>
        <w:t>日决议批准报出。</w:t>
      </w: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r>
        <w:rPr/>
        <w:t>四、公司主要会计政策、会计估计和前期差错</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、财务报表的编制基础</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130" w:firstLine="360"/>
        <w:jc w:val="both"/>
      </w:pPr>
      <w:r>
        <w:rPr/>
        <w:t>本集团财务报表以持续经营假设为基础编制，根据实际发生的交易和事项，按照财政部于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日颁布的《企业 </w:t>
      </w:r>
      <w:r>
        <w:rPr>
          <w:spacing w:val="-2"/>
        </w:rPr>
        <w:t>会计准则——基本准则》和</w:t>
      </w:r>
      <w:r>
        <w:rPr>
          <w:rFonts w:ascii="宋体" w:hAnsi="宋体" w:cs="宋体" w:eastAsia="宋体" w:hint="default"/>
          <w:spacing w:val="-2"/>
        </w:rPr>
        <w:t>38</w:t>
      </w:r>
      <w:r>
        <w:rPr>
          <w:spacing w:val="-2"/>
        </w:rPr>
        <w:t>项具体会计准则、其后颁布的企业会计准则应用指南、企业会计准则解释及其他相关规定（以</w:t>
      </w:r>
      <w:r>
        <w:rPr>
          <w:spacing w:val="-63"/>
        </w:rPr>
        <w:t> </w:t>
      </w:r>
      <w:r>
        <w:rPr>
          <w:spacing w:val="-63"/>
        </w:rPr>
      </w:r>
      <w:r>
        <w:rPr>
          <w:spacing w:val="-2"/>
        </w:rPr>
        <w:t>下合称‚企业会计准则‛）、以及中国证券监督管理委员会《公开发行证券的公司信息披露编报规则第</w:t>
      </w:r>
      <w:r>
        <w:rPr>
          <w:rFonts w:ascii="宋体" w:hAnsi="宋体" w:cs="宋体" w:eastAsia="宋体" w:hint="default"/>
          <w:spacing w:val="-2"/>
        </w:rPr>
        <w:t>15</w:t>
      </w:r>
      <w:r>
        <w:rPr>
          <w:spacing w:val="-2"/>
        </w:rPr>
        <w:t>号——财务报告的</w:t>
      </w:r>
      <w:r>
        <w:rPr>
          <w:spacing w:val="27"/>
        </w:rPr>
        <w:t> </w:t>
      </w:r>
      <w:r>
        <w:rPr/>
        <w:t>一般规定》（</w:t>
      </w:r>
      <w:r>
        <w:rPr>
          <w:rFonts w:ascii="宋体" w:hAnsi="宋体" w:cs="宋体" w:eastAsia="宋体" w:hint="default"/>
        </w:rPr>
        <w:t>2010</w:t>
      </w:r>
      <w:r>
        <w:rPr/>
        <w:t>年修订）的披露规定编制。</w:t>
      </w:r>
    </w:p>
    <w:p>
      <w:pPr>
        <w:pStyle w:val="BodyText"/>
        <w:spacing w:line="477" w:lineRule="auto" w:before="54"/>
        <w:ind w:right="1130" w:firstLine="360"/>
        <w:jc w:val="both"/>
      </w:pPr>
      <w:r>
        <w:rPr>
          <w:spacing w:val="-2"/>
        </w:rPr>
        <w:t>根据企业会计准则的相关规定，本集团会计核算以权责发生制为基础。除某些金融工具外，本财务报表均以历史成本为</w:t>
      </w:r>
      <w:r>
        <w:rPr/>
        <w:t> 计量基础。资产如果发生减值，则按照相关规定计提相应的减值准备。</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2</w:t>
      </w:r>
      <w:r>
        <w:rPr/>
        <w:t>、遵循企业会计准则的声明</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0" w:firstLine="360"/>
        <w:jc w:val="left"/>
      </w:pPr>
      <w:r>
        <w:rPr/>
        <w:t>本集团编制的财务报表符合企业会计准则的要求，真实、完整地反映了本公司及本集团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日的财务状况及 </w:t>
      </w:r>
      <w:r>
        <w:rPr>
          <w:rFonts w:ascii="宋体" w:hAnsi="宋体" w:cs="宋体" w:eastAsia="宋体" w:hint="default"/>
          <w:spacing w:val="-2"/>
        </w:rPr>
        <w:t>2012</w:t>
      </w:r>
      <w:r>
        <w:rPr>
          <w:spacing w:val="-2"/>
        </w:rPr>
        <w:t>年度的经营成果和现金流量等有关信息。此外，本公司及本集团的财务报表在所有重大方面符合中国证券监督管理委员</w:t>
      </w:r>
      <w:r>
        <w:rPr>
          <w:spacing w:val="-61"/>
        </w:rPr>
        <w:t> </w:t>
      </w:r>
      <w:r>
        <w:rPr>
          <w:spacing w:val="-61"/>
        </w:rPr>
      </w:r>
      <w:r>
        <w:rPr>
          <w:spacing w:val="-4"/>
        </w:rPr>
        <w:t>会</w:t>
      </w:r>
      <w:r>
        <w:rPr>
          <w:rFonts w:ascii="宋体" w:hAnsi="宋体" w:cs="宋体" w:eastAsia="宋体" w:hint="default"/>
          <w:spacing w:val="-4"/>
        </w:rPr>
        <w:t>2010</w:t>
      </w:r>
      <w:r>
        <w:rPr>
          <w:spacing w:val="-4"/>
        </w:rPr>
        <w:t>年修订的《公开发行证券的公司信息披露编报规则第</w:t>
      </w:r>
      <w:r>
        <w:rPr>
          <w:rFonts w:ascii="宋体" w:hAnsi="宋体" w:cs="宋体" w:eastAsia="宋体" w:hint="default"/>
          <w:spacing w:val="-4"/>
        </w:rPr>
        <w:t>15</w:t>
      </w:r>
      <w:r>
        <w:rPr>
          <w:spacing w:val="-4"/>
        </w:rPr>
        <w:t>号－财务报告的一般规定》有关财务报表及其附注的披露要求。</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3</w:t>
      </w:r>
      <w:r>
        <w:rPr/>
        <w:t>、会计期间</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049" w:firstLine="360"/>
        <w:jc w:val="both"/>
      </w:pPr>
      <w:r>
        <w:rPr/>
        <w:t>本集团的会计期间分为年度和中期，会计中期指短于一个完整的会计年度的报告期间。本集团会计年度采用公历年度，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after="0" w:line="477" w:lineRule="auto"/>
        <w:jc w:val="both"/>
        <w:sectPr>
          <w:pgSz w:w="11910" w:h="16840"/>
          <w:pgMar w:header="745" w:footer="1282" w:top="1060" w:bottom="148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4</w:t>
      </w:r>
      <w:r>
        <w:rPr/>
        <w:t>、记账本位币</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1132" w:firstLine="360"/>
        <w:jc w:val="both"/>
      </w:pPr>
      <w:r>
        <w:rPr>
          <w:spacing w:val="-2"/>
        </w:rPr>
        <w:t>人民币为本公司及境内子公司经营所处的主要经济环境中的货币，本公司及境内子公司以人民币为记账本位币。本集团</w:t>
      </w:r>
      <w:r>
        <w:rPr/>
        <w:t> 编制本财务报表时所采用的货币为人民币。</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5</w:t>
      </w:r>
      <w:r>
        <w:rPr/>
        <w:t>、同一控制下和非同一控制下企业合并的会计处理方法</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）同一控制下企业合并</w:t>
      </w:r>
      <w:r>
        <w:rPr>
          <w:rFonts w:ascii="微软雅黑" w:hAnsi="微软雅黑" w:cs="微软雅黑" w:eastAsia="微软雅黑" w:hint="default"/>
          <w:sz w:val="21"/>
          <w:szCs w:val="21"/>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参与合并的企业在合并前后均受同一方或相同的多方最终控制，且该控制并非暂时性的，为同一控制下的企业合并。同</w:t>
      </w:r>
      <w:r>
        <w:rPr/>
        <w:t> </w:t>
      </w:r>
      <w:r>
        <w:rPr>
          <w:spacing w:val="-4"/>
        </w:rPr>
        <w:t>一控制下的企业合并，在合并日取得对其他参与合并企业控制权的一方为合并方，参与合并的其他企业为被合并方。合并日，</w:t>
      </w:r>
      <w:r>
        <w:rPr>
          <w:spacing w:val="-42"/>
        </w:rPr>
        <w:t> </w:t>
      </w:r>
      <w:r>
        <w:rPr>
          <w:spacing w:val="-42"/>
        </w:rPr>
      </w:r>
      <w:r>
        <w:rPr/>
        <w:t>是指合并方实际取得对被合并方控制权的日期。</w:t>
      </w:r>
    </w:p>
    <w:p>
      <w:pPr>
        <w:pStyle w:val="BodyText"/>
        <w:spacing w:line="477" w:lineRule="auto" w:before="54"/>
        <w:ind w:right="1051"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54"/>
        <w:ind w:left="513" w:right="0"/>
        <w:jc w:val="left"/>
      </w:pPr>
      <w:r>
        <w:rPr/>
        <w:t>合并方为进行企业合并发生的各项直接费用，于发生时计入当期损益。</w:t>
      </w: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r>
        <w:rPr/>
        <w:t>（</w:t>
      </w:r>
      <w:r>
        <w:rPr>
          <w:rFonts w:ascii="Arial" w:hAnsi="Arial" w:cs="Arial" w:eastAsia="Arial" w:hint="default"/>
        </w:rPr>
        <w:t>2</w:t>
      </w:r>
      <w:r>
        <w:rPr/>
        <w:t>）非同一控制下的企业合并</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129" w:firstLine="360"/>
        <w:jc w:val="both"/>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3"/>
        </w:rPr>
        <w:t> </w:t>
      </w:r>
      <w:r>
        <w:rPr>
          <w:spacing w:val="-63"/>
        </w:rPr>
      </w:r>
      <w:r>
        <w:rPr/>
        <w:t>际取得对被购买方控制权的日期。</w:t>
      </w:r>
    </w:p>
    <w:p>
      <w:pPr>
        <w:pStyle w:val="BodyText"/>
        <w:spacing w:line="477" w:lineRule="auto" w:before="54"/>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2"/>
        </w:rPr>
        <w:t>步证据而需要调整或有对价的，相应调整合并商誉。通过多次交换交易分步实现的企业合并，在本集团合并财务报表中，对</w:t>
      </w:r>
      <w:r>
        <w:rPr>
          <w:spacing w:val="-66"/>
        </w:rPr>
        <w:t> </w:t>
      </w:r>
      <w:r>
        <w:rPr>
          <w:spacing w:val="-66"/>
        </w:rPr>
      </w:r>
      <w:r>
        <w:rPr>
          <w:spacing w:val="-2"/>
        </w:rPr>
        <w:t>于购买日之前持有的被购买方的股权，按照该股权在购买日的公允价值进行重新计量，公允价值与其账面价值的差额计入购</w:t>
      </w:r>
      <w:r>
        <w:rPr>
          <w:spacing w:val="-64"/>
        </w:rPr>
        <w:t> </w:t>
      </w:r>
      <w:r>
        <w:rPr>
          <w:spacing w:val="-64"/>
        </w:rPr>
      </w:r>
      <w:r>
        <w:rPr>
          <w:spacing w:val="-2"/>
        </w:rPr>
        <w:t>买日所属当期投资收益，同时将与购买日之前持有的被购买方的股权相关的其他综合收益转为当期投资收益，合并成本为购</w:t>
      </w:r>
      <w:r>
        <w:rPr>
          <w:spacing w:val="-64"/>
        </w:rPr>
        <w:t> </w:t>
      </w:r>
      <w:r>
        <w:rPr>
          <w:spacing w:val="-64"/>
        </w:rPr>
      </w:r>
      <w:r>
        <w:rPr/>
        <w:t>买日之前持有的被购买方的股权在购买日的公允价值与购买日增持的被购买方股权在购买日的公允价值之和。</w:t>
      </w:r>
    </w:p>
    <w:p>
      <w:pPr>
        <w:pStyle w:val="BodyText"/>
        <w:spacing w:line="477" w:lineRule="auto" w:before="54"/>
        <w:ind w:right="1130" w:firstLine="360"/>
        <w:jc w:val="both"/>
      </w:pPr>
      <w:r>
        <w:rPr>
          <w:spacing w:val="-2"/>
        </w:rPr>
        <w:t>购买方发生的合并成本及在合并中取得的可辨认净资产按购买日的公允价值计量。合并成本大于合并中取得的被购买方</w:t>
      </w:r>
      <w:r>
        <w:rPr/>
        <w:t> </w:t>
      </w:r>
      <w:r>
        <w:rPr>
          <w:spacing w:val="-2"/>
        </w:rPr>
        <w:t>于购买日可辨认净资产公允价值份额的差额，确认为商誉。合并成本小于合并中取得的被购买方可辨认净资产公允价值份额</w:t>
      </w:r>
      <w:r>
        <w:rPr>
          <w:spacing w:val="-64"/>
        </w:rPr>
        <w:t> </w:t>
      </w:r>
      <w:r>
        <w:rPr>
          <w:spacing w:val="-64"/>
        </w:rPr>
      </w:r>
      <w:r>
        <w:rPr>
          <w:spacing w:val="-2"/>
        </w:rPr>
        <w:t>的，首先对取得的被购买方各项可辨认资产、负债及或有负债的公允价值以及合并成本的计量进行复核，复核后合并成本仍</w:t>
      </w:r>
      <w:r>
        <w:rPr>
          <w:spacing w:val="-63"/>
        </w:rPr>
        <w:t> </w:t>
      </w:r>
      <w:r>
        <w:rPr>
          <w:spacing w:val="-63"/>
        </w:rPr>
      </w:r>
      <w:r>
        <w:rPr/>
        <w:t>小于合并中取得的被购买方可辨认净资产公允价值份额的，其差额计入当期损益。</w:t>
      </w:r>
    </w:p>
    <w:p>
      <w:pPr>
        <w:spacing w:after="0" w:line="477" w:lineRule="auto"/>
        <w:jc w:val="both"/>
        <w:sectPr>
          <w:pgSz w:w="11910" w:h="16840"/>
          <w:pgMar w:header="745" w:footer="1282" w:top="1060" w:bottom="148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firstLine="360"/>
        <w:jc w:val="left"/>
      </w:pPr>
      <w:r>
        <w:rPr/>
        <w:t>购买方取得被购买方的可抵扣暂时性差异，在购买日因不符合递延所得税资产确认条件而未予确认的，在购买日后</w:t>
      </w:r>
      <w:r>
        <w:rPr>
          <w:rFonts w:ascii="宋体" w:hAnsi="宋体" w:cs="宋体" w:eastAsia="宋体" w:hint="default"/>
        </w:rPr>
        <w:t>12</w:t>
      </w:r>
      <w:r>
        <w:rPr>
          <w:rFonts w:ascii="宋体" w:hAnsi="宋体" w:cs="宋体" w:eastAsia="宋体" w:hint="default"/>
          <w:spacing w:val="-2"/>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spacing w:line="240" w:lineRule="auto" w:before="9"/>
        <w:rPr>
          <w:rFonts w:ascii="宋体" w:hAnsi="宋体" w:cs="宋体" w:eastAsia="宋体" w:hint="default"/>
          <w:sz w:val="14"/>
          <w:szCs w:val="14"/>
        </w:rPr>
      </w:pPr>
    </w:p>
    <w:p>
      <w:pPr>
        <w:pStyle w:val="Heading3"/>
        <w:spacing w:line="240" w:lineRule="auto"/>
        <w:ind w:right="0"/>
        <w:jc w:val="both"/>
        <w:rPr>
          <w:b w:val="0"/>
          <w:bCs w:val="0"/>
        </w:rPr>
      </w:pPr>
      <w:r>
        <w:rPr>
          <w:rFonts w:ascii="Arial" w:hAnsi="Arial" w:cs="Arial" w:eastAsia="Arial" w:hint="default"/>
        </w:rPr>
        <w:t>6</w:t>
      </w:r>
      <w:r>
        <w:rPr/>
        <w:t>、合并财务报表的编制方法</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both"/>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）合并财务报表的编制方法</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从取得子公司的净资产和生产经营决策的实际控制权之日起，本集团开始将其纳入合并范围；从丧失实际控制权之日起</w:t>
      </w:r>
      <w:r>
        <w:rPr/>
        <w:t> </w:t>
      </w:r>
      <w:r>
        <w:rPr>
          <w:spacing w:val="-4"/>
        </w:rPr>
        <w:t>停止纳入合并范围。对于处臵的子公司，处臵日前的经营成果和现金流量已经适当地包括在合并利润表和合并现金流量表中；</w:t>
      </w:r>
      <w:r>
        <w:rPr>
          <w:spacing w:val="-42"/>
        </w:rPr>
        <w:t> </w:t>
      </w:r>
      <w:r>
        <w:rPr>
          <w:spacing w:val="-42"/>
        </w:rPr>
      </w:r>
      <w:r>
        <w:rPr>
          <w:spacing w:val="-2"/>
        </w:rPr>
        <w:t>当期处臵的子公司，不调整合并资产负债表的期初数。非同一控制下企业合并增加的子公司，其购买日后的经营成果及现金</w:t>
      </w:r>
      <w:r>
        <w:rPr>
          <w:spacing w:val="-62"/>
        </w:rPr>
        <w:t> </w:t>
      </w:r>
      <w:r>
        <w:rPr>
          <w:spacing w:val="-62"/>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pStyle w:val="BodyText"/>
        <w:spacing w:line="477" w:lineRule="auto" w:before="54"/>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477" w:lineRule="auto" w:before="54"/>
        <w:ind w:left="513" w:right="1213"/>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477" w:lineRule="auto" w:before="54"/>
        <w:ind w:right="1130"/>
        <w:jc w:val="both"/>
      </w:pPr>
      <w:r>
        <w:rPr>
          <w:spacing w:val="-2"/>
        </w:rPr>
        <w:t>中股东权益及净利润项下单独列示。子公司当期净损益中属于少数股东权益的份额，在合并利润表中净利润项目下以‚少数</w:t>
      </w:r>
      <w:r>
        <w:rPr>
          <w:spacing w:val="27"/>
        </w:rPr>
        <w:t> </w:t>
      </w:r>
      <w:r>
        <w:rPr>
          <w:spacing w:val="27"/>
        </w:rPr>
      </w:r>
      <w:r>
        <w:rPr>
          <w:spacing w:val="-2"/>
        </w:rPr>
        <w:t>股东损益‛项目列示。少数股东分担的子公司的亏损超过了少数股东在该子公司期初所有者权益中所享有的份额，冲减少数</w:t>
      </w:r>
      <w:r>
        <w:rPr>
          <w:spacing w:val="-66"/>
        </w:rPr>
        <w:t> </w:t>
      </w:r>
      <w:r>
        <w:rPr>
          <w:spacing w:val="-66"/>
        </w:rPr>
      </w:r>
      <w:r>
        <w:rPr/>
        <w:t>股东权益。</w:t>
      </w:r>
    </w:p>
    <w:p>
      <w:pPr>
        <w:pStyle w:val="BodyText"/>
        <w:spacing w:line="477" w:lineRule="auto" w:before="54"/>
        <w:ind w:right="1130" w:firstLine="360"/>
        <w:jc w:val="both"/>
      </w:pPr>
      <w:r>
        <w:rPr>
          <w:spacing w:val="-2"/>
        </w:rPr>
        <w:t>当因处臵部分股权投资或其他原因丧失了对原有子公司的控制权时，对于剩余股权，按照其在丧失控制权日的公允价值</w:t>
      </w:r>
      <w:r>
        <w:rPr/>
        <w:t> </w:t>
      </w:r>
      <w:r>
        <w:rPr>
          <w:spacing w:val="-2"/>
        </w:rPr>
        <w:t>进行重新计量。处臵股权取得的对价与剩余股权公允价值之和，减去按原持股比例计算应享有原有子公司自购买日开始持续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t>制权时一并转为当期投资收益。其后，对该部分剩余股权按照《企业会计准则第</w:t>
      </w:r>
      <w:r>
        <w:rPr>
          <w:rFonts w:ascii="宋体" w:hAnsi="宋体" w:cs="宋体" w:eastAsia="宋体" w:hint="default"/>
        </w:rPr>
        <w:t>2</w:t>
      </w:r>
      <w:r>
        <w:rPr/>
        <w:t>号——长期股权投资》或《企业会计准则 第</w:t>
      </w:r>
      <w:r>
        <w:rPr>
          <w:rFonts w:ascii="宋体" w:hAnsi="宋体" w:cs="宋体" w:eastAsia="宋体" w:hint="default"/>
        </w:rPr>
        <w:t>22</w:t>
      </w:r>
      <w:r>
        <w:rPr/>
        <w:t>号——金融工具确认和计量》等相关规定进行后续计量。</w:t>
      </w:r>
    </w:p>
    <w:p>
      <w:pPr>
        <w:spacing w:after="0" w:line="477" w:lineRule="auto"/>
        <w:jc w:val="both"/>
        <w:sectPr>
          <w:pgSz w:w="11910" w:h="16840"/>
          <w:pgMar w:header="745" w:footer="1282" w:top="1060" w:bottom="148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2</w:t>
      </w:r>
      <w:r>
        <w:rPr/>
        <w:t>）对同一子公司的股权在连续两个会计年度买入再卖出，或卖出再买入的应披露相关的会计处理方法</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7</w:t>
      </w:r>
      <w:r>
        <w:rPr>
          <w:rFonts w:ascii="微软雅黑" w:hAnsi="微软雅黑" w:cs="微软雅黑" w:eastAsia="微软雅黑" w:hint="default"/>
          <w:b/>
          <w:bCs/>
          <w:sz w:val="21"/>
          <w:szCs w:val="21"/>
        </w:rPr>
        <w:t>、现金及现金等价物的确定标准</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本集团现金及现金等价物包括库存现金、可以随时用于支付的存款以及本集团持有的期限短（一般为从购买日起，三个</w:t>
      </w:r>
      <w:r>
        <w:rPr/>
        <w:t> 月内到期）、流动性强、易于转换为已知金额的现金、价值变动风险很小的投资。</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8</w:t>
      </w:r>
      <w:r>
        <w:rPr/>
        <w:t>、外币业务和外币报表折算</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）外币业务</w:t>
      </w:r>
      <w:r>
        <w:rPr>
          <w:rFonts w:ascii="微软雅黑" w:hAnsi="微软雅黑" w:cs="微软雅黑" w:eastAsia="微软雅黑" w:hint="default"/>
          <w:sz w:val="21"/>
          <w:szCs w:val="21"/>
        </w:rPr>
      </w:r>
    </w:p>
    <w:p>
      <w:pPr>
        <w:spacing w:line="240" w:lineRule="auto" w:before="15"/>
        <w:rPr>
          <w:rFonts w:ascii="微软雅黑" w:hAnsi="微软雅黑" w:cs="微软雅黑" w:eastAsia="微软雅黑" w:hint="default"/>
          <w:b/>
          <w:bCs/>
          <w:sz w:val="23"/>
          <w:szCs w:val="23"/>
        </w:rPr>
      </w:pPr>
    </w:p>
    <w:p>
      <w:pPr>
        <w:pStyle w:val="BodyText"/>
        <w:spacing w:line="477" w:lineRule="auto"/>
        <w:ind w:left="513" w:right="0"/>
        <w:jc w:val="left"/>
      </w:pPr>
      <w:r>
        <w:rPr/>
        <w:t>（</w:t>
      </w:r>
      <w:r>
        <w:rPr>
          <w:rFonts w:ascii="宋体" w:hAnsi="宋体" w:cs="宋体" w:eastAsia="宋体" w:hint="default"/>
        </w:rPr>
        <w:t>1</w:t>
      </w:r>
      <w:r>
        <w:rPr/>
        <w:t>）外币交易的折算方法 </w:t>
      </w:r>
      <w:r>
        <w:rPr>
          <w:spacing w:val="-4"/>
        </w:rPr>
        <w:t>本集团发生的外币交易在初始确认时，按交易日的即期汇率（通常指中国人民银行公布的当日外汇牌价的中间价，下同）</w:t>
      </w:r>
    </w:p>
    <w:p>
      <w:pPr>
        <w:pStyle w:val="BodyText"/>
        <w:spacing w:line="477" w:lineRule="auto" w:before="54"/>
        <w:ind w:right="1118"/>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477" w:lineRule="auto" w:before="54"/>
        <w:ind w:left="513" w:right="0"/>
        <w:jc w:val="left"/>
      </w:pPr>
      <w:r>
        <w:rPr/>
        <w:t>（</w:t>
      </w: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477" w:lineRule="auto" w:before="54"/>
        <w:ind w:right="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477" w:lineRule="auto" w:before="54"/>
        <w:ind w:right="113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3"/>
        </w:rPr>
        <w:t> </w:t>
      </w:r>
      <w:r>
        <w:rPr>
          <w:spacing w:val="-63"/>
        </w:rPr>
      </w:r>
      <w:r>
        <w:rPr/>
        <w:t>值变动（含汇率变动）处理，计入当期损益或确认为其他综合收益并计入资本公积。</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2</w:t>
      </w:r>
      <w:r>
        <w:rPr/>
        <w:t>）外币财务报表的折算</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编制合并财务报表涉及境外经营的，如有实质上构成对境外经营净投资的外币货币性项目，因汇率变动而产生的汇兑差</w:t>
      </w:r>
      <w:r>
        <w:rPr/>
        <w:t> 额，列入所有者权益‚外币报表折算差额‛项目；处臵境外经营时，计入处臵当期损益。</w:t>
      </w:r>
    </w:p>
    <w:p>
      <w:pPr>
        <w:pStyle w:val="BodyText"/>
        <w:spacing w:line="477" w:lineRule="auto" w:before="54"/>
        <w:ind w:right="0" w:firstLine="360"/>
        <w:jc w:val="left"/>
      </w:pPr>
      <w:r>
        <w:rPr>
          <w:spacing w:val="-2"/>
        </w:rPr>
        <w:t>境外经营的外币财务报表按以下方法折算为人民币报表：资产负债表中的资产和负债项目，采用资产负债表日的即期汇</w:t>
      </w:r>
      <w:r>
        <w:rPr/>
        <w:t> 率折算；所有者权益类项目除‚未分配利润‛项目外，其他项目采用发生时的即期汇率折算。利润表中的收入和费用项目， </w:t>
      </w:r>
      <w:r>
        <w:rPr>
          <w:spacing w:val="-2"/>
        </w:rPr>
        <w:t>采用交易发生日的即期汇率折算。年初未分配利润为上一年折算后的年末未分配利润；年末未分配利润按折算后的利润分配</w:t>
      </w:r>
      <w:r>
        <w:rPr>
          <w:spacing w:val="-64"/>
        </w:rPr>
        <w:t> </w:t>
      </w:r>
      <w:r>
        <w:rPr>
          <w:spacing w:val="-64"/>
        </w:rPr>
      </w:r>
      <w:r>
        <w:rPr>
          <w:spacing w:val="-2"/>
        </w:rPr>
        <w:t>各项目计算列示；折算后资产类项目与负债类项目和所有者权益类项目合计数的差额，作为外币报表折算差额，确认为其他</w:t>
      </w:r>
      <w:r>
        <w:rPr>
          <w:spacing w:val="-63"/>
        </w:rPr>
        <w:t> </w:t>
      </w:r>
      <w:r>
        <w:rPr>
          <w:spacing w:val="-63"/>
        </w:rPr>
      </w:r>
      <w:r>
        <w:rPr>
          <w:spacing w:val="-2"/>
        </w:rPr>
        <w:t>综合收益并在资产负债表中股东权益项目下单独列示。处臵境外经营并丧失控制权时，将资产负债表中所有者权益项目下列</w:t>
      </w:r>
      <w:r>
        <w:rPr>
          <w:spacing w:val="-64"/>
        </w:rPr>
        <w:t> </w:t>
      </w:r>
      <w:r>
        <w:rPr>
          <w:spacing w:val="-64"/>
        </w:rPr>
      </w:r>
      <w:r>
        <w:rPr/>
        <w:t>示的、与该境外经营相关的外币报表折算差额，全部或按处臵该境外经营的比例转入处臵当期损益。</w:t>
      </w:r>
    </w:p>
    <w:p>
      <w:pPr>
        <w:pStyle w:val="BodyText"/>
        <w:spacing w:line="240" w:lineRule="auto" w:before="54"/>
        <w:ind w:left="513" w:right="0"/>
        <w:jc w:val="left"/>
      </w:pPr>
      <w:r>
        <w:rPr/>
        <w:t>外币现金流量，采用现金流量发生日的即期汇率折算。汇率变动对现金的影响额作为调节项目，在现金流量表中单独列</w:t>
      </w:r>
    </w:p>
    <w:p>
      <w:pPr>
        <w:spacing w:after="0" w:line="240" w:lineRule="auto"/>
        <w:jc w:val="left"/>
        <w:sectPr>
          <w:pgSz w:w="11910" w:h="16840"/>
          <w:pgMar w:header="745" w:footer="1282" w:top="1060" w:bottom="148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报。</w:t>
      </w:r>
    </w:p>
    <w:p>
      <w:pPr>
        <w:spacing w:line="240" w:lineRule="auto" w:before="5"/>
        <w:rPr>
          <w:rFonts w:ascii="宋体" w:hAnsi="宋体" w:cs="宋体" w:eastAsia="宋体" w:hint="default"/>
          <w:sz w:val="14"/>
          <w:szCs w:val="14"/>
        </w:rPr>
      </w:pPr>
    </w:p>
    <w:p>
      <w:pPr>
        <w:pStyle w:val="BodyText"/>
        <w:spacing w:line="240" w:lineRule="auto" w:before="44"/>
        <w:ind w:left="513" w:right="0"/>
        <w:jc w:val="left"/>
      </w:pPr>
      <w:r>
        <w:rPr/>
        <w:t>年初数和上年实际数按照上年财务报表折算后的数额列示。</w:t>
      </w:r>
    </w:p>
    <w:p>
      <w:pPr>
        <w:spacing w:line="240" w:lineRule="auto" w:before="0"/>
        <w:rPr>
          <w:rFonts w:ascii="宋体" w:hAnsi="宋体" w:cs="宋体" w:eastAsia="宋体" w:hint="default"/>
          <w:sz w:val="18"/>
          <w:szCs w:val="18"/>
        </w:rPr>
      </w:pPr>
    </w:p>
    <w:p>
      <w:pPr>
        <w:pStyle w:val="Heading3"/>
        <w:spacing w:line="240" w:lineRule="auto" w:before="134"/>
        <w:ind w:right="0"/>
        <w:jc w:val="both"/>
        <w:rPr>
          <w:b w:val="0"/>
          <w:bCs w:val="0"/>
        </w:rPr>
      </w:pPr>
      <w:r>
        <w:rPr>
          <w:rFonts w:ascii="Arial" w:hAnsi="Arial" w:cs="Arial" w:eastAsia="Arial" w:hint="default"/>
        </w:rPr>
        <w:t>9</w:t>
      </w:r>
      <w:r>
        <w:rPr/>
        <w:t>、金融工具</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240" w:lineRule="auto"/>
        <w:ind w:left="513" w:right="0"/>
        <w:jc w:val="left"/>
      </w:pPr>
      <w:r>
        <w:rPr/>
        <w:t>金融工具包括金融资产、金融负债和权益工具。</w:t>
      </w:r>
    </w:p>
    <w:p>
      <w:pPr>
        <w:spacing w:line="240" w:lineRule="auto" w:before="0"/>
        <w:rPr>
          <w:rFonts w:ascii="宋体" w:hAnsi="宋体" w:cs="宋体" w:eastAsia="宋体" w:hint="default"/>
          <w:sz w:val="18"/>
          <w:szCs w:val="18"/>
        </w:rPr>
      </w:pPr>
    </w:p>
    <w:p>
      <w:pPr>
        <w:pStyle w:val="Heading3"/>
        <w:spacing w:line="240" w:lineRule="auto" w:before="134"/>
        <w:ind w:right="0"/>
        <w:jc w:val="both"/>
        <w:rPr>
          <w:b w:val="0"/>
          <w:bCs w:val="0"/>
        </w:rPr>
      </w:pPr>
      <w:r>
        <w:rPr/>
        <w:t>（</w:t>
      </w:r>
      <w:r>
        <w:rPr>
          <w:rFonts w:ascii="Arial" w:hAnsi="Arial" w:cs="Arial" w:eastAsia="Arial" w:hint="default"/>
        </w:rPr>
        <w:t>1</w:t>
      </w:r>
      <w:r>
        <w:rPr/>
        <w:t>）金融工具的分类</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管理层按照取得持有金融资产和承担金融负债的目的，将其划分为：以公允价值计量且其变动计入当期损益的金融资产</w:t>
      </w:r>
      <w:r>
        <w:rPr/>
        <w:t> 或金融负债，包括交易性金融资产或金融负债（和直接指定为以公允价值计量且其变动计入当期损益的金融资产或金融负 债）；持有至到期投资；应收款项；可供出售金融资产；其他金融负债等。</w:t>
      </w:r>
    </w:p>
    <w:p>
      <w:pPr>
        <w:spacing w:line="240" w:lineRule="auto" w:before="9"/>
        <w:rPr>
          <w:rFonts w:ascii="宋体" w:hAnsi="宋体" w:cs="宋体" w:eastAsia="宋体" w:hint="default"/>
          <w:sz w:val="14"/>
          <w:szCs w:val="14"/>
        </w:rPr>
      </w:pPr>
    </w:p>
    <w:p>
      <w:pPr>
        <w:pStyle w:val="Heading3"/>
        <w:spacing w:line="240" w:lineRule="auto"/>
        <w:ind w:right="0"/>
        <w:jc w:val="both"/>
        <w:rPr>
          <w:b w:val="0"/>
          <w:bCs w:val="0"/>
        </w:rPr>
      </w:pPr>
      <w:r>
        <w:rPr/>
        <w:t>（</w:t>
      </w:r>
      <w:r>
        <w:rPr>
          <w:rFonts w:ascii="Arial" w:hAnsi="Arial" w:cs="Arial" w:eastAsia="Arial" w:hint="default"/>
        </w:rPr>
        <w:t>2</w:t>
      </w:r>
      <w:r>
        <w:rPr/>
        <w:t>）金融工具的确认依据和计量方法</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240" w:lineRule="auto"/>
        <w:ind w:left="513" w:right="0"/>
        <w:jc w:val="left"/>
      </w:pPr>
      <w:r>
        <w:rPr>
          <w:rFonts w:ascii="宋体" w:hAnsi="宋体" w:cs="宋体" w:eastAsia="宋体" w:hint="default"/>
        </w:rPr>
        <w:t>1</w:t>
      </w:r>
      <w:r>
        <w:rPr/>
        <w:t>、金融资产的确认依据和计量方法：</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w:t>
      </w:r>
    </w:p>
    <w:p>
      <w:pPr>
        <w:pStyle w:val="BodyText"/>
        <w:spacing w:line="477" w:lineRule="auto" w:before="54"/>
        <w:ind w:right="1131"/>
        <w:jc w:val="both"/>
      </w:pPr>
      <w:r>
        <w:rPr>
          <w:spacing w:val="-2"/>
        </w:rPr>
        <w:t>中管理的可辨认金融工具组合的一部分，且有客观证据表明本集团近期采用短期获利方式对该组合进行管理；</w:t>
      </w:r>
      <w:r>
        <w:rPr>
          <w:rFonts w:ascii="宋体" w:hAnsi="宋体" w:cs="宋体" w:eastAsia="宋体" w:hint="default"/>
          <w:spacing w:val="-2"/>
        </w:rPr>
        <w:t>C.</w:t>
      </w:r>
      <w:r>
        <w:rPr>
          <w:spacing w:val="-2"/>
        </w:rPr>
        <w:t>属于衍生工</w:t>
      </w:r>
      <w:r>
        <w:rPr>
          <w:spacing w:val="-61"/>
        </w:rPr>
        <w:t> </w:t>
      </w: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477" w:lineRule="auto" w:before="54"/>
        <w:ind w:right="1131" w:firstLine="360"/>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本集团风险</w:t>
      </w:r>
      <w:r>
        <w:rPr>
          <w:spacing w:val="-61"/>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477" w:lineRule="auto" w:before="54"/>
        <w:ind w:right="0" w:firstLine="360"/>
        <w:jc w:val="left"/>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477" w:lineRule="auto" w:before="54"/>
        <w:ind w:left="513" w:right="1118"/>
        <w:jc w:val="left"/>
      </w:pPr>
      <w:r>
        <w:rPr/>
        <w:t>②持有至到期投资 是指到期日固定、回收金额固定或可确定，且本集团有明确意图和能力持有至到期的非衍生金融资产。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54"/>
        <w:ind w:right="0"/>
        <w:jc w:val="both"/>
      </w:pPr>
      <w:r>
        <w:rPr/>
        <w:t>当期损益。</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实际利率法是指按照金融资产或金融负债（含一组金融资产或金融负债）的实际利率计算其摊余成本及各期利息收入或</w:t>
      </w:r>
    </w:p>
    <w:p>
      <w:pPr>
        <w:spacing w:after="0" w:line="240" w:lineRule="auto"/>
        <w:jc w:val="left"/>
        <w:sectPr>
          <w:pgSz w:w="11910" w:h="16840"/>
          <w:pgMar w:header="745" w:footer="1282" w:top="1060" w:bottom="148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477" w:lineRule="auto" w:before="54"/>
        <w:ind w:right="1131" w:firstLine="360"/>
        <w:jc w:val="both"/>
      </w:pPr>
      <w:r>
        <w:rPr>
          <w:spacing w:val="-2"/>
        </w:rPr>
        <w:t>在计算实际利率时，本集团将在考虑金融资产或金融负债所有合同条款的基础上预计未来现金流量（不考虑未来的信用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4"/>
        </w:rPr>
        <w:t> </w:t>
      </w:r>
      <w:r>
        <w:rPr>
          <w:spacing w:val="-64"/>
        </w:rPr>
      </w:r>
      <w:r>
        <w:rPr/>
        <w:t>价或溢价等。</w:t>
      </w:r>
    </w:p>
    <w:p>
      <w:pPr>
        <w:pStyle w:val="BodyText"/>
        <w:spacing w:line="477" w:lineRule="auto" w:before="54"/>
        <w:ind w:left="513" w:right="0"/>
        <w:jc w:val="left"/>
      </w:pPr>
      <w:r>
        <w:rPr/>
        <w:t>③贷款和应收款项 </w:t>
      </w:r>
      <w:r>
        <w:rPr>
          <w:spacing w:val="-2"/>
        </w:rPr>
        <w:t>是指在活跃市场中没有报价、回收金额固定或可确定的非衍生金融资产。本集团划分为贷款和应收款的金融资产包括应</w:t>
      </w:r>
    </w:p>
    <w:p>
      <w:pPr>
        <w:pStyle w:val="BodyText"/>
        <w:spacing w:line="477" w:lineRule="auto" w:before="54"/>
        <w:ind w:left="513" w:right="0" w:hanging="361"/>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54"/>
        <w:ind w:right="0"/>
        <w:jc w:val="left"/>
      </w:pPr>
      <w:r>
        <w:rPr/>
        <w:t>当期损益。</w:t>
      </w:r>
    </w:p>
    <w:p>
      <w:pPr>
        <w:spacing w:line="240" w:lineRule="auto" w:before="10"/>
        <w:rPr>
          <w:rFonts w:ascii="宋体" w:hAnsi="宋体" w:cs="宋体" w:eastAsia="宋体" w:hint="default"/>
          <w:sz w:val="17"/>
          <w:szCs w:val="17"/>
        </w:rPr>
      </w:pPr>
    </w:p>
    <w:p>
      <w:pPr>
        <w:pStyle w:val="BodyText"/>
        <w:spacing w:line="477" w:lineRule="auto"/>
        <w:ind w:left="513" w:right="1033"/>
        <w:jc w:val="left"/>
      </w:pPr>
      <w:r>
        <w:rPr/>
        <w:t>④可供出售金融资产 包括初始确认时即被指定为可供出售的非衍生金融资产，以及除了以公允价值计量且其变动计入当期损益的金融资产、</w:t>
      </w:r>
    </w:p>
    <w:p>
      <w:pPr>
        <w:pStyle w:val="BodyText"/>
        <w:spacing w:line="477" w:lineRule="auto" w:before="54"/>
        <w:ind w:left="513" w:right="0" w:hanging="361"/>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477" w:lineRule="auto" w:before="54"/>
        <w:ind w:right="1118"/>
        <w:jc w:val="left"/>
      </w:pPr>
      <w:r>
        <w:rPr>
          <w:spacing w:val="-2"/>
        </w:rPr>
        <w:t>摊余成本相关的汇兑差额计入当期损益外，确认为其他综合收益并计入资本公积，在该金融资产终止确认时转出，计入当期</w:t>
      </w:r>
      <w:r>
        <w:rPr>
          <w:spacing w:val="-63"/>
        </w:rPr>
        <w:t> </w:t>
      </w:r>
      <w:r>
        <w:rPr>
          <w:spacing w:val="-63"/>
        </w:rPr>
      </w:r>
      <w:r>
        <w:rPr/>
        <w:t>损益。</w:t>
      </w:r>
    </w:p>
    <w:p>
      <w:pPr>
        <w:pStyle w:val="BodyText"/>
        <w:spacing w:line="477" w:lineRule="auto" w:before="54"/>
        <w:ind w:left="875" w:right="3194" w:hanging="363"/>
        <w:jc w:val="left"/>
      </w:pPr>
      <w:r>
        <w:rPr/>
        <w:t>可供出售金融资产持有期间取得的利息及被投资单位宣告发放的现金股利，计入投资收益。 </w:t>
      </w:r>
      <w:r>
        <w:rPr>
          <w:rFonts w:ascii="宋体" w:hAnsi="宋体" w:cs="宋体" w:eastAsia="宋体" w:hint="default"/>
        </w:rPr>
        <w:t>2</w:t>
      </w:r>
      <w:r>
        <w:rPr/>
        <w:t>、金融负债的确认依据和计量方法：</w:t>
      </w:r>
    </w:p>
    <w:p>
      <w:pPr>
        <w:pStyle w:val="BodyText"/>
        <w:spacing w:line="477" w:lineRule="auto" w:before="54"/>
        <w:ind w:left="513" w:right="1213"/>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477" w:lineRule="auto" w:before="54"/>
        <w:ind w:left="513" w:right="0" w:hanging="361"/>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54"/>
        <w:ind w:right="0"/>
        <w:jc w:val="left"/>
      </w:pPr>
      <w:r>
        <w:rPr/>
        <w:t>与该等金融负债相关的股利和利息支出计入当期损益。</w:t>
      </w:r>
    </w:p>
    <w:p>
      <w:pPr>
        <w:spacing w:line="240" w:lineRule="auto" w:before="11"/>
        <w:rPr>
          <w:rFonts w:ascii="宋体" w:hAnsi="宋体" w:cs="宋体" w:eastAsia="宋体" w:hint="default"/>
          <w:sz w:val="17"/>
          <w:szCs w:val="17"/>
        </w:rPr>
      </w:pPr>
    </w:p>
    <w:p>
      <w:pPr>
        <w:pStyle w:val="BodyText"/>
        <w:spacing w:line="477" w:lineRule="auto"/>
        <w:ind w:left="513"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477" w:lineRule="auto" w:before="54"/>
        <w:ind w:right="1118"/>
        <w:jc w:val="left"/>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477" w:lineRule="auto" w:before="54"/>
        <w:ind w:left="513" w:right="0"/>
        <w:jc w:val="left"/>
      </w:pPr>
      <w:r>
        <w:rPr/>
        <w:t>③财务担保合同及贷款承诺 </w:t>
      </w:r>
      <w:r>
        <w:rPr>
          <w:spacing w:val="-2"/>
        </w:rPr>
        <w:t>不属于指定为以公允价值计量且其变动计入当期损益的金融负债的财务担保合同，或没有指定为以公允价值计量且其变</w:t>
      </w:r>
    </w:p>
    <w:p>
      <w:pPr>
        <w:pStyle w:val="BodyText"/>
        <w:spacing w:line="240" w:lineRule="auto" w:before="54"/>
        <w:ind w:right="0"/>
        <w:jc w:val="left"/>
      </w:pPr>
      <w:r>
        <w:rPr/>
        <w:t>动计入损益并将以低于市场利率贷款的贷款承诺，以公允价值进行初始确认，在初始确认后按照《企业会计准则第</w:t>
      </w:r>
      <w:r>
        <w:rPr>
          <w:rFonts w:ascii="宋体" w:hAnsi="宋体" w:cs="宋体" w:eastAsia="宋体" w:hint="default"/>
        </w:rPr>
        <w:t>13</w:t>
      </w:r>
      <w:r>
        <w:rPr/>
        <w:t>号—或</w:t>
      </w:r>
    </w:p>
    <w:p>
      <w:pPr>
        <w:spacing w:after="0" w:line="240" w:lineRule="auto"/>
        <w:jc w:val="left"/>
        <w:sectPr>
          <w:footerReference w:type="default" r:id="rId28"/>
          <w:pgSz w:w="11910" w:h="16840"/>
          <w:pgMar w:footer="1282" w:header="745" w:top="1060" w:bottom="1480" w:left="980" w:right="0"/>
          <w:pgNumType w:start="6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有事项》确定的金额和初始确认金额扣除按照《企业会计准则第</w:t>
      </w:r>
      <w:r>
        <w:rPr>
          <w:rFonts w:ascii="宋体" w:hAnsi="宋体" w:cs="宋体" w:eastAsia="宋体" w:hint="default"/>
          <w:spacing w:val="-2"/>
        </w:rPr>
        <w:t>14</w:t>
      </w:r>
      <w:r>
        <w:rPr>
          <w:spacing w:val="-2"/>
        </w:rPr>
        <w:t>号—收入》的原则确定的累计摊销额后的余额之中的较高</w:t>
      </w:r>
      <w:r>
        <w:rPr>
          <w:spacing w:val="-61"/>
        </w:rPr>
        <w:t> </w:t>
      </w:r>
      <w:r>
        <w:rPr>
          <w:spacing w:val="-61"/>
        </w:rPr>
      </w:r>
      <w:r>
        <w:rPr/>
        <w:t>者进行后续计量。</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3</w:t>
      </w:r>
      <w:r>
        <w:rPr/>
        <w:t>）金融资产转移的确认依据和计量方法</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1133" w:firstLine="360"/>
        <w:jc w:val="both"/>
      </w:pPr>
      <w:r>
        <w:rPr>
          <w:spacing w:val="-2"/>
        </w:rPr>
        <w:t>满足下列条件之一的金融资产，予以终止确认：①收取该金融资产现金流量的合同权利终止；②该金融资产已转移，且</w:t>
      </w:r>
      <w:r>
        <w:rPr/>
        <w:t> </w:t>
      </w: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477" w:lineRule="auto" w:before="54"/>
        <w:ind w:right="113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477" w:lineRule="auto" w:before="54"/>
        <w:ind w:right="113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477" w:lineRule="auto" w:before="54"/>
        <w:ind w:right="113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4</w:t>
      </w:r>
      <w:r>
        <w:rPr/>
        <w:t>）金融负债终止确认条件</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129" w:firstLine="360"/>
        <w:jc w:val="both"/>
      </w:pPr>
      <w:r>
        <w:rPr>
          <w:spacing w:val="-2"/>
        </w:rPr>
        <w:t>金融负债的现时义务全部或部分已经解除的，才能终止确认该金融负债或其一部分。本集团（债务人）与债权人之间签</w:t>
      </w:r>
      <w:r>
        <w:rPr/>
        <w:t> </w:t>
      </w:r>
      <w:r>
        <w:rPr>
          <w:spacing w:val="-2"/>
        </w:rPr>
        <w:t>订协议，以承担新金融负债方式替换现存金融负债，且新金融负债与现存金融负债的合同条款实质上不同的，终止确认现存</w:t>
      </w:r>
      <w:r>
        <w:rPr>
          <w:spacing w:val="-63"/>
        </w:rPr>
        <w:t> </w:t>
      </w:r>
      <w:r>
        <w:rPr>
          <w:spacing w:val="-63"/>
        </w:rPr>
      </w:r>
      <w:r>
        <w:rPr/>
        <w:t>金融负债，并同时确认新金融负债。</w:t>
      </w:r>
    </w:p>
    <w:p>
      <w:pPr>
        <w:pStyle w:val="BodyText"/>
        <w:spacing w:line="477" w:lineRule="auto" w:before="54"/>
        <w:ind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5</w:t>
      </w:r>
      <w:r>
        <w:rPr/>
        <w:t>）金融资产和金融负债公允价值的确定方法</w:t>
      </w:r>
      <w:r>
        <w:rPr>
          <w:b w:val="0"/>
          <w:bCs w:val="0"/>
        </w:rPr>
      </w:r>
    </w:p>
    <w:p>
      <w:pPr>
        <w:spacing w:line="240" w:lineRule="auto" w:before="0"/>
        <w:rPr>
          <w:rFonts w:ascii="微软雅黑" w:hAnsi="微软雅黑" w:cs="微软雅黑" w:eastAsia="微软雅黑" w:hint="default"/>
          <w:b/>
          <w:bCs/>
          <w:sz w:val="24"/>
          <w:szCs w:val="24"/>
        </w:rPr>
      </w:pPr>
    </w:p>
    <w:p>
      <w:pPr>
        <w:pStyle w:val="BodyText"/>
        <w:spacing w:line="477" w:lineRule="auto"/>
        <w:ind w:right="1130" w:firstLine="360"/>
        <w:jc w:val="both"/>
      </w:pPr>
      <w:r>
        <w:rPr>
          <w:spacing w:val="-2"/>
        </w:rPr>
        <w:t>公允价值，指在公平交易中，熟悉情况的交易双方自愿进行资产交换或债务清偿的金额。金融工具存在活跃市场的，本</w:t>
      </w:r>
      <w:r>
        <w:rPr/>
        <w:t> </w:t>
      </w:r>
      <w:r>
        <w:rPr>
          <w:spacing w:val="-2"/>
        </w:rPr>
        <w:t>集团采用活跃市场中的报价确定其公允价值。活跃市场中的报价是指易于定期从交易所、经纪商、行业协会、定价服务机构</w:t>
      </w:r>
      <w:r>
        <w:rPr>
          <w:spacing w:val="-63"/>
        </w:rPr>
        <w:t> </w:t>
      </w:r>
      <w:r>
        <w:rPr>
          <w:spacing w:val="-63"/>
        </w:rPr>
      </w:r>
      <w:r>
        <w:rPr>
          <w:spacing w:val="-2"/>
        </w:rPr>
        <w:t>等获得的价格，且代表了在公平交易中实际发生的市场交易的价格。金融工具不存在活跃市场的，本集团采用估值技术确定</w:t>
      </w:r>
      <w:r>
        <w:rPr>
          <w:spacing w:val="-63"/>
        </w:rPr>
        <w:t> </w:t>
      </w:r>
      <w:r>
        <w:rPr>
          <w:spacing w:val="-63"/>
        </w:rPr>
      </w:r>
      <w:r>
        <w:rPr>
          <w:spacing w:val="-2"/>
        </w:rPr>
        <w:t>其公允价值。估值技术包括参考熟悉情况并自愿交易的各方最近进行的市场交易中使用的价格、参照实质上相同的其他金融</w:t>
      </w:r>
      <w:r>
        <w:rPr>
          <w:spacing w:val="-64"/>
        </w:rPr>
        <w:t> </w:t>
      </w:r>
      <w:r>
        <w:rPr>
          <w:spacing w:val="-64"/>
        </w:rPr>
      </w:r>
      <w:r>
        <w:rPr/>
        <w:t>工具当前的公允价值、现金流量折现法和期权定价模型等。</w:t>
      </w:r>
    </w:p>
    <w:p>
      <w:pPr>
        <w:spacing w:after="0" w:line="477" w:lineRule="auto"/>
        <w:jc w:val="both"/>
        <w:sectPr>
          <w:pgSz w:w="11910" w:h="16840"/>
          <w:pgMar w:header="745" w:footer="1282" w:top="1060" w:bottom="148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both"/>
        <w:rPr>
          <w:b w:val="0"/>
          <w:bCs w:val="0"/>
        </w:rPr>
      </w:pPr>
      <w:r>
        <w:rPr/>
        <w:t>（</w:t>
      </w:r>
      <w:r>
        <w:rPr>
          <w:rFonts w:ascii="Arial" w:hAnsi="Arial" w:cs="Arial" w:eastAsia="Arial" w:hint="default"/>
        </w:rPr>
        <w:t>6</w:t>
      </w:r>
      <w:r>
        <w:rPr/>
        <w:t>）金融资产（不含应收款项）减值测试方法、减值准备计提方法</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1132" w:firstLine="360"/>
        <w:jc w:val="both"/>
      </w:pPr>
      <w:r>
        <w:rPr>
          <w:spacing w:val="-2"/>
        </w:rPr>
        <w:t>除了以公允价值计量且其变动计入当期损益的金融资产外，本集团在每个资产负债表日对其他金融资产的账面价值进行</w:t>
      </w:r>
      <w:r>
        <w:rPr/>
        <w:t> 检查，有客观证据表明金融资产发生减值的，计提减值准备。</w:t>
      </w:r>
    </w:p>
    <w:p>
      <w:pPr>
        <w:pStyle w:val="BodyText"/>
        <w:spacing w:line="477" w:lineRule="auto" w:before="54"/>
        <w:ind w:right="1131" w:firstLine="360"/>
        <w:jc w:val="both"/>
      </w:pPr>
      <w:r>
        <w:rPr>
          <w:spacing w:val="-2"/>
        </w:rPr>
        <w:t>本集团对单项金额重大的金融资产单独进行减值测试；对单项金额不重大的金融资产，单独进行减值测试或包括在具有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4"/>
        </w:rPr>
        <w:t> </w:t>
      </w:r>
      <w:r>
        <w:rPr>
          <w:spacing w:val="-64"/>
        </w:rPr>
      </w:r>
      <w:r>
        <w:rPr/>
        <w:t>似信用风险特征的金融资产组合中进行减值测试。</w:t>
      </w:r>
    </w:p>
    <w:p>
      <w:pPr>
        <w:pStyle w:val="BodyText"/>
        <w:spacing w:line="477" w:lineRule="auto" w:before="54"/>
        <w:ind w:left="513"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477" w:lineRule="auto" w:before="54"/>
        <w:ind w:right="1131"/>
        <w:jc w:val="both"/>
      </w:pP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477" w:lineRule="auto" w:before="54"/>
        <w:ind w:left="513"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477" w:lineRule="auto" w:before="54"/>
        <w:ind w:left="513" w:right="0" w:hanging="361"/>
        <w:jc w:val="left"/>
      </w:pPr>
      <w:r>
        <w:rPr/>
        <w:t>减值。其中‚严重下跌‛是指公允价值下跌幅度累计超过</w:t>
      </w:r>
      <w:r>
        <w:rPr>
          <w:rFonts w:ascii="宋体" w:hAnsi="宋体" w:cs="宋体" w:eastAsia="宋体" w:hint="default"/>
        </w:rPr>
        <w:t>20%</w:t>
      </w:r>
      <w:r>
        <w:rPr/>
        <w:t>；‚非暂时性下跌‛是指公允价值连续下跌时间超过</w:t>
      </w:r>
      <w:r>
        <w:rPr>
          <w:rFonts w:ascii="宋体" w:hAnsi="宋体" w:cs="宋体" w:eastAsia="宋体" w:hint="default"/>
        </w:rPr>
        <w:t>12</w:t>
      </w:r>
      <w:r>
        <w:rPr/>
        <w:t>个月。</w:t>
      </w:r>
      <w:r>
        <w:rPr>
          <w:spacing w:val="88"/>
        </w:rPr>
        <w:t> </w:t>
      </w:r>
      <w:r>
        <w:rPr>
          <w:spacing w:val="-2"/>
        </w:rPr>
        <w:t>可供出售金融资产发生减值时，将原计入资本公积的因公允价值下降形成的累计损失予以转出并计入当期损益，该转出</w:t>
      </w:r>
    </w:p>
    <w:p>
      <w:pPr>
        <w:pStyle w:val="BodyText"/>
        <w:spacing w:line="477" w:lineRule="auto" w:before="52"/>
        <w:ind w:left="513" w:right="0" w:hanging="361"/>
        <w:jc w:val="left"/>
      </w:pP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477" w:lineRule="auto" w:before="54"/>
        <w:ind w:right="1133"/>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477" w:lineRule="auto" w:before="54"/>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spacing w:line="240" w:lineRule="auto" w:before="9"/>
        <w:rPr>
          <w:rFonts w:ascii="宋体" w:hAnsi="宋体" w:cs="宋体" w:eastAsia="宋体" w:hint="default"/>
          <w:sz w:val="14"/>
          <w:szCs w:val="14"/>
        </w:rPr>
      </w:pPr>
    </w:p>
    <w:p>
      <w:pPr>
        <w:pStyle w:val="Heading3"/>
        <w:spacing w:line="408" w:lineRule="auto"/>
        <w:ind w:right="1180"/>
        <w:jc w:val="both"/>
        <w:rPr>
          <w:b w:val="0"/>
          <w:bCs w:val="0"/>
        </w:rPr>
      </w:pPr>
      <w:r>
        <w:rPr>
          <w:spacing w:val="-1"/>
        </w:rPr>
        <w:t>（</w:t>
      </w:r>
      <w:r>
        <w:rPr>
          <w:rFonts w:ascii="Arial" w:hAnsi="Arial" w:cs="Arial" w:eastAsia="Arial" w:hint="default"/>
          <w:spacing w:val="-1"/>
        </w:rPr>
        <w:t>7</w:t>
      </w:r>
      <w:r>
        <w:rPr>
          <w:spacing w:val="-1"/>
        </w:rPr>
        <w:t>）将尚未到期的持有至到期投资重分类为可供出售金融资产的，说明持有意图或能力发生改变的依据</w:t>
      </w:r>
      <w:r>
        <w:rPr>
          <w:spacing w:val="2"/>
        </w:rPr>
        <w:t> </w:t>
      </w:r>
      <w:r>
        <w:rPr>
          <w:spacing w:val="2"/>
        </w:rPr>
      </w:r>
      <w:r>
        <w:rPr>
          <w:rFonts w:ascii="Arial" w:hAnsi="Arial" w:cs="Arial" w:eastAsia="Arial" w:hint="default"/>
        </w:rPr>
        <w:t>10</w:t>
      </w:r>
      <w:r>
        <w:rPr/>
        <w:t>、应收款项坏账准备的确认标准和计提方法</w:t>
      </w:r>
      <w:r>
        <w:rPr>
          <w:b w:val="0"/>
          <w:bCs w:val="0"/>
        </w:rPr>
      </w:r>
    </w:p>
    <w:p>
      <w:pPr>
        <w:spacing w:line="240" w:lineRule="auto" w:before="13"/>
        <w:rPr>
          <w:rFonts w:ascii="微软雅黑" w:hAnsi="微软雅黑" w:cs="微软雅黑" w:eastAsia="微软雅黑" w:hint="default"/>
          <w:b/>
          <w:bCs/>
          <w:sz w:val="12"/>
          <w:szCs w:val="12"/>
        </w:rPr>
      </w:pPr>
    </w:p>
    <w:p>
      <w:pPr>
        <w:pStyle w:val="BodyText"/>
        <w:spacing w:line="477" w:lineRule="auto"/>
        <w:ind w:left="513" w:right="1033"/>
        <w:jc w:val="left"/>
      </w:pPr>
      <w:r>
        <w:rPr/>
        <w:t>（</w:t>
      </w:r>
      <w:r>
        <w:rPr>
          <w:rFonts w:ascii="宋体" w:hAnsi="宋体" w:cs="宋体" w:eastAsia="宋体" w:hint="default"/>
        </w:rPr>
        <w:t>1</w:t>
      </w:r>
      <w:r>
        <w:rPr/>
        <w:t>）坏账准备的确认标准 本集团在资产负债表日对应收款项账面价值进行检查，对存在下列客观证据表明应收款项发生减值的，计提减值准备：</w:t>
      </w:r>
    </w:p>
    <w:p>
      <w:pPr>
        <w:pStyle w:val="BodyText"/>
        <w:spacing w:line="477" w:lineRule="auto" w:before="54"/>
        <w:ind w:right="1133"/>
        <w:jc w:val="both"/>
      </w:pPr>
      <w:r>
        <w:rPr>
          <w:spacing w:val="-2"/>
        </w:rPr>
        <w:t>①债务人发生严重的财务困难；②债务人违反合同条款（如偿付利息或本金发生违约或逾期等）；③债务人很可能倒闭或进</w:t>
      </w:r>
      <w:r>
        <w:rPr>
          <w:spacing w:val="-66"/>
        </w:rPr>
        <w:t> </w:t>
      </w:r>
      <w:r>
        <w:rPr>
          <w:spacing w:val="-66"/>
        </w:rPr>
      </w:r>
      <w:r>
        <w:rPr/>
        <w:t>行其他财务重组；④其他表明应收款项发生减值的客观依据。</w:t>
      </w:r>
    </w:p>
    <w:p>
      <w:pPr>
        <w:spacing w:after="0" w:line="477" w:lineRule="auto"/>
        <w:jc w:val="both"/>
        <w:sectPr>
          <w:pgSz w:w="11910" w:h="16840"/>
          <w:pgMar w:header="745" w:footer="1282" w:top="1060" w:bottom="148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781048" type="#_x0000_t75" stroked="false">
            <v:imagedata r:id="rId13" o:title=""/>
          </v:shape>
        </w:pict>
      </w:r>
    </w:p>
    <w:p>
      <w:pPr>
        <w:spacing w:line="240" w:lineRule="auto" w:before="2"/>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2</w:t>
      </w:r>
      <w:r>
        <w:rPr/>
        <w:t>）坏账准备的计提方法</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①单项金额重大并单项计提坏账准备的应收款项坏账准备的确认标准、计提方法；</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②按信用风险组合计提坏账准备的应收款项的确定依据、坏账准备计提方法；</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③单项金额虽不重大但单项计提坏账准备的应收款项。</w:t>
      </w: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r>
        <w:rPr/>
        <w:t>（</w:t>
      </w:r>
      <w:r>
        <w:rPr>
          <w:rFonts w:ascii="Arial" w:hAnsi="Arial" w:cs="Arial" w:eastAsia="Arial" w:hint="default"/>
        </w:rPr>
        <w:t>1</w:t>
      </w:r>
      <w:r>
        <w:rPr/>
        <w:t>）单项金额重大的应收款项坏账准备</w:t>
      </w:r>
      <w:r>
        <w:rPr>
          <w:b w:val="0"/>
          <w:bCs w:val="0"/>
        </w:rPr>
      </w:r>
    </w:p>
    <w:p>
      <w:pPr>
        <w:spacing w:line="240" w:lineRule="auto" w:before="16"/>
        <w:rPr>
          <w:rFonts w:ascii="微软雅黑" w:hAnsi="微软雅黑" w:cs="微软雅黑" w:eastAsia="微软雅黑"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67"/>
                <w:sz w:val="18"/>
                <w:szCs w:val="18"/>
              </w:rPr>
              <w:t> </w:t>
            </w:r>
            <w:r>
              <w:rPr>
                <w:rFonts w:ascii="宋体" w:hAnsi="宋体" w:cs="宋体" w:eastAsia="宋体" w:hint="default"/>
                <w:sz w:val="18"/>
                <w:szCs w:val="18"/>
              </w:rPr>
              <w:t>500</w:t>
            </w:r>
            <w:r>
              <w:rPr>
                <w:rFonts w:ascii="宋体" w:hAnsi="宋体" w:cs="宋体" w:eastAsia="宋体" w:hint="default"/>
                <w:spacing w:val="-69"/>
                <w:sz w:val="18"/>
                <w:szCs w:val="18"/>
              </w:rPr>
              <w:t> </w:t>
            </w:r>
            <w:r>
              <w:rPr>
                <w:rFonts w:ascii="宋体" w:hAnsi="宋体" w:cs="宋体" w:eastAsia="宋体" w:hint="default"/>
                <w:sz w:val="18"/>
                <w:szCs w:val="18"/>
              </w:rPr>
              <w:t>万元以上的应收款项确认为单 项金额重大的应收款项。</w:t>
            </w:r>
          </w:p>
        </w:tc>
      </w:tr>
      <w:tr>
        <w:trPr>
          <w:trHeight w:val="1652"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b/>
                <w:bCs/>
                <w:sz w:val="18"/>
                <w:szCs w:val="18"/>
              </w:rPr>
            </w:pPr>
          </w:p>
          <w:p>
            <w:pPr>
              <w:pStyle w:val="TableParagraph"/>
              <w:spacing w:line="240" w:lineRule="auto" w:before="17"/>
              <w:ind w:right="0"/>
              <w:jc w:val="left"/>
              <w:rPr>
                <w:rFonts w:ascii="微软雅黑" w:hAnsi="微软雅黑" w:cs="微软雅黑" w:eastAsia="微软雅黑"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本集团对单项金额重大的应收款项单独进行减值测试，单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独测试未发生减值的金融资产，包括在具有类似信用风险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特征的金融资产组合中进行减值测试。单项测试已确认减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值损失的应收款项，不再包括在具有类似信用风险特征的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应收款项组合中进行减值测试。</w:t>
            </w:r>
          </w:p>
        </w:tc>
      </w:tr>
    </w:tbl>
    <w:p>
      <w:pPr>
        <w:spacing w:line="240" w:lineRule="auto" w:before="10"/>
        <w:rPr>
          <w:rFonts w:ascii="微软雅黑" w:hAnsi="微软雅黑" w:cs="微软雅黑" w:eastAsia="微软雅黑" w:hint="default"/>
          <w:b/>
          <w:bCs/>
          <w:sz w:val="14"/>
          <w:szCs w:val="14"/>
        </w:rPr>
      </w:pPr>
    </w:p>
    <w:p>
      <w:pPr>
        <w:spacing w:line="336" w:lineRule="exact"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2</w:t>
      </w:r>
      <w:r>
        <w:rPr>
          <w:rFonts w:ascii="微软雅黑" w:hAnsi="微软雅黑" w:cs="微软雅黑" w:eastAsia="微软雅黑" w:hint="default"/>
          <w:b/>
          <w:bCs/>
          <w:sz w:val="21"/>
          <w:szCs w:val="21"/>
        </w:rPr>
        <w:t>）按组合计提坏账准备的应收款项</w:t>
      </w:r>
      <w:r>
        <w:rPr>
          <w:rFonts w:ascii="微软雅黑" w:hAnsi="微软雅黑" w:cs="微软雅黑" w:eastAsia="微软雅黑" w:hint="default"/>
          <w:sz w:val="21"/>
          <w:szCs w:val="21"/>
        </w:rPr>
      </w:r>
    </w:p>
    <w:p>
      <w:pPr>
        <w:spacing w:line="240" w:lineRule="auto" w:before="13"/>
        <w:rPr>
          <w:rFonts w:ascii="微软雅黑" w:hAnsi="微软雅黑" w:cs="微软雅黑" w:eastAsia="微软雅黑"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信用风险特征组合的确定依据</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6"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其中：半年以内</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
              <w:jc w:val="center"/>
              <w:rPr>
                <w:rFonts w:ascii="宋体" w:hAnsi="宋体" w:cs="宋体" w:eastAsia="宋体" w:hint="default"/>
                <w:sz w:val="18"/>
                <w:szCs w:val="18"/>
              </w:rPr>
            </w:pPr>
            <w:r>
              <w:rPr>
                <w:rFonts w:ascii="宋体" w:hAnsi="宋体" w:cs="宋体" w:eastAsia="宋体" w:hint="default"/>
                <w:sz w:val="18"/>
                <w:szCs w:val="18"/>
              </w:rPr>
              <w:t>半年至</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r>
    </w:tbl>
    <w:p>
      <w:pPr>
        <w:pStyle w:val="BodyText"/>
        <w:spacing w:line="240" w:lineRule="auto" w:before="49"/>
        <w:ind w:right="0"/>
        <w:jc w:val="left"/>
      </w:pPr>
      <w:r>
        <w:rPr/>
        <w:t>组合中，采用余额百分比法计提坏账准备的</w:t>
      </w:r>
    </w:p>
    <w:p>
      <w:pPr>
        <w:pStyle w:val="BodyText"/>
        <w:spacing w:line="360" w:lineRule="auto" w:before="115"/>
        <w:ind w:right="7694"/>
        <w:jc w:val="left"/>
      </w:pPr>
      <w:r>
        <w:rPr/>
        <w:t>□ 适用 √ 不适用 组合中，采用其他方法计提坏账准备的</w:t>
      </w:r>
    </w:p>
    <w:p>
      <w:pPr>
        <w:pStyle w:val="BodyText"/>
        <w:spacing w:line="240" w:lineRule="auto" w:before="25"/>
        <w:ind w:right="0"/>
        <w:jc w:val="left"/>
      </w:pPr>
      <w:r>
        <w:rPr/>
        <w:t>□ 适用 √ 不适用</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3</w:t>
      </w:r>
      <w:r>
        <w:rPr/>
        <w:t>）单项金额虽不重大但单项计提坏账准备的应收账款</w:t>
      </w:r>
      <w:r>
        <w:rPr>
          <w:b w:val="0"/>
          <w:bCs w:val="0"/>
        </w:rPr>
      </w:r>
    </w:p>
    <w:p>
      <w:pPr>
        <w:spacing w:line="240" w:lineRule="auto" w:before="16"/>
        <w:rPr>
          <w:rFonts w:ascii="微软雅黑" w:hAnsi="微软雅黑" w:cs="微软雅黑" w:eastAsia="微软雅黑"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、与对方存在争议或涉及诉讼、仲裁的应收款项；</w:t>
            </w:r>
            <w:r>
              <w:rPr>
                <w:rFonts w:ascii="宋体" w:hAnsi="宋体" w:cs="宋体" w:eastAsia="宋体" w:hint="default"/>
                <w:sz w:val="18"/>
                <w:szCs w:val="18"/>
              </w:rPr>
              <w:t>2</w:t>
            </w:r>
            <w:r>
              <w:rPr>
                <w:rFonts w:ascii="宋体" w:hAnsi="宋体" w:cs="宋体" w:eastAsia="宋体" w:hint="default"/>
                <w:sz w:val="18"/>
                <w:szCs w:val="18"/>
              </w:rPr>
              <w:t>、已有明显迹象表明债务</w:t>
            </w:r>
          </w:p>
        </w:tc>
      </w:tr>
    </w:tbl>
    <w:p>
      <w:pPr>
        <w:spacing w:after="0" w:line="240" w:lineRule="auto"/>
        <w:jc w:val="left"/>
        <w:rPr>
          <w:rFonts w:ascii="宋体" w:hAnsi="宋体" w:cs="宋体" w:eastAsia="宋体" w:hint="default"/>
          <w:sz w:val="18"/>
          <w:szCs w:val="18"/>
        </w:rPr>
        <w:sectPr>
          <w:footerReference w:type="default" r:id="rId29"/>
          <w:pgSz w:w="11910" w:h="16840"/>
          <w:pgMar w:footer="980" w:header="745" w:top="1060" w:bottom="1160" w:left="980" w:right="0"/>
          <w:pgNumType w:start="72"/>
        </w:sectPr>
      </w:pPr>
    </w:p>
    <w:p>
      <w:pPr>
        <w:spacing w:line="240" w:lineRule="auto" w:before="0"/>
        <w:rPr>
          <w:rFonts w:ascii="微软雅黑" w:hAnsi="微软雅黑" w:cs="微软雅黑" w:eastAsia="微软雅黑" w:hint="default"/>
          <w:b/>
          <w:bCs/>
          <w:sz w:val="20"/>
          <w:szCs w:val="20"/>
        </w:rPr>
      </w:pPr>
      <w:r>
        <w:rPr/>
        <w:pict>
          <v:shape style="position:absolute;margin-left:460.320007pt;margin-top:764.919983pt;width:135.0pt;height:77pt;mso-position-horizontal-relative:page;mso-position-vertical-relative:page;z-index:2008" type="#_x0000_t75" stroked="false">
            <v:imagedata r:id="rId13" o:title=""/>
          </v:shape>
        </w:pict>
      </w:r>
    </w:p>
    <w:p>
      <w:pPr>
        <w:spacing w:line="240" w:lineRule="auto" w:before="7"/>
        <w:rPr>
          <w:rFonts w:ascii="微软雅黑" w:hAnsi="微软雅黑" w:cs="微软雅黑" w:eastAsia="微软雅黑" w:hint="default"/>
          <w:b/>
          <w:bCs/>
          <w:sz w:val="23"/>
          <w:szCs w:val="23"/>
        </w:rPr>
      </w:pPr>
    </w:p>
    <w:p>
      <w:pPr>
        <w:pStyle w:val="BodyText"/>
        <w:spacing w:line="240" w:lineRule="auto" w:before="44"/>
        <w:ind w:left="0" w:right="1137"/>
        <w:jc w:val="right"/>
      </w:pPr>
      <w:r>
        <w:rPr/>
        <w:pict>
          <v:shape style="position:absolute;margin-left:56.459999pt;margin-top:-18.868254pt;width:479.2pt;height:69.9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36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人很可能无法履行还款义务的应收款项。</w:t>
                        </w:r>
                      </w:p>
                    </w:tc>
                  </w:tr>
                  <w:tr>
                    <w:trPr>
                      <w:trHeight w:val="102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pacing w:val="-2"/>
                            <w:sz w:val="18"/>
                            <w:szCs w:val="18"/>
                          </w:rPr>
                          <w:t>本集团对于单项金额虽不重大但具备以下特征的应收款项，单独进行减值测试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有客观证据表明其发生了减值的，根据其未来现金流量现值低于其账面价值的 差额，确认减值损失，计提坏账准备。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336" w:lineRule="exact"/>
        <w:ind w:right="0"/>
        <w:jc w:val="left"/>
        <w:rPr>
          <w:b w:val="0"/>
          <w:bCs w:val="0"/>
        </w:rPr>
      </w:pPr>
      <w:r>
        <w:rPr>
          <w:rFonts w:ascii="Arial" w:hAnsi="Arial" w:cs="Arial" w:eastAsia="Arial" w:hint="default"/>
        </w:rPr>
        <w:t>11</w:t>
      </w:r>
      <w:r>
        <w:rPr/>
        <w:t>、存货</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）存货的分类</w:t>
      </w:r>
      <w:r>
        <w:rPr>
          <w:rFonts w:ascii="微软雅黑" w:hAnsi="微软雅黑" w:cs="微软雅黑" w:eastAsia="微软雅黑" w:hint="default"/>
          <w:sz w:val="21"/>
          <w:szCs w:val="21"/>
        </w:rPr>
      </w:r>
    </w:p>
    <w:p>
      <w:pPr>
        <w:spacing w:line="240" w:lineRule="auto" w:before="17"/>
        <w:rPr>
          <w:rFonts w:ascii="微软雅黑" w:hAnsi="微软雅黑" w:cs="微软雅黑" w:eastAsia="微软雅黑" w:hint="default"/>
          <w:b/>
          <w:bCs/>
          <w:sz w:val="23"/>
          <w:szCs w:val="23"/>
        </w:rPr>
      </w:pPr>
    </w:p>
    <w:p>
      <w:pPr>
        <w:pStyle w:val="BodyText"/>
        <w:spacing w:line="240" w:lineRule="auto"/>
        <w:ind w:left="513" w:right="0"/>
        <w:jc w:val="left"/>
      </w:pPr>
      <w:r>
        <w:rPr/>
        <w:t>存货主要包括原材料、在产品、产成品、库存商品、低值易耗品、包装物、消耗性生物资产、开发成本、完工开发产品</w:t>
      </w:r>
    </w:p>
    <w:p>
      <w:pPr>
        <w:spacing w:line="240" w:lineRule="auto" w:before="10"/>
        <w:rPr>
          <w:rFonts w:ascii="宋体" w:hAnsi="宋体" w:cs="宋体" w:eastAsia="宋体" w:hint="default"/>
          <w:sz w:val="17"/>
          <w:szCs w:val="17"/>
        </w:rPr>
      </w:pPr>
    </w:p>
    <w:p>
      <w:pPr>
        <w:pStyle w:val="BodyText"/>
        <w:spacing w:line="240" w:lineRule="auto"/>
        <w:ind w:right="0"/>
        <w:jc w:val="left"/>
      </w:pPr>
      <w:r>
        <w:rPr/>
        <w:t>等。</w:t>
      </w: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t>（</w:t>
      </w:r>
      <w:r>
        <w:rPr>
          <w:rFonts w:ascii="Arial" w:hAnsi="Arial" w:cs="Arial" w:eastAsia="Arial" w:hint="default"/>
        </w:rPr>
        <w:t>2</w:t>
      </w:r>
      <w:r>
        <w:rPr/>
        <w:t>）发出存货的计价方法</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439" w:lineRule="auto"/>
        <w:ind w:left="513" w:right="1393" w:hanging="361"/>
        <w:jc w:val="left"/>
      </w:pPr>
      <w:r>
        <w:rPr/>
        <w:t>计价方法：加权平均法 存货在取得时按实际成本计价，存货成本包括采购成本、加工成本和其他成本。领用和发出时按加权平均法计价。</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r>
        <w:rPr/>
        <w:t>（</w:t>
      </w:r>
      <w:r>
        <w:rPr>
          <w:rFonts w:ascii="Arial" w:hAnsi="Arial" w:cs="Arial" w:eastAsia="Arial" w:hint="default"/>
        </w:rPr>
        <w:t>3</w:t>
      </w:r>
      <w:r>
        <w:rPr/>
        <w:t>）存货可变现净值的确定依据及存货跌价准备的计提方法</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034" w:firstLine="360"/>
        <w:jc w:val="left"/>
      </w:pPr>
      <w:r>
        <w:rPr>
          <w:spacing w:val="-2"/>
        </w:rPr>
        <w:t>可变现净值是指在日常活动中，存货的估计售价减去至完工时估计将要发生的成本、估计的销售费用以及相关税费后的</w:t>
      </w:r>
      <w:r>
        <w:rPr/>
        <w:t> 金额。在确定存货的可变现净值时，以取得的确凿证据为基础，同时考虑持有存货的目的以及资产负债表日后事项的影响。</w:t>
      </w:r>
    </w:p>
    <w:p>
      <w:pPr>
        <w:pStyle w:val="BodyText"/>
        <w:spacing w:line="477" w:lineRule="auto" w:before="54"/>
        <w:ind w:right="0" w:firstLine="360"/>
        <w:jc w:val="left"/>
      </w:pPr>
      <w:r>
        <w:rPr>
          <w:spacing w:val="-2"/>
        </w:rPr>
        <w:t>在资产负债表日，存货按照成本与可变现净值孰低计量。当其可变现净值低于成本时，提取存货跌价准备。存货跌价准</w:t>
      </w:r>
      <w:r>
        <w:rPr/>
        <w:t> 备通常按单个存货项目的成本高于其可变现净值的差额提取。</w:t>
      </w:r>
    </w:p>
    <w:p>
      <w:pPr>
        <w:pStyle w:val="BodyText"/>
        <w:spacing w:line="477" w:lineRule="auto" w:before="54"/>
        <w:ind w:right="0" w:firstLine="360"/>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4</w:t>
      </w:r>
      <w:r>
        <w:rPr/>
        <w:t>）存货的盘存制度</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439" w:lineRule="auto"/>
        <w:ind w:left="513" w:right="7873" w:hanging="361"/>
        <w:jc w:val="left"/>
      </w:pPr>
      <w:r>
        <w:rPr/>
        <w:t>盘存制度：永续盘存制 存货的盘存制度为永续盘存制。</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r>
        <w:rPr/>
        <w:t>（</w:t>
      </w:r>
      <w:r>
        <w:rPr>
          <w:rFonts w:ascii="Arial" w:hAnsi="Arial" w:cs="Arial" w:eastAsia="Arial" w:hint="default"/>
        </w:rPr>
        <w:t>5</w:t>
      </w:r>
      <w:r>
        <w:rPr/>
        <w:t>）低值易耗品和包装物的摊销方法</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360" w:lineRule="auto"/>
        <w:ind w:right="8954"/>
        <w:jc w:val="left"/>
      </w:pPr>
      <w:r>
        <w:rPr/>
        <w:t>低值易耗品 摊销方法：一次摊销法</w:t>
      </w:r>
    </w:p>
    <w:p>
      <w:pPr>
        <w:pStyle w:val="BodyText"/>
        <w:spacing w:line="436" w:lineRule="auto" w:before="104"/>
        <w:ind w:right="7154" w:firstLine="360"/>
        <w:jc w:val="left"/>
      </w:pPr>
      <w:r>
        <w:rPr/>
        <w:t>低值易耗品于领用时按一次摊销法摊销。 包装物</w:t>
      </w:r>
    </w:p>
    <w:p>
      <w:pPr>
        <w:pStyle w:val="BodyText"/>
        <w:spacing w:line="205" w:lineRule="exact"/>
        <w:ind w:right="0"/>
        <w:jc w:val="left"/>
      </w:pPr>
      <w:r>
        <w:rPr/>
        <w:t>摊销方法：一次摊销法</w:t>
      </w:r>
    </w:p>
    <w:p>
      <w:pPr>
        <w:spacing w:after="0" w:line="205" w:lineRule="exact"/>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513" w:right="0"/>
        <w:jc w:val="left"/>
      </w:pPr>
      <w:r>
        <w:rPr/>
        <w:t>包装物于领用时按一次摊销法摊销。</w:t>
      </w: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Arial" w:hAnsi="Arial" w:cs="Arial" w:eastAsia="Arial" w:hint="default"/>
        </w:rPr>
        <w:t>12</w:t>
      </w:r>
      <w:r>
        <w:rPr/>
        <w:t>、长期股权投资</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）投资成本的确定</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130" w:firstLine="360"/>
        <w:jc w:val="both"/>
      </w:pPr>
      <w:r>
        <w:rPr>
          <w:spacing w:val="-2"/>
        </w:rPr>
        <w:t>对于企业合并形成的长期股权投资，如为同一控制下的企业合并取得的长期股权投资，在合并日按照取得被合并方所有</w:t>
      </w:r>
      <w:r>
        <w:rPr/>
        <w:t> </w:t>
      </w:r>
      <w:r>
        <w:rPr>
          <w:spacing w:val="-2"/>
        </w:rPr>
        <w:t>者权益账面价值的份额作为初始投资成本。通过非同一控制下的企业合并取得的长期股权投资，企业合并成本包括购买方付</w:t>
      </w:r>
      <w:r>
        <w:rPr>
          <w:spacing w:val="-64"/>
        </w:rPr>
        <w:t> </w:t>
      </w:r>
      <w:r>
        <w:rPr>
          <w:spacing w:val="-64"/>
        </w:rPr>
      </w:r>
      <w:r>
        <w:rPr>
          <w:spacing w:val="-2"/>
        </w:rPr>
        <w:t>出的资产、发生或承担的负债、发行的权益性证券的公允价值之和；购买方为企业合并发生的审计、法律服务、评估咨询等</w:t>
      </w:r>
      <w:r>
        <w:rPr>
          <w:spacing w:val="-67"/>
        </w:rPr>
        <w:t> </w:t>
      </w:r>
      <w:r>
        <w:rPr>
          <w:spacing w:val="-67"/>
        </w:rPr>
      </w:r>
      <w:r>
        <w:rPr>
          <w:spacing w:val="-2"/>
        </w:rPr>
        <w:t>中介费用以及其他相关管理费用，应当于发生时计入当期损益；购买方作为合并对价发行的权益性证券或债务性证券的交易</w:t>
      </w:r>
      <w:r>
        <w:rPr>
          <w:spacing w:val="-64"/>
        </w:rPr>
        <w:t> </w:t>
      </w:r>
      <w:r>
        <w:rPr>
          <w:spacing w:val="-64"/>
        </w:rPr>
      </w:r>
      <w:r>
        <w:rPr>
          <w:spacing w:val="-2"/>
        </w:rPr>
        <w:t>费用，应当计入权益性证券或债务性证券的初始确认金额。除企业合并形成的长期股权投资外的其他股权投资，按成本进行</w:t>
      </w:r>
      <w:r>
        <w:rPr>
          <w:spacing w:val="-63"/>
        </w:rPr>
        <w:t> </w:t>
      </w:r>
      <w:r>
        <w:rPr>
          <w:spacing w:val="-63"/>
        </w:rPr>
      </w:r>
      <w:r>
        <w:rPr>
          <w:spacing w:val="-2"/>
        </w:rPr>
        <w:t>初始计量，该成本视长期股权投资取得方式的不同，分别按照本集团实际支付的现金购买价款、本集团发行的权益性证券的</w:t>
      </w:r>
      <w:r>
        <w:rPr>
          <w:spacing w:val="-63"/>
        </w:rPr>
        <w:t> </w:t>
      </w:r>
      <w:r>
        <w:rPr>
          <w:spacing w:val="-63"/>
        </w:rPr>
      </w:r>
      <w:r>
        <w:rPr>
          <w:spacing w:val="-2"/>
        </w:rPr>
        <w:t>公允价值、投资合同或协议约定的价值、非货币性资产交换交易中换出资产的公允价值或原账面价值、该项长期股权投资自</w:t>
      </w:r>
      <w:r>
        <w:rPr>
          <w:spacing w:val="-63"/>
        </w:rPr>
        <w:t> </w:t>
      </w:r>
      <w:r>
        <w:rPr>
          <w:spacing w:val="-63"/>
        </w:rPr>
      </w:r>
      <w:r>
        <w:rPr/>
        <w:t>身的公允价值等方式确定。与取得长期股权投资直接相关的费用、税金及其他必要支出也计入投资成本。</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2</w:t>
      </w:r>
      <w:r>
        <w:rPr/>
        <w:t>）后续计量及损益确认</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1130" w:firstLine="360"/>
        <w:jc w:val="both"/>
      </w:pPr>
      <w:r>
        <w:rPr>
          <w:spacing w:val="-2"/>
        </w:rPr>
        <w:t>对被投资单位不具有共同控制或重大影响并且在活跃市场中没有报价、公允价值不能可靠计量的长期股权投资，采用成</w:t>
      </w:r>
      <w:r>
        <w:rPr/>
        <w:t> </w:t>
      </w:r>
      <w:r>
        <w:rPr>
          <w:spacing w:val="-2"/>
        </w:rPr>
        <w:t>本法核算；对被投资单位具有共同控制或重大影响的长期股权投资，采用权益法核算；对被投资单位不具有控制、共同控制</w:t>
      </w:r>
      <w:r>
        <w:rPr>
          <w:spacing w:val="-64"/>
        </w:rPr>
        <w:t> </w:t>
      </w:r>
      <w:r>
        <w:rPr>
          <w:spacing w:val="-64"/>
        </w:rPr>
      </w:r>
      <w:r>
        <w:rPr>
          <w:spacing w:val="-2"/>
        </w:rPr>
        <w:t>或重大影响并且公允价值能够可靠计量的长期股权投资，作为可供出售金融资产或以公允价值计量且其变动计入当期损益的</w:t>
      </w:r>
      <w:r>
        <w:rPr>
          <w:spacing w:val="-64"/>
        </w:rPr>
        <w:t> </w:t>
      </w:r>
      <w:r>
        <w:rPr>
          <w:spacing w:val="-64"/>
        </w:rPr>
      </w:r>
      <w:r>
        <w:rPr>
          <w:spacing w:val="-2"/>
        </w:rPr>
        <w:t>金融资产核算。此外，公司财务报表采用成本法核算能够对被投资单位实施控制的长期股权投资。①成本法核算的长期股权</w:t>
      </w:r>
      <w:r>
        <w:rPr>
          <w:spacing w:val="-64"/>
        </w:rPr>
        <w:t> </w:t>
      </w:r>
      <w:r>
        <w:rPr>
          <w:spacing w:val="-64"/>
        </w:rPr>
      </w:r>
      <w:r>
        <w:rPr>
          <w:spacing w:val="-2"/>
        </w:rPr>
        <w:t>投资采用成本法核算时，长期股权投资按初始投资成本计价，除取得投资时实际支付的价款或者对价中包含的已宣告但尚未</w:t>
      </w:r>
      <w:r>
        <w:rPr>
          <w:spacing w:val="-64"/>
        </w:rPr>
        <w:t> </w:t>
      </w:r>
      <w:r>
        <w:rPr>
          <w:spacing w:val="-64"/>
        </w:rPr>
      </w:r>
      <w:r>
        <w:rPr>
          <w:spacing w:val="-2"/>
        </w:rPr>
        <w:t>发放的现金股利或者利润外，当期投资收益按照享有被投资单位宣告发放的现金股利或利润确认。②权益法核算的长期股权</w:t>
      </w:r>
      <w:r>
        <w:rPr>
          <w:spacing w:val="-64"/>
        </w:rPr>
        <w:t> </w:t>
      </w:r>
      <w:r>
        <w:rPr>
          <w:spacing w:val="-64"/>
        </w:rPr>
      </w:r>
      <w:r>
        <w:rPr>
          <w:spacing w:val="-2"/>
        </w:rPr>
        <w:t>投资采用权益法核算时，长期股权投资的初始投资成本大于投资时应享有被投资单位可辨认净资产公允价值份额的，不调整</w:t>
      </w:r>
      <w:r>
        <w:rPr>
          <w:spacing w:val="-64"/>
        </w:rPr>
        <w:t> </w:t>
      </w:r>
      <w:r>
        <w:rPr>
          <w:spacing w:val="-64"/>
        </w:rPr>
      </w:r>
      <w:r>
        <w:rPr>
          <w:spacing w:val="-2"/>
        </w:rPr>
        <w:t>长期股权投资的初始投资成本；初始投资成本小于投资时应享有被投资单位可辨认净资产公允价值份额的，其差额计入当期</w:t>
      </w:r>
      <w:r>
        <w:rPr>
          <w:spacing w:val="-64"/>
        </w:rPr>
        <w:t> </w:t>
      </w:r>
      <w:r>
        <w:rPr>
          <w:spacing w:val="-64"/>
        </w:rPr>
      </w:r>
      <w:r>
        <w:rPr>
          <w:spacing w:val="-2"/>
        </w:rPr>
        <w:t>损益，同时调整长期股权投资的成本。采用权益法核算时，当期投资损益为应享有或应分担的被投资单位当年实现的净损益</w:t>
      </w:r>
      <w:r>
        <w:rPr>
          <w:spacing w:val="-64"/>
        </w:rPr>
        <w:t> </w:t>
      </w:r>
      <w:r>
        <w:rPr>
          <w:spacing w:val="-64"/>
        </w:rPr>
      </w:r>
      <w:r>
        <w:rPr>
          <w:spacing w:val="-2"/>
        </w:rPr>
        <w:t>的份额。在确认应享有被投资单位净损益的份额时，以取得投资时被投资单位各项可辨认资产等的公允价值为基础，并按照</w:t>
      </w:r>
      <w:r>
        <w:rPr>
          <w:spacing w:val="-63"/>
        </w:rPr>
        <w:t> </w:t>
      </w:r>
      <w:r>
        <w:rPr>
          <w:spacing w:val="-63"/>
        </w:rPr>
      </w:r>
      <w:r>
        <w:rPr>
          <w:spacing w:val="-2"/>
        </w:rPr>
        <w:t>本集团的会计政策及会计期间，对被投资单位的净利润进行调整后确认。对于本集团与联营企业及合营之间发生的未实现内</w:t>
      </w:r>
      <w:r>
        <w:rPr>
          <w:spacing w:val="-64"/>
        </w:rPr>
        <w:t> </w:t>
      </w:r>
      <w:r>
        <w:rPr>
          <w:spacing w:val="-64"/>
        </w:rPr>
      </w:r>
      <w:r>
        <w:rPr>
          <w:spacing w:val="-2"/>
        </w:rPr>
        <w:t>部交易损益，按照持股比例计算属于本集团的部分予以抵销，在此基础上确认投资损益。但本集团与被投资单位发生的未实</w:t>
      </w:r>
      <w:r>
        <w:rPr>
          <w:spacing w:val="-65"/>
        </w:rPr>
        <w:t> </w:t>
      </w:r>
      <w:r>
        <w:rPr>
          <w:spacing w:val="-65"/>
        </w:rPr>
      </w:r>
      <w:r>
        <w:rPr/>
        <w:t>现内部交易损失，按照《企业会计准则第</w:t>
      </w:r>
      <w:r>
        <w:rPr>
          <w:rFonts w:ascii="宋体" w:hAnsi="宋体" w:cs="宋体" w:eastAsia="宋体" w:hint="default"/>
        </w:rPr>
        <w:t>8</w:t>
      </w:r>
      <w:r>
        <w:rPr/>
        <w:t>号——资产减值》等规定属于所转让资产减值损失的，不予以抵销。对被投资单 </w:t>
      </w:r>
      <w:r>
        <w:rPr>
          <w:spacing w:val="-2"/>
        </w:rPr>
        <w:t>位的其他综合收益，相应调整长期股权投资的账面价值确认为其他综合收益并计入资本公积。在确认应分担被投资单位发生</w:t>
      </w:r>
      <w:r>
        <w:rPr>
          <w:spacing w:val="-63"/>
        </w:rPr>
        <w:t> </w:t>
      </w:r>
      <w:r>
        <w:rPr>
          <w:spacing w:val="-63"/>
        </w:rPr>
      </w:r>
      <w:r>
        <w:rPr>
          <w:spacing w:val="-2"/>
        </w:rPr>
        <w:t>的净亏损时，以长期股权投资的账面价值和其他实质上构成对被投资单位净投资的长期权益减记至零为限。此外，如本集团</w:t>
      </w:r>
    </w:p>
    <w:p>
      <w:pPr>
        <w:spacing w:after="0" w:line="477" w:lineRule="auto"/>
        <w:jc w:val="both"/>
        <w:sectPr>
          <w:footerReference w:type="default" r:id="rId30"/>
          <w:pgSz w:w="11910" w:h="16840"/>
          <w:pgMar w:footer="1332" w:header="745" w:top="1060" w:bottom="1520" w:left="980" w:right="0"/>
          <w:pgNumType w:start="74"/>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034"/>
        <w:jc w:val="left"/>
      </w:pPr>
      <w:r>
        <w:rPr>
          <w:spacing w:val="-2"/>
        </w:rPr>
        <w:t>对被投资单位负有承担额外损失的义务，则按预计承担的义务确认预计负债，计入当期投资损失。被投资单位以后期间实现</w:t>
      </w:r>
      <w:r>
        <w:rPr>
          <w:spacing w:val="-63"/>
        </w:rPr>
        <w:t> </w:t>
      </w:r>
      <w:r>
        <w:rPr>
          <w:spacing w:val="-63"/>
        </w:rPr>
      </w:r>
      <w:r>
        <w:rPr>
          <w:spacing w:val="-2"/>
        </w:rPr>
        <w:t>净利润的，本集团在收益分享额弥补未确认的亏损分担额后，恢复确认收益分享额。对于本集团</w:t>
      </w:r>
      <w:r>
        <w:rPr>
          <w:rFonts w:ascii="宋体" w:hAnsi="宋体" w:cs="宋体" w:eastAsia="宋体" w:hint="default"/>
          <w:spacing w:val="-2"/>
        </w:rPr>
        <w:t>2007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日首次执行新会</w:t>
      </w:r>
      <w:r>
        <w:rPr>
          <w:spacing w:val="-63"/>
        </w:rPr>
        <w:t> </w:t>
      </w:r>
      <w:r>
        <w:rPr>
          <w:spacing w:val="-2"/>
        </w:rPr>
        <w:t>计准则之前已经持有的对联营企业和合营企业的长期股权投资，如存在与该投资相关的股权投资借方差额，按原剩余期限直</w:t>
      </w:r>
      <w:r>
        <w:rPr>
          <w:spacing w:val="-64"/>
        </w:rPr>
        <w:t> </w:t>
      </w:r>
      <w:r>
        <w:rPr>
          <w:spacing w:val="-64"/>
        </w:rPr>
      </w:r>
      <w:r>
        <w:rPr>
          <w:spacing w:val="-2"/>
        </w:rPr>
        <w:t>线摊销的金额计入当期损益。③收购少数股权在编制合并财务报表时，因购买少数股权新增的长期股权投资与按照新增持股</w:t>
      </w:r>
      <w:r>
        <w:rPr>
          <w:spacing w:val="-64"/>
        </w:rPr>
        <w:t> </w:t>
      </w:r>
      <w:r>
        <w:rPr>
          <w:spacing w:val="-64"/>
        </w:rPr>
      </w:r>
      <w:r>
        <w:rPr>
          <w:spacing w:val="-4"/>
        </w:rPr>
        <w:t>比例计算应享有子公司自购买日（或合并日）开始持续计算的净资产份额之间的差额，调整资本公积，资本公积不足冲减的，</w:t>
      </w:r>
      <w:r>
        <w:rPr>
          <w:spacing w:val="-44"/>
        </w:rPr>
        <w:t> </w:t>
      </w:r>
      <w:r>
        <w:rPr>
          <w:spacing w:val="-44"/>
        </w:rPr>
      </w:r>
      <w:r>
        <w:rPr>
          <w:spacing w:val="-4"/>
        </w:rPr>
        <w:t>调整留存收益。④处臵长期股权投资在合并财务报表中，母公司在不丧失控制权的情况下部分处臵对子公司的长期股权投资，</w:t>
      </w:r>
      <w:r>
        <w:rPr>
          <w:spacing w:val="-42"/>
        </w:rPr>
        <w:t> </w:t>
      </w:r>
      <w:r>
        <w:rPr>
          <w:spacing w:val="-42"/>
        </w:rPr>
      </w:r>
      <w:r>
        <w:rPr>
          <w:spacing w:val="-2"/>
        </w:rPr>
        <w:t>处臵价款与处臵长期股权投资相对应享有子公司净资产的差额计入所有者权益；母公司部分处臵对子公司的长期股权投资导</w:t>
      </w:r>
      <w:r>
        <w:rPr>
          <w:spacing w:val="-64"/>
        </w:rPr>
        <w:t> </w:t>
      </w:r>
      <w:r>
        <w:rPr>
          <w:spacing w:val="-64"/>
        </w:rPr>
      </w:r>
      <w:r>
        <w:rPr>
          <w:spacing w:val="-5"/>
          <w:w w:val="100"/>
        </w:rPr>
        <w:t>致丧失对子公司控制权的，按本附注四、</w:t>
      </w:r>
      <w:r>
        <w:rPr>
          <w:rFonts w:ascii="宋体" w:hAnsi="宋体" w:cs="宋体" w:eastAsia="宋体" w:hint="default"/>
          <w:spacing w:val="-5"/>
          <w:w w:val="100"/>
        </w:rPr>
        <w:t>4</w:t>
      </w:r>
      <w:r>
        <w:rPr>
          <w:spacing w:val="-5"/>
          <w:w w:val="100"/>
        </w:rPr>
        <w:t>、（</w:t>
      </w:r>
      <w:r>
        <w:rPr>
          <w:rFonts w:ascii="宋体" w:hAnsi="宋体" w:cs="宋体" w:eastAsia="宋体" w:hint="default"/>
          <w:spacing w:val="-5"/>
          <w:w w:val="100"/>
        </w:rPr>
        <w:t>2</w:t>
      </w:r>
      <w:r>
        <w:rPr>
          <w:spacing w:val="-5"/>
          <w:w w:val="100"/>
        </w:rPr>
        <w:t>）‚合并财务报表编制的方法‛中所述的相关会计政策处理。其他情形下的长</w:t>
      </w:r>
      <w:r>
        <w:rPr>
          <w:spacing w:val="-79"/>
          <w:w w:val="100"/>
        </w:rPr>
        <w:t> </w:t>
      </w:r>
      <w:r>
        <w:rPr>
          <w:spacing w:val="-79"/>
          <w:w w:val="100"/>
        </w:rPr>
      </w:r>
      <w:r>
        <w:rPr/>
        <w:t>期股权投资处臵，对于处臵的股权，其账面价值与实际取得价款的差额，计入当期损益；采用权益法核算的长期股权投资， </w:t>
      </w:r>
      <w:r>
        <w:rPr>
          <w:spacing w:val="-2"/>
        </w:rPr>
        <w:t>在处臵时将原计入所有者权益的其他综合收益部分按相应的比例转入当期损益。对于剩余股权，按其账面价值确认为长期股</w:t>
      </w:r>
      <w:r>
        <w:rPr>
          <w:spacing w:val="-64"/>
        </w:rPr>
        <w:t> </w:t>
      </w:r>
      <w:r>
        <w:rPr>
          <w:spacing w:val="-64"/>
        </w:rPr>
      </w:r>
      <w:r>
        <w:rPr>
          <w:spacing w:val="-2"/>
        </w:rPr>
        <w:t>权投资或其他相关金融资产，并按前述长期股权投资或金融资产的会计政策进行后续计量。涉及对剩余股权由成本法转为权</w:t>
      </w:r>
      <w:r>
        <w:rPr>
          <w:spacing w:val="-64"/>
        </w:rPr>
        <w:t> </w:t>
      </w:r>
      <w:r>
        <w:rPr>
          <w:spacing w:val="-64"/>
        </w:rPr>
      </w:r>
      <w:r>
        <w:rPr/>
        <w:t>益法核算的，按相关规定进行追溯调整。</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3</w:t>
      </w:r>
      <w:r>
        <w:rPr/>
        <w:t>）确定对被投资单位具有共同控制、重大影响的依据</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5" w:lineRule="auto"/>
        <w:ind w:right="1034" w:firstLine="360"/>
        <w:jc w:val="left"/>
      </w:pPr>
      <w:r>
        <w:rPr>
          <w:spacing w:val="-2"/>
        </w:rPr>
        <w:t>控制是指有权决定一个企业的财务和经营政策，并能据以从该企业的经营活动中获取利益。共同控制是指按照合同约定</w:t>
      </w:r>
      <w:r>
        <w:rPr/>
        <w:t>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定。在确定能否对被投资单位实施控制或施加重大影响时，已考虑投资企业和其他持有的被投资单位当期可转换公司债券、 当期可执行认股权证等潜在表决权因素。</w:t>
      </w: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4</w:t>
      </w:r>
      <w:r>
        <w:rPr/>
        <w:t>）减值测试方法及减值准备计提方法</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本集团在每一个资产负债表日检查长期股权投资是否存在可能发生减值的迹象。如果该资产存在减值迹象，则估计其可</w:t>
      </w:r>
      <w:r>
        <w:rPr/>
        <w:t> 收回金额。如果资产的可收回金额低于其账面价值，按其差额计提资产减值准备，并计入当期损益。</w:t>
      </w:r>
    </w:p>
    <w:p>
      <w:pPr>
        <w:pStyle w:val="BodyText"/>
        <w:spacing w:line="240" w:lineRule="auto" w:before="54"/>
        <w:ind w:left="513" w:right="0"/>
        <w:jc w:val="left"/>
      </w:pPr>
      <w:r>
        <w:rPr/>
        <w:t>长期股权投资的减值损失一经确认，在以后会计期间不予转回。</w:t>
      </w:r>
    </w:p>
    <w:p>
      <w:pPr>
        <w:spacing w:line="240" w:lineRule="auto" w:before="0"/>
        <w:rPr>
          <w:rFonts w:ascii="宋体" w:hAnsi="宋体" w:cs="宋体" w:eastAsia="宋体" w:hint="default"/>
          <w:sz w:val="18"/>
          <w:szCs w:val="18"/>
        </w:rPr>
      </w:pPr>
    </w:p>
    <w:p>
      <w:pPr>
        <w:pStyle w:val="BodyText"/>
        <w:spacing w:line="494" w:lineRule="auto" w:before="135"/>
        <w:ind w:left="513" w:right="0" w:hanging="361"/>
        <w:jc w:val="left"/>
      </w:pPr>
      <w:r>
        <w:rPr>
          <w:rFonts w:ascii="Arial" w:hAnsi="Arial" w:cs="Arial" w:eastAsia="Arial" w:hint="default"/>
          <w:b/>
          <w:bCs/>
          <w:sz w:val="21"/>
          <w:szCs w:val="21"/>
        </w:rPr>
        <w:t>13</w:t>
      </w:r>
      <w:r>
        <w:rPr>
          <w:rFonts w:ascii="微软雅黑" w:hAnsi="微软雅黑" w:cs="微软雅黑" w:eastAsia="微软雅黑" w:hint="default"/>
          <w:b/>
          <w:bCs/>
          <w:sz w:val="21"/>
          <w:szCs w:val="21"/>
        </w:rPr>
        <w:t>、投资性房地产</w:t>
      </w:r>
      <w:r>
        <w:rPr>
          <w:rFonts w:ascii="微软雅黑" w:hAnsi="微软雅黑" w:cs="微软雅黑" w:eastAsia="微软雅黑" w:hint="default"/>
          <w:b/>
          <w:bCs/>
          <w:w w:val="100"/>
          <w:sz w:val="21"/>
          <w:szCs w:val="21"/>
        </w:rPr>
        <w:t> </w:t>
      </w:r>
      <w:r>
        <w:rPr/>
        <w:t>本集团采用成本模式对投资性房地产进行后续计量，并按照与房屋建筑物或土地使用权一致的政策进行折旧或摊销。 </w:t>
      </w:r>
      <w:r>
        <w:rPr>
          <w:spacing w:val="-2"/>
        </w:rPr>
        <w:t>于资产负债表日判断投资性房地产是否存在减值迹象，如存在减值迹象的，则估计其可收回金额，进行减值测试，减值</w:t>
      </w:r>
    </w:p>
    <w:p>
      <w:pPr>
        <w:pStyle w:val="BodyText"/>
        <w:spacing w:line="240" w:lineRule="auto" w:before="41"/>
        <w:ind w:right="0"/>
        <w:jc w:val="left"/>
      </w:pPr>
      <w:r>
        <w:rPr/>
        <w:t>测试结果表明可收回金额低于其账面价值的，按其差额计提减值准备并计入减值损失。投资性房地产减值损失一经确认，不</w:t>
      </w:r>
    </w:p>
    <w:p>
      <w:pPr>
        <w:spacing w:line="240" w:lineRule="auto" w:before="10"/>
        <w:rPr>
          <w:rFonts w:ascii="宋体" w:hAnsi="宋体" w:cs="宋体" w:eastAsia="宋体" w:hint="default"/>
          <w:sz w:val="17"/>
          <w:szCs w:val="17"/>
        </w:rPr>
      </w:pPr>
    </w:p>
    <w:p>
      <w:pPr>
        <w:pStyle w:val="BodyText"/>
        <w:spacing w:line="240" w:lineRule="auto"/>
        <w:ind w:right="0"/>
        <w:jc w:val="left"/>
      </w:pPr>
      <w:r>
        <w:rPr/>
        <w:t>再转回。</w:t>
      </w:r>
    </w:p>
    <w:p>
      <w:pPr>
        <w:spacing w:after="0" w:line="240" w:lineRule="auto"/>
        <w:jc w:val="left"/>
        <w:sectPr>
          <w:pgSz w:w="11910" w:h="16840"/>
          <w:pgMar w:header="745" w:footer="1332"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5"/>
        <w:ind w:right="0"/>
        <w:jc w:val="left"/>
        <w:rPr>
          <w:b w:val="0"/>
          <w:bCs w:val="0"/>
        </w:rPr>
      </w:pPr>
      <w:r>
        <w:rPr>
          <w:rFonts w:ascii="Arial" w:hAnsi="Arial" w:cs="Arial" w:eastAsia="Arial" w:hint="default"/>
        </w:rPr>
        <w:t>14</w:t>
      </w:r>
      <w:r>
        <w:rPr/>
        <w:t>、固定资产</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）固定资产确认条件</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23"/>
          <w:szCs w:val="23"/>
        </w:rPr>
      </w:pPr>
    </w:p>
    <w:p>
      <w:pPr>
        <w:pStyle w:val="BodyText"/>
        <w:spacing w:line="240" w:lineRule="auto"/>
        <w:ind w:left="513" w:right="0"/>
        <w:jc w:val="left"/>
      </w:pPr>
      <w:r>
        <w:rPr/>
        <w:t>固定资产是指为生产商品、提供劳务、出租或经营管理而持有的，使用寿命超过一个会计年度的有形资产。</w:t>
      </w: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r>
        <w:rPr/>
        <w:t>（</w:t>
      </w:r>
      <w:r>
        <w:rPr>
          <w:rFonts w:ascii="Arial" w:hAnsi="Arial" w:cs="Arial" w:eastAsia="Arial" w:hint="default"/>
        </w:rPr>
        <w:t>2</w:t>
      </w:r>
      <w:r>
        <w:rPr/>
        <w:t>）融资租入固定资产的认定依据、计价方法</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113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3</w:t>
      </w:r>
      <w:r>
        <w:rPr/>
        <w:t>）各类固定资产的折旧方法</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132" w:firstLine="360"/>
        <w:jc w:val="both"/>
      </w:pPr>
      <w:r>
        <w:rPr/>
        <w:pict>
          <v:shape style="position:absolute;margin-left:57pt;margin-top:42.431717pt;width:478.7pt;height:141.3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7.92%</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w:t>
                        </w:r>
                      </w:p>
                    </w:tc>
                  </w:tr>
                </w:tbl>
                <w:p>
                  <w:pPr/>
                </w:p>
              </w:txbxContent>
            </v:textbox>
            <w10:wrap type="none"/>
          </v:shape>
        </w:pict>
      </w:r>
      <w:r>
        <w:rPr>
          <w:spacing w:val="-2"/>
        </w:rPr>
        <w:t>固定资产按成本并考虑预计弃臵费用因素的影响进行初始计量。固定资产从达到预定可使用状态的次月起，采用年限平</w:t>
      </w:r>
      <w:r>
        <w:rPr/>
        <w:t> 均法在使用寿命内计提折旧。各类固定资产的使用寿命、预计净残值和年折旧率如下：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8"/>
        <w:ind w:right="0"/>
        <w:jc w:val="left"/>
        <w:rPr>
          <w:b w:val="0"/>
          <w:bCs w:val="0"/>
        </w:rPr>
      </w:pPr>
      <w:r>
        <w:rPr/>
        <w:t>（</w:t>
      </w:r>
      <w:r>
        <w:rPr>
          <w:rFonts w:ascii="Arial" w:hAnsi="Arial" w:cs="Arial" w:eastAsia="Arial" w:hint="default"/>
        </w:rPr>
        <w:t>4</w:t>
      </w:r>
      <w:r>
        <w:rPr/>
        <w:t>）固定资产的减值测试方法、减值准备计提方法</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034" w:firstLine="271"/>
        <w:jc w:val="left"/>
      </w:pPr>
      <w:r>
        <w:rPr/>
        <w:t>本集团于资产负债表日判断固定资产是否存在减值迹象，如存在减值迹象的，则估计其可收回金额，进行减值测试，减 </w:t>
      </w:r>
      <w:r>
        <w:rPr>
          <w:spacing w:val="-2"/>
        </w:rPr>
        <w:t>值测试结果表明可收回金额低于其账面价值的，按其差额计提减值准备并计入减值损失。可收回金额为资产的公允价值减去</w:t>
      </w:r>
      <w:r>
        <w:rPr>
          <w:spacing w:val="-64"/>
        </w:rPr>
        <w:t> </w:t>
      </w:r>
      <w:r>
        <w:rPr>
          <w:spacing w:val="-64"/>
        </w:rPr>
      </w:r>
      <w:r>
        <w:rPr/>
        <w:t>处臵费用后的净额与资产预计未来现金流量的现值两者之间的较高者。资产的公允价值根据公平交易中销售协议价格确定； </w:t>
      </w:r>
      <w:r>
        <w:rPr>
          <w:spacing w:val="-2"/>
        </w:rPr>
        <w:t>不存在销售协议但存在资产活跃市场的，公允价值按照该资产的买方出价确定；不存在销售协议和资产活跃市场的，则以可</w:t>
      </w:r>
      <w:r>
        <w:rPr>
          <w:spacing w:val="-63"/>
        </w:rPr>
        <w:t> </w:t>
      </w:r>
      <w:r>
        <w:rPr>
          <w:spacing w:val="-63"/>
        </w:rPr>
      </w:r>
      <w:r>
        <w:rPr>
          <w:spacing w:val="-2"/>
        </w:rPr>
        <w:t>获取的最佳信息为基础估计资产的公允价值。处臵费用包括与资产处臵有关的法律费用、相关税费、搬运费以及为使资产达</w:t>
      </w:r>
      <w:r>
        <w:rPr>
          <w:spacing w:val="-62"/>
        </w:rPr>
        <w:t> </w:t>
      </w:r>
      <w:r>
        <w:rPr>
          <w:spacing w:val="-62"/>
        </w:rPr>
      </w:r>
      <w:r>
        <w:rPr>
          <w:spacing w:val="-2"/>
        </w:rPr>
        <w:t>到可销售状态所发生的直接费用。资产预计未来现金流量的现值，按照资产在持续使用过程中和最终处臵时所产生的预计未</w:t>
      </w:r>
    </w:p>
    <w:p>
      <w:pPr>
        <w:pStyle w:val="BodyText"/>
        <w:spacing w:line="240" w:lineRule="auto" w:before="54"/>
        <w:ind w:right="0"/>
        <w:jc w:val="left"/>
      </w:pPr>
      <w:r>
        <w:rPr/>
        <w:t>来现金流量，选择恰当的折现率对其进行折现后的金额加以确定。资产减值准备按单项资产为基础计算并确认，如果难以对</w:t>
      </w:r>
    </w:p>
    <w:p>
      <w:pPr>
        <w:spacing w:after="0" w:line="240" w:lineRule="auto"/>
        <w:jc w:val="left"/>
        <w:sectPr>
          <w:pgSz w:w="11910" w:h="16840"/>
          <w:pgMar w:header="745" w:footer="1332"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18"/>
        <w:jc w:val="left"/>
      </w:pPr>
      <w:r>
        <w:rPr>
          <w:spacing w:val="-2"/>
        </w:rPr>
        <w:t>单项资产的可收回金额进行估计的，以该资产所属的资产组确定资产组的可收回金额。资产组是能够独立产生现金流入的最</w:t>
      </w:r>
      <w:r>
        <w:rPr>
          <w:spacing w:val="-64"/>
        </w:rPr>
        <w:t> </w:t>
      </w:r>
      <w:r>
        <w:rPr>
          <w:spacing w:val="-64"/>
        </w:rPr>
      </w:r>
      <w:r>
        <w:rPr/>
        <w:t>小资产组合。</w:t>
      </w:r>
    </w:p>
    <w:p>
      <w:pPr>
        <w:pStyle w:val="BodyText"/>
        <w:spacing w:line="240" w:lineRule="auto" w:before="54"/>
        <w:ind w:left="515" w:right="0"/>
        <w:jc w:val="left"/>
      </w:pPr>
      <w:r>
        <w:rPr/>
        <w:t>固定资产减值损失一经确认，不再转回。</w:t>
      </w:r>
    </w:p>
    <w:p>
      <w:pPr>
        <w:pStyle w:val="Heading3"/>
        <w:spacing w:line="240" w:lineRule="auto" w:before="70"/>
        <w:ind w:left="633" w:right="0"/>
        <w:jc w:val="left"/>
        <w:rPr>
          <w:b w:val="0"/>
          <w:bCs w:val="0"/>
        </w:rPr>
      </w:pPr>
      <w:r>
        <w:rPr/>
        <w:t>（</w:t>
      </w:r>
      <w:r>
        <w:rPr>
          <w:rFonts w:ascii="Arial" w:hAnsi="Arial" w:cs="Arial" w:eastAsia="Arial" w:hint="default"/>
        </w:rPr>
        <w:t>5</w:t>
      </w:r>
      <w:r>
        <w:rPr/>
        <w:t>）其他说明</w:t>
      </w:r>
      <w:r>
        <w:rPr>
          <w:b w:val="0"/>
          <w:bCs w:val="0"/>
        </w:rPr>
      </w:r>
    </w:p>
    <w:p>
      <w:pPr>
        <w:pStyle w:val="BodyText"/>
        <w:spacing w:line="477" w:lineRule="auto" w:before="111"/>
        <w:ind w:right="1123" w:firstLine="271"/>
        <w:jc w:val="left"/>
      </w:pPr>
      <w:r>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BodyText"/>
        <w:spacing w:line="477" w:lineRule="auto" w:before="54"/>
        <w:ind w:left="424" w:right="0"/>
        <w:jc w:val="left"/>
      </w:pPr>
      <w:r>
        <w:rPr/>
        <w:t>固定资产出售、转让、报废或毁损的处臵收入扣除其账面价值和相关税费后的差额计入当期损益。 </w:t>
      </w:r>
      <w:r>
        <w:rPr>
          <w:spacing w:val="-2"/>
        </w:rPr>
        <w:t>本集团至少于年度终了对固定资产的使用寿命、预计净残值和折旧方法进行复核，如发生改变则作为会计估计变更处理。</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15</w:t>
      </w:r>
      <w:r>
        <w:rPr/>
        <w:t>、在建工程</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）在建工程的类别</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23"/>
          <w:szCs w:val="23"/>
        </w:rPr>
      </w:pPr>
    </w:p>
    <w:p>
      <w:pPr>
        <w:pStyle w:val="BodyText"/>
        <w:spacing w:line="240" w:lineRule="auto"/>
        <w:ind w:left="424" w:right="0"/>
        <w:jc w:val="left"/>
      </w:pPr>
      <w:r>
        <w:rPr/>
        <w:t>在建工程以立项项目分类核算。</w:t>
      </w: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r>
        <w:rPr/>
        <w:t>（</w:t>
      </w:r>
      <w:r>
        <w:rPr>
          <w:rFonts w:ascii="Arial" w:hAnsi="Arial" w:cs="Arial" w:eastAsia="Arial" w:hint="default"/>
        </w:rPr>
        <w:t>2</w:t>
      </w:r>
      <w:r>
        <w:rPr/>
        <w:t>）在建工程结转为固定资产的标准和时点</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1123" w:firstLine="271"/>
        <w:jc w:val="left"/>
      </w:pPr>
      <w:r>
        <w:rPr/>
        <w:t>在建工程成本按实际工程支出确定，包括在建期间发生的各项工程支出、工程达到预定可使用状态前的资本化的借款费 用以及其他相关费用等。在建工程在达到预定可使用状态后结转为固定资产。</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3</w:t>
      </w:r>
      <w:r>
        <w:rPr/>
        <w:t>）在建工程的减值测试方法、减值准备计提方法</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034" w:firstLine="360"/>
        <w:jc w:val="left"/>
      </w:pPr>
      <w:r>
        <w:rPr>
          <w:spacing w:val="-2"/>
        </w:rPr>
        <w:t>本集团于资产负债表日判断在建工程是否存在减值迹象，如存在减值迹象的，则估计其可收回金额，进行减值测试，减</w:t>
      </w:r>
      <w:r>
        <w:rPr/>
        <w:t> </w:t>
      </w:r>
      <w:r>
        <w:rPr>
          <w:spacing w:val="-2"/>
        </w:rPr>
        <w:t>值测试结果表明可收回金额低于其账面价值的，按其差额计提减值准备并计入减值损失。可收回金额为资产的公允价值减去</w:t>
      </w:r>
      <w:r>
        <w:rPr>
          <w:spacing w:val="-64"/>
        </w:rPr>
        <w:t> </w:t>
      </w:r>
      <w:r>
        <w:rPr>
          <w:spacing w:val="-64"/>
        </w:rPr>
      </w:r>
      <w:r>
        <w:rPr/>
        <w:t>处臵费用后的净额与资产预计未来现金流量的现值两者之间的较高者。资产的公允价值根据公平交易中销售协议价格确定； </w:t>
      </w:r>
      <w:r>
        <w:rPr>
          <w:spacing w:val="-2"/>
        </w:rPr>
        <w:t>不存在销售协议但存在资产活跃市场的，公允价值按照该资产的买方出价确定；不存在销售协议和资产活跃市场的，则以可</w:t>
      </w:r>
      <w:r>
        <w:rPr>
          <w:spacing w:val="-62"/>
        </w:rPr>
        <w:t> </w:t>
      </w:r>
      <w:r>
        <w:rPr>
          <w:spacing w:val="-62"/>
        </w:rPr>
      </w:r>
      <w:r>
        <w:rPr>
          <w:spacing w:val="-2"/>
        </w:rPr>
        <w:t>获取的最佳信息为基础估计资产的公允价值。处臵费用包括与资产处臵有关的法律费用、相关税费、搬运费以及为使资产达</w:t>
      </w:r>
      <w:r>
        <w:rPr>
          <w:spacing w:val="-63"/>
        </w:rPr>
        <w:t> </w:t>
      </w:r>
      <w:r>
        <w:rPr>
          <w:spacing w:val="-63"/>
        </w:rPr>
      </w:r>
      <w:r>
        <w:rPr>
          <w:spacing w:val="-2"/>
        </w:rPr>
        <w:t>到可销售状态所发生的直接费用。资产预计未来现金流量的现值，按照资产在持续使用过程中和最终处臵时所产生的预计未</w:t>
      </w:r>
      <w:r>
        <w:rPr>
          <w:spacing w:val="-64"/>
        </w:rPr>
        <w:t> </w:t>
      </w:r>
      <w:r>
        <w:rPr>
          <w:spacing w:val="-64"/>
        </w:rPr>
      </w:r>
      <w:r>
        <w:rPr>
          <w:spacing w:val="-2"/>
        </w:rPr>
        <w:t>来现金流量，选择恰当的折现率对其进行折现后的金额加以确定。资产减值准备按单项资产为基础计算并确认，如果难以对</w:t>
      </w:r>
      <w:r>
        <w:rPr>
          <w:spacing w:val="-63"/>
        </w:rPr>
        <w:t> </w:t>
      </w:r>
      <w:r>
        <w:rPr>
          <w:spacing w:val="-63"/>
        </w:rPr>
      </w:r>
      <w:r>
        <w:rPr>
          <w:spacing w:val="-2"/>
        </w:rPr>
        <w:t>单项资产的可收回金额进行估计的，以该资产所属的资产组确定资产组的可收回金额。资产组是能够独立产生现金流入的最</w:t>
      </w:r>
      <w:r>
        <w:rPr>
          <w:spacing w:val="-64"/>
        </w:rPr>
        <w:t> </w:t>
      </w:r>
      <w:r>
        <w:rPr>
          <w:spacing w:val="-64"/>
        </w:rPr>
      </w:r>
      <w:r>
        <w:rPr/>
        <w:t>小资产组合。</w:t>
      </w:r>
    </w:p>
    <w:p>
      <w:pPr>
        <w:pStyle w:val="BodyText"/>
        <w:spacing w:line="240" w:lineRule="auto" w:before="54"/>
        <w:ind w:left="515" w:right="0"/>
        <w:jc w:val="left"/>
      </w:pPr>
      <w:r>
        <w:rPr/>
        <w:t>在建工程减值损失一经确认，不再转回。</w:t>
      </w:r>
    </w:p>
    <w:p>
      <w:pPr>
        <w:spacing w:after="0" w:line="240" w:lineRule="auto"/>
        <w:jc w:val="left"/>
        <w:sectPr>
          <w:pgSz w:w="11910" w:h="16840"/>
          <w:pgMar w:header="745" w:footer="1332"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16</w:t>
      </w:r>
      <w:r>
        <w:rPr/>
        <w:t>、借款费用</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）借款费用资本化的确认原则</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132" w:firstLine="360"/>
        <w:jc w:val="both"/>
      </w:pPr>
      <w:r>
        <w:rPr>
          <w:spacing w:val="-2"/>
        </w:rPr>
        <w:t>可直接归属于符合资本化条件的资产的购建或者生产的借款费用，在资产支出已经发生、借款费用已经发生、为使资产</w:t>
      </w:r>
      <w:r>
        <w:rPr/>
        <w:t> 达到预定可使用或可销售状态所必要的购建或生产活动已经开始时，开始资本化。</w:t>
      </w:r>
    </w:p>
    <w:p>
      <w:pPr>
        <w:pStyle w:val="BodyText"/>
        <w:spacing w:line="240" w:lineRule="auto" w:before="54"/>
        <w:ind w:left="513" w:right="0"/>
        <w:jc w:val="left"/>
      </w:pPr>
      <w:r>
        <w:rPr/>
        <w:t>借款费用同时满足下列条件时开始资本化：</w:t>
      </w:r>
    </w:p>
    <w:p>
      <w:pPr>
        <w:spacing w:line="240" w:lineRule="auto" w:before="10"/>
        <w:rPr>
          <w:rFonts w:ascii="宋体" w:hAnsi="宋体" w:cs="宋体" w:eastAsia="宋体" w:hint="default"/>
          <w:sz w:val="17"/>
          <w:szCs w:val="17"/>
        </w:rPr>
      </w:pPr>
    </w:p>
    <w:p>
      <w:pPr>
        <w:pStyle w:val="BodyText"/>
        <w:spacing w:line="477" w:lineRule="auto"/>
        <w:ind w:right="1139" w:firstLine="360"/>
        <w:jc w:val="both"/>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54"/>
        <w:ind w:left="513" w:right="0"/>
        <w:jc w:val="left"/>
      </w:pPr>
      <w:r>
        <w:rPr/>
        <w:t>（</w:t>
      </w:r>
      <w:r>
        <w:rPr>
          <w:rFonts w:ascii="宋体" w:hAnsi="宋体" w:cs="宋体" w:eastAsia="宋体" w:hint="default"/>
        </w:rPr>
        <w:t>2</w:t>
      </w:r>
      <w:r>
        <w:rPr/>
        <w:t>）借款费用已经发生；</w:t>
      </w:r>
    </w:p>
    <w:p>
      <w:pPr>
        <w:spacing w:line="240" w:lineRule="auto" w:before="11"/>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r>
        <w:rPr/>
        <w:t>（</w:t>
      </w:r>
      <w:r>
        <w:rPr>
          <w:rFonts w:ascii="Arial" w:hAnsi="Arial" w:cs="Arial" w:eastAsia="Arial" w:hint="default"/>
        </w:rPr>
        <w:t>2</w:t>
      </w:r>
      <w:r>
        <w:rPr/>
        <w:t>）借款费用资本化期间</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1130" w:firstLine="360"/>
        <w:jc w:val="both"/>
      </w:pPr>
      <w:r>
        <w:rPr>
          <w:spacing w:val="-2"/>
        </w:rPr>
        <w:t>资本化期间，指从借款费用开始资本化时点到停止资本化时点的期间，借款费用暂停资本化的期间不包括在内。当购建</w:t>
      </w:r>
      <w:r>
        <w:rPr/>
        <w:t> </w:t>
      </w:r>
      <w:r>
        <w:rPr>
          <w:spacing w:val="-2"/>
        </w:rPr>
        <w:t>或者生产符合资本化条件的资产达到预定可使用或者可销售状态时，借款费用停止资本化。当购建或者生产符合资本化条件</w:t>
      </w:r>
      <w:r>
        <w:rPr>
          <w:spacing w:val="-64"/>
        </w:rPr>
        <w:t> </w:t>
      </w:r>
      <w:r>
        <w:rPr>
          <w:spacing w:val="-64"/>
        </w:rPr>
      </w:r>
      <w:r>
        <w:rPr>
          <w:spacing w:val="-2"/>
        </w:rPr>
        <w:t>的资产中部分项目分别完工且可单独使用时，该部分资产借款费用停止资本化。购建或者生产的资产的各部分分别完工，但</w:t>
      </w:r>
      <w:r>
        <w:rPr>
          <w:spacing w:val="-63"/>
        </w:rPr>
        <w:t> </w:t>
      </w:r>
      <w:r>
        <w:rPr>
          <w:spacing w:val="-63"/>
        </w:rPr>
      </w:r>
      <w:r>
        <w:rPr/>
        <w:t>必须等到整体完工后才可使用或可对外销售的，在该资产整体完工时停止借款费用资本化。</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t>（</w:t>
      </w:r>
      <w:r>
        <w:rPr>
          <w:rFonts w:ascii="Arial" w:hAnsi="Arial" w:cs="Arial" w:eastAsia="Arial" w:hint="default"/>
        </w:rPr>
        <w:t>3</w:t>
      </w:r>
      <w:r>
        <w:rPr/>
        <w:t>）暂停资本化期间</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033" w:firstLine="271"/>
        <w:jc w:val="left"/>
      </w:pPr>
      <w:r>
        <w:rPr/>
        <w:t>符合资本化条件的资产在购建或生产过程中发生的非正常中断、且中断时间连续超过</w:t>
      </w:r>
      <w:r>
        <w:rPr>
          <w:rFonts w:ascii="宋体" w:hAnsi="宋体" w:cs="宋体" w:eastAsia="宋体" w:hint="default"/>
        </w:rPr>
        <w:t>3</w:t>
      </w:r>
      <w:r>
        <w:rPr/>
        <w:t>个月的，则借款费用暂停资本化；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4</w:t>
      </w:r>
      <w:r>
        <w:rPr/>
        <w:t>）借款费用资本化金额的计算方法</w:t>
      </w:r>
      <w:r>
        <w:rPr>
          <w:b w:val="0"/>
          <w:bCs w:val="0"/>
        </w:rPr>
      </w:r>
    </w:p>
    <w:p>
      <w:pPr>
        <w:spacing w:line="240" w:lineRule="auto" w:before="0"/>
        <w:rPr>
          <w:rFonts w:ascii="微软雅黑" w:hAnsi="微软雅黑" w:cs="微软雅黑" w:eastAsia="微软雅黑" w:hint="default"/>
          <w:b/>
          <w:bCs/>
          <w:sz w:val="24"/>
          <w:szCs w:val="24"/>
        </w:rPr>
      </w:pPr>
    </w:p>
    <w:p>
      <w:pPr>
        <w:pStyle w:val="BodyText"/>
        <w:spacing w:line="477" w:lineRule="auto"/>
        <w:ind w:right="1131" w:firstLine="271"/>
        <w:jc w:val="both"/>
      </w:pPr>
      <w:r>
        <w:rPr/>
        <w:t>专门借款当期实际发生的利息费用，减去尚未动用的借款资金存入银行取得的利息收入或进行暂时性投资取得的投资收 </w:t>
      </w:r>
      <w:r>
        <w:rPr>
          <w:spacing w:val="-2"/>
        </w:rPr>
        <w:t>益后的金额予以资本化；一般借款根据累计资产支出超过专门借款部分的资产支出加权平均数乘以所占用一般借款的资本化</w:t>
      </w:r>
      <w:r>
        <w:rPr>
          <w:spacing w:val="-63"/>
        </w:rPr>
        <w:t> </w:t>
      </w:r>
      <w:r>
        <w:rPr>
          <w:spacing w:val="-63"/>
        </w:rPr>
      </w:r>
      <w:r>
        <w:rPr/>
        <w:t>率，确定资本化金额。资本化率根据一般借款的加权平均利率计算确定。</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17</w:t>
      </w:r>
      <w:r>
        <w:rPr/>
        <w:t>、生物资产</w:t>
      </w:r>
      <w:r>
        <w:rPr>
          <w:b w:val="0"/>
          <w:bCs w:val="0"/>
        </w:rPr>
      </w:r>
    </w:p>
    <w:p>
      <w:pPr>
        <w:spacing w:line="240" w:lineRule="auto" w:before="14"/>
        <w:rPr>
          <w:rFonts w:ascii="微软雅黑" w:hAnsi="微软雅黑" w:cs="微软雅黑" w:eastAsia="微软雅黑" w:hint="default"/>
          <w:b/>
          <w:bCs/>
          <w:sz w:val="23"/>
          <w:szCs w:val="23"/>
        </w:rPr>
      </w:pPr>
    </w:p>
    <w:p>
      <w:pPr>
        <w:pStyle w:val="BodyText"/>
        <w:spacing w:line="240" w:lineRule="auto"/>
        <w:ind w:left="0" w:right="7941"/>
        <w:jc w:val="center"/>
      </w:pPr>
      <w:r>
        <w:rPr/>
        <w:t>（</w:t>
      </w:r>
      <w:r>
        <w:rPr>
          <w:rFonts w:ascii="宋体" w:hAnsi="宋体" w:cs="宋体" w:eastAsia="宋体" w:hint="default"/>
        </w:rPr>
        <w:t>1</w:t>
      </w:r>
      <w:r>
        <w:rPr/>
        <w:t>）消耗性生物资产</w:t>
      </w:r>
    </w:p>
    <w:p>
      <w:pPr>
        <w:spacing w:after="0" w:line="240" w:lineRule="auto"/>
        <w:jc w:val="center"/>
        <w:sectPr>
          <w:pgSz w:w="11910" w:h="16840"/>
          <w:pgMar w:header="745" w:footer="1332"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0" w:firstLine="482"/>
        <w:jc w:val="both"/>
      </w:pPr>
      <w:r>
        <w:rPr>
          <w:spacing w:val="-1"/>
        </w:rPr>
        <w:t>消耗性生物资产是指为出售而持有的、或在将来收获为农产品的存栏待售的牲畜。消耗性生物资产按照成本进行初始</w:t>
      </w:r>
      <w:r>
        <w:rPr/>
        <w:t> </w:t>
      </w:r>
      <w:r>
        <w:rPr>
          <w:spacing w:val="-2"/>
        </w:rPr>
        <w:t>计量。自行繁殖或养殖的消耗性生物资产的成本，为该资产在出售前发生的可直接归属于该资产的必要支出，包括符合资本</w:t>
      </w:r>
      <w:r>
        <w:rPr>
          <w:spacing w:val="-63"/>
        </w:rPr>
        <w:t> </w:t>
      </w:r>
      <w:r>
        <w:rPr>
          <w:spacing w:val="-63"/>
        </w:rPr>
      </w:r>
      <w:r>
        <w:rPr/>
        <w:t>化条件的借款费用。</w:t>
      </w:r>
    </w:p>
    <w:p>
      <w:pPr>
        <w:pStyle w:val="BodyText"/>
        <w:spacing w:line="477" w:lineRule="auto" w:before="54"/>
        <w:ind w:left="635" w:right="0"/>
        <w:jc w:val="left"/>
      </w:pPr>
      <w:r>
        <w:rPr/>
        <w:t>消耗性生物资产在收获或出售时，采用加权平均法按账面价值结转成本。 </w:t>
      </w:r>
      <w:r>
        <w:rPr>
          <w:spacing w:val="-1"/>
        </w:rPr>
        <w:t>资产负债表日，消耗性生物资产按照成本与可变现净值孰低计量，并采用与确认存货跌价准备一致的方法计算确认消</w:t>
      </w:r>
    </w:p>
    <w:p>
      <w:pPr>
        <w:pStyle w:val="BodyText"/>
        <w:spacing w:line="477" w:lineRule="auto" w:before="54"/>
        <w:ind w:right="0"/>
        <w:jc w:val="left"/>
      </w:pPr>
      <w:r>
        <w:rPr>
          <w:spacing w:val="-2"/>
        </w:rPr>
        <w:t>耗性生物资产的跌价准备。如果减值的影响因素已经消失的，减记的金额应当予以恢复，并在原已计提的跌价准备金额内转</w:t>
      </w:r>
      <w:r>
        <w:rPr>
          <w:spacing w:val="-65"/>
        </w:rPr>
        <w:t> </w:t>
      </w:r>
      <w:r>
        <w:rPr>
          <w:spacing w:val="-65"/>
        </w:rPr>
      </w:r>
      <w:r>
        <w:rPr/>
        <w:t>回，转回金额计入当期损益。</w:t>
      </w:r>
    </w:p>
    <w:p>
      <w:pPr>
        <w:pStyle w:val="BodyText"/>
        <w:spacing w:line="240" w:lineRule="auto" w:before="54"/>
        <w:ind w:left="635" w:right="0"/>
        <w:jc w:val="left"/>
      </w:pPr>
      <w:r>
        <w:rPr/>
        <w:t>如果消耗性生物资产改变用途，作为生产性生物资产，改变用途后的成本按改变用途时的账面价值确定。</w:t>
      </w:r>
    </w:p>
    <w:p>
      <w:pPr>
        <w:spacing w:line="240" w:lineRule="auto" w:before="11"/>
        <w:rPr>
          <w:rFonts w:ascii="宋体" w:hAnsi="宋体" w:cs="宋体" w:eastAsia="宋体" w:hint="default"/>
          <w:sz w:val="17"/>
          <w:szCs w:val="17"/>
        </w:rPr>
      </w:pPr>
    </w:p>
    <w:p>
      <w:pPr>
        <w:pStyle w:val="BodyText"/>
        <w:spacing w:line="477" w:lineRule="auto"/>
        <w:ind w:left="635" w:right="0"/>
        <w:jc w:val="left"/>
      </w:pPr>
      <w:r>
        <w:rPr/>
        <w:t>（</w:t>
      </w:r>
      <w:r>
        <w:rPr>
          <w:rFonts w:ascii="宋体" w:hAnsi="宋体" w:cs="宋体" w:eastAsia="宋体" w:hint="default"/>
        </w:rPr>
        <w:t>2</w:t>
      </w:r>
      <w:r>
        <w:rPr/>
        <w:t>）生产性生物资产 </w:t>
      </w:r>
      <w:r>
        <w:rPr>
          <w:spacing w:val="-1"/>
        </w:rPr>
        <w:t>生产性生物资产是指为产出农产品目的而持有的生物资产，包括产畜和役畜等。生产性生物资产按照成本进行初始计</w:t>
      </w:r>
    </w:p>
    <w:p>
      <w:pPr>
        <w:pStyle w:val="BodyText"/>
        <w:spacing w:line="477" w:lineRule="auto" w:before="54"/>
        <w:ind w:right="0"/>
        <w:jc w:val="left"/>
      </w:pPr>
      <w:r>
        <w:rPr>
          <w:spacing w:val="-2"/>
        </w:rPr>
        <w:t>量。自行繁殖的生产性生物资产的成本，为该资产在达到预定生产经营目的前发生的可直接归属于该资产的必要支出，包括</w:t>
      </w:r>
      <w:r>
        <w:rPr>
          <w:spacing w:val="-63"/>
        </w:rPr>
        <w:t> </w:t>
      </w:r>
      <w:r>
        <w:rPr>
          <w:spacing w:val="-63"/>
        </w:rPr>
      </w:r>
      <w:r>
        <w:rPr/>
        <w:t>符合资本化条件的借款费用。</w:t>
      </w:r>
    </w:p>
    <w:p>
      <w:pPr>
        <w:pStyle w:val="BodyText"/>
        <w:spacing w:line="477" w:lineRule="auto" w:before="54"/>
        <w:ind w:right="1132" w:firstLine="482"/>
        <w:jc w:val="both"/>
      </w:pPr>
      <w:r>
        <w:rPr>
          <w:spacing w:val="-1"/>
        </w:rPr>
        <w:t>本集团至少于年度终了对生产性生物资产的使用寿命、预计净残值和折旧方法进行复核，如发生改变则作为会计估计</w:t>
      </w:r>
      <w:r>
        <w:rPr/>
        <w:t> 变更处理。</w:t>
      </w:r>
    </w:p>
    <w:p>
      <w:pPr>
        <w:pStyle w:val="BodyText"/>
        <w:spacing w:line="477" w:lineRule="auto" w:before="54"/>
        <w:ind w:left="635" w:right="0"/>
        <w:jc w:val="left"/>
      </w:pPr>
      <w:r>
        <w:rPr/>
        <w:t>生产性生物资产出售、盘亏、死亡或毁损的处臵收入扣除其账面价值后的差额计入当期损益。 </w:t>
      </w:r>
      <w:r>
        <w:rPr>
          <w:spacing w:val="-1"/>
        </w:rPr>
        <w:t>本集团在每一个资产负债表日检查生产性生物资产是否存在可能发生减值的迹象。如果该资产存在减值迹象，则估计</w:t>
      </w:r>
    </w:p>
    <w:p>
      <w:pPr>
        <w:pStyle w:val="BodyText"/>
        <w:spacing w:line="477" w:lineRule="auto" w:before="54"/>
        <w:ind w:right="0"/>
        <w:jc w:val="left"/>
      </w:pPr>
      <w:r>
        <w:rPr>
          <w:spacing w:val="-2"/>
        </w:rPr>
        <w:t>其可收回金额。估计资产的可收回金额以单项资产为基础。如果资产的可收回金额低于其账面价值，按其差额计提资产减值</w:t>
      </w:r>
      <w:r>
        <w:rPr>
          <w:spacing w:val="-63"/>
        </w:rPr>
        <w:t> </w:t>
      </w:r>
      <w:r>
        <w:rPr>
          <w:spacing w:val="-63"/>
        </w:rPr>
      </w:r>
      <w:r>
        <w:rPr/>
        <w:t>准备，并计入当期损益。</w:t>
      </w:r>
    </w:p>
    <w:p>
      <w:pPr>
        <w:pStyle w:val="BodyText"/>
        <w:spacing w:line="477" w:lineRule="auto" w:before="54"/>
        <w:ind w:left="635" w:right="1811"/>
        <w:jc w:val="left"/>
      </w:pPr>
      <w:r>
        <w:rPr/>
        <w:t>上述资产减值损失一经确认，在以后会计期间不予转回。 如果生产性生物资产改变用途，作为消耗性生物资产，其改变用途后的成本按改变用途时的账面价值确定。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rFonts w:ascii="Arial" w:hAnsi="Arial" w:cs="Arial" w:eastAsia="Arial" w:hint="default"/>
        </w:rPr>
        <w:t>18</w:t>
      </w:r>
      <w:r>
        <w:rPr/>
        <w:t>、油气资产</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19</w:t>
      </w:r>
      <w:r>
        <w:rPr>
          <w:rFonts w:ascii="微软雅黑" w:hAnsi="微软雅黑" w:cs="微软雅黑" w:eastAsia="微软雅黑" w:hint="default"/>
          <w:b/>
          <w:bCs/>
          <w:sz w:val="21"/>
          <w:szCs w:val="21"/>
        </w:rPr>
        <w:t>、无形资产</w:t>
      </w:r>
      <w:r>
        <w:rPr>
          <w:rFonts w:ascii="微软雅黑" w:hAnsi="微软雅黑" w:cs="微软雅黑" w:eastAsia="微软雅黑" w:hint="default"/>
          <w:sz w:val="21"/>
          <w:szCs w:val="21"/>
        </w:rPr>
      </w:r>
    </w:p>
    <w:p>
      <w:pPr>
        <w:spacing w:line="240" w:lineRule="auto" w:before="11"/>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）无形资产的计价方法</w:t>
      </w:r>
      <w:r>
        <w:rPr>
          <w:rFonts w:ascii="微软雅黑" w:hAnsi="微软雅黑" w:cs="微软雅黑" w:eastAsia="微软雅黑" w:hint="default"/>
          <w:sz w:val="21"/>
          <w:szCs w:val="21"/>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0" w:firstLine="360"/>
        <w:jc w:val="left"/>
      </w:pPr>
      <w:r>
        <w:rPr>
          <w:spacing w:val="-4"/>
        </w:rPr>
        <w:t>无形资产按成本进行初始计量。与无形资产有关的支出，如果相关的经济利益很可能流入本集团且其成本能可靠地计量，</w:t>
      </w:r>
      <w:r>
        <w:rPr/>
        <w:t> 则计入无形资产成本。除此以外的其他项目的支出，在发生时计入当期损益。</w:t>
      </w:r>
    </w:p>
    <w:p>
      <w:pPr>
        <w:pStyle w:val="BodyText"/>
        <w:spacing w:line="477" w:lineRule="auto" w:before="54"/>
        <w:ind w:right="0" w:firstLine="360"/>
        <w:jc w:val="left"/>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p>
    <w:p>
      <w:pPr>
        <w:spacing w:after="0" w:line="477" w:lineRule="auto"/>
        <w:jc w:val="left"/>
        <w:sectPr>
          <w:pgSz w:w="11910" w:h="16840"/>
          <w:pgMar w:header="745" w:footer="1332"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分配的，全部作为固定资产处理。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Arial" w:hAnsi="Arial" w:cs="Arial" w:eastAsia="Arial" w:hint="default"/>
        </w:rPr>
        <w:t>2</w:t>
      </w:r>
      <w:r>
        <w:rPr/>
        <w:t>）使用寿命有限的无形资产的使用寿命估计情况</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每期末，对使用寿命有限的无形资产的使用寿命及摊销方法进行复核。</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5"/>
                <w:sz w:val="18"/>
                <w:szCs w:val="18"/>
              </w:rPr>
              <w:t> </w:t>
            </w:r>
            <w:r>
              <w:rPr>
                <w:rFonts w:ascii="宋体" w:hAnsi="宋体" w:cs="宋体" w:eastAsia="宋体" w:hint="default"/>
                <w:sz w:val="18"/>
                <w:szCs w:val="18"/>
              </w:rPr>
              <w:t>888</w:t>
            </w:r>
            <w:r>
              <w:rPr>
                <w:rFonts w:ascii="宋体" w:hAnsi="宋体" w:cs="宋体" w:eastAsia="宋体" w:hint="default"/>
                <w:spacing w:val="-47"/>
                <w:sz w:val="18"/>
                <w:szCs w:val="18"/>
              </w:rPr>
              <w:t> </w:t>
            </w:r>
            <w:r>
              <w:rPr>
                <w:rFonts w:ascii="宋体" w:hAnsi="宋体" w:cs="宋体" w:eastAsia="宋体" w:hint="default"/>
                <w:sz w:val="18"/>
                <w:szCs w:val="18"/>
              </w:rPr>
              <w:t>商标权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商标使用年限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技术更新换代程度</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）使用寿命不确定的无形资产的判断依据</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left="693" w:right="0"/>
        <w:jc w:val="left"/>
      </w:pPr>
      <w:r>
        <w:rPr/>
        <w:t>每期末，对使用寿命不确定的无形资产的使用寿命进行复核。</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4</w:t>
      </w:r>
      <w:r>
        <w:rPr/>
        <w:t>）无形资产减值准备的计提</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1129" w:firstLine="360"/>
        <w:jc w:val="both"/>
      </w:pPr>
      <w:r>
        <w:rPr>
          <w:spacing w:val="-2"/>
        </w:rPr>
        <w:t>对于使用寿命确定的无形资产，如有明显减值迹象的，期末进行减值测试。对于使用寿命不确定的无形资产，每期末进</w:t>
      </w:r>
      <w:r>
        <w:rPr/>
        <w:t> </w:t>
      </w:r>
      <w:r>
        <w:rPr>
          <w:spacing w:val="-2"/>
        </w:rPr>
        <w:t>行减值测试。对无形资产进行减值测试，估计其可收回金额。可收回金额根据无形资产的公允价值减去处臵费用后的净额与</w:t>
      </w:r>
      <w:r>
        <w:rPr>
          <w:spacing w:val="-63"/>
        </w:rPr>
        <w:t> </w:t>
      </w:r>
      <w:r>
        <w:rPr>
          <w:spacing w:val="-63"/>
        </w:rPr>
      </w:r>
      <w:r>
        <w:rPr/>
        <w:t>无形资产预计未来现金流量的现值两者之间较高者确定。</w:t>
      </w:r>
    </w:p>
    <w:p>
      <w:pPr>
        <w:spacing w:line="240" w:lineRule="auto" w:before="9"/>
        <w:rPr>
          <w:rFonts w:ascii="宋体" w:hAnsi="宋体" w:cs="宋体" w:eastAsia="宋体" w:hint="default"/>
          <w:sz w:val="14"/>
          <w:szCs w:val="14"/>
        </w:rPr>
      </w:pPr>
    </w:p>
    <w:p>
      <w:pPr>
        <w:pStyle w:val="BodyText"/>
        <w:spacing w:line="489" w:lineRule="auto"/>
        <w:ind w:left="513" w:right="0" w:hanging="361"/>
        <w:jc w:val="left"/>
      </w:pPr>
      <w:r>
        <w:rPr>
          <w:rFonts w:ascii="微软雅黑" w:hAnsi="微软雅黑" w:cs="微软雅黑" w:eastAsia="微软雅黑" w:hint="default"/>
          <w:b/>
          <w:bCs/>
          <w:sz w:val="21"/>
          <w:szCs w:val="21"/>
        </w:rPr>
        <w:t>（</w:t>
      </w:r>
      <w:r>
        <w:rPr>
          <w:rFonts w:ascii="Arial" w:hAnsi="Arial" w:cs="Arial" w:eastAsia="Arial" w:hint="default"/>
          <w:b/>
          <w:bCs/>
          <w:sz w:val="21"/>
          <w:szCs w:val="21"/>
        </w:rPr>
        <w:t>5</w:t>
      </w:r>
      <w:r>
        <w:rPr>
          <w:rFonts w:ascii="微软雅黑" w:hAnsi="微软雅黑" w:cs="微软雅黑" w:eastAsia="微软雅黑" w:hint="default"/>
          <w:b/>
          <w:bCs/>
          <w:sz w:val="21"/>
          <w:szCs w:val="21"/>
        </w:rPr>
        <w:t>）划分公司内部研究开发项目的研究阶段和开发阶段具体标准</w:t>
      </w:r>
      <w:r>
        <w:rPr>
          <w:rFonts w:ascii="微软雅黑" w:hAnsi="微软雅黑" w:cs="微软雅黑" w:eastAsia="微软雅黑" w:hint="default"/>
          <w:b/>
          <w:bCs/>
          <w:spacing w:val="-53"/>
          <w:sz w:val="21"/>
          <w:szCs w:val="21"/>
        </w:rPr>
        <w:t> </w:t>
      </w:r>
      <w:r>
        <w:rPr>
          <w:rFonts w:ascii="微软雅黑" w:hAnsi="微软雅黑" w:cs="微软雅黑" w:eastAsia="微软雅黑" w:hint="default"/>
          <w:b/>
          <w:bCs/>
          <w:spacing w:val="-53"/>
          <w:sz w:val="21"/>
          <w:szCs w:val="21"/>
        </w:rPr>
      </w:r>
      <w:r>
        <w:rPr/>
        <w:t>本集团内部研究开发项目的支出分为研究阶段支出与开发阶段支出。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45"/>
        <w:ind w:right="0"/>
        <w:jc w:val="left"/>
      </w:pPr>
      <w:r>
        <w:rPr/>
        <w:t>进的材料、装臵、产品等活动的阶段。</w:t>
      </w: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r>
        <w:rPr/>
        <w:t>（</w:t>
      </w:r>
      <w:r>
        <w:rPr>
          <w:rFonts w:ascii="Arial" w:hAnsi="Arial" w:cs="Arial" w:eastAsia="Arial" w:hint="default"/>
        </w:rPr>
        <w:t>6</w:t>
      </w:r>
      <w:r>
        <w:rPr/>
        <w:t>）内部研究开发项目支出的核算</w:t>
      </w:r>
      <w:r>
        <w:rPr>
          <w:b w:val="0"/>
          <w:bCs w:val="0"/>
        </w:rPr>
      </w:r>
    </w:p>
    <w:p>
      <w:pPr>
        <w:spacing w:line="240" w:lineRule="auto" w:before="0"/>
        <w:rPr>
          <w:rFonts w:ascii="微软雅黑" w:hAnsi="微软雅黑" w:cs="微软雅黑" w:eastAsia="微软雅黑" w:hint="default"/>
          <w:b/>
          <w:bCs/>
          <w:sz w:val="24"/>
          <w:szCs w:val="24"/>
        </w:rPr>
      </w:pPr>
    </w:p>
    <w:p>
      <w:pPr>
        <w:pStyle w:val="BodyText"/>
        <w:spacing w:line="477" w:lineRule="auto"/>
        <w:ind w:left="635" w:right="1631"/>
        <w:jc w:val="left"/>
      </w:pPr>
      <w:r>
        <w:rPr/>
        <w:t>研究阶段的支出，于发生时计入当期损益。 开发阶段的支出同时满足下列条件的，确认为无形资产，不能满足下述条件的开发阶段的支出计入当期损益：</w:t>
      </w:r>
    </w:p>
    <w:p>
      <w:pPr>
        <w:pStyle w:val="BodyText"/>
        <w:spacing w:line="240" w:lineRule="auto" w:before="54"/>
        <w:ind w:left="635" w:right="0"/>
        <w:jc w:val="left"/>
      </w:pPr>
      <w:r>
        <w:rPr/>
        <w:t>①完成该无形资产以使其能够使用或出售在技术上具有可行性；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635" w:right="0"/>
        <w:jc w:val="left"/>
      </w:pPr>
      <w:r>
        <w:rPr/>
        <w:t>②具有完成该无形资产并使用或出售的意图；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right="0" w:firstLine="482"/>
        <w:jc w:val="left"/>
      </w:pPr>
      <w:r>
        <w:rPr>
          <w:spacing w:val="-1"/>
        </w:rPr>
        <w:t>③无形资产产生经济利益的方式，包括能够证明运用该无形资产生产的产品存在市场或无形资产自身存在市场，无形</w:t>
      </w:r>
      <w:r>
        <w:rPr/>
        <w:t> 资产将在内部使用的，能够证明其有用性；</w:t>
      </w:r>
    </w:p>
    <w:p>
      <w:pPr>
        <w:spacing w:after="0" w:line="477" w:lineRule="auto"/>
        <w:jc w:val="left"/>
        <w:sectPr>
          <w:pgSz w:w="11910" w:h="16840"/>
          <w:pgMar w:header="745" w:footer="1332"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635" w:right="0"/>
        <w:jc w:val="left"/>
      </w:pPr>
      <w:r>
        <w:rPr/>
        <w:t>④有足够的技术、财务资源和其他资源支持，以完成该无形资产的开发，并有能力使用或出售该无形资产；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left="635" w:right="3791"/>
        <w:jc w:val="left"/>
      </w:pPr>
      <w:r>
        <w:rPr/>
        <w:t>⑤归属于该无形资产开发阶段的支出能够可靠地计量。 无法区分研究阶段支出和开发阶段支出的，将发生的研发支出全部计入当期损益。</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20</w:t>
      </w:r>
      <w:r>
        <w:rPr/>
        <w:t>、长期待摊费用</w:t>
      </w:r>
      <w:r>
        <w:rPr>
          <w:b w:val="0"/>
          <w:bCs w:val="0"/>
        </w:rPr>
      </w:r>
    </w:p>
    <w:p>
      <w:pPr>
        <w:spacing w:line="240" w:lineRule="auto" w:before="17"/>
        <w:rPr>
          <w:rFonts w:ascii="微软雅黑" w:hAnsi="微软雅黑" w:cs="微软雅黑" w:eastAsia="微软雅黑" w:hint="default"/>
          <w:b/>
          <w:bCs/>
          <w:sz w:val="28"/>
          <w:szCs w:val="28"/>
        </w:rPr>
      </w:pPr>
    </w:p>
    <w:p>
      <w:pPr>
        <w:pStyle w:val="BodyText"/>
        <w:spacing w:line="487" w:lineRule="auto"/>
        <w:ind w:right="0" w:firstLine="360"/>
        <w:jc w:val="left"/>
      </w:pPr>
      <w:r>
        <w:rPr>
          <w:spacing w:val="-2"/>
        </w:rPr>
        <w:t>长期待摊费用为已经发生但应由报告期和以后各期负担的分摊期限在一年以上的各项费用。长期待摊费用在预计受益期</w:t>
      </w:r>
      <w:r>
        <w:rPr/>
        <w:t> 间按直线法摊销。</w:t>
      </w:r>
    </w:p>
    <w:p>
      <w:pPr>
        <w:pStyle w:val="Heading3"/>
        <w:spacing w:line="240" w:lineRule="auto" w:before="110"/>
        <w:ind w:right="0"/>
        <w:jc w:val="left"/>
        <w:rPr>
          <w:b w:val="0"/>
          <w:bCs w:val="0"/>
        </w:rPr>
      </w:pPr>
      <w:r>
        <w:rPr>
          <w:rFonts w:ascii="Arial" w:hAnsi="Arial" w:cs="Arial" w:eastAsia="Arial" w:hint="default"/>
        </w:rPr>
        <w:t>21</w:t>
      </w:r>
      <w:r>
        <w:rPr/>
        <w:t>、附回购条件的资产转让</w:t>
      </w:r>
      <w:r>
        <w:rPr>
          <w:b w:val="0"/>
          <w:bCs w:val="0"/>
        </w:rPr>
      </w:r>
    </w:p>
    <w:p>
      <w:pPr>
        <w:spacing w:line="240" w:lineRule="auto" w:before="11"/>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22</w:t>
      </w:r>
      <w:r>
        <w:rPr>
          <w:rFonts w:ascii="微软雅黑" w:hAnsi="微软雅黑" w:cs="微软雅黑" w:eastAsia="微软雅黑" w:hint="default"/>
          <w:b/>
          <w:bCs/>
          <w:sz w:val="21"/>
          <w:szCs w:val="21"/>
        </w:rPr>
        <w:t>、预计负债</w:t>
      </w:r>
      <w:r>
        <w:rPr>
          <w:rFonts w:ascii="微软雅黑" w:hAnsi="微软雅黑" w:cs="微软雅黑" w:eastAsia="微软雅黑" w:hint="default"/>
          <w:sz w:val="21"/>
          <w:szCs w:val="21"/>
        </w:rPr>
      </w:r>
    </w:p>
    <w:p>
      <w:pPr>
        <w:spacing w:line="240" w:lineRule="auto" w:before="17"/>
        <w:rPr>
          <w:rFonts w:ascii="微软雅黑" w:hAnsi="微软雅黑" w:cs="微软雅黑" w:eastAsia="微软雅黑" w:hint="default"/>
          <w:b/>
          <w:bCs/>
          <w:sz w:val="28"/>
          <w:szCs w:val="28"/>
        </w:rPr>
      </w:pPr>
    </w:p>
    <w:p>
      <w:pPr>
        <w:pStyle w:val="BodyText"/>
        <w:spacing w:line="487" w:lineRule="auto"/>
        <w:ind w:right="0" w:firstLine="360"/>
        <w:jc w:val="left"/>
      </w:pPr>
      <w:r>
        <w:rPr>
          <w:spacing w:val="-2"/>
        </w:rPr>
        <w:t>本公司涉及诉讼、债务担保、亏损合同、重组事项时，如该等事项很可能需要未来以交付资产或提供劳务、其金额能够</w:t>
      </w:r>
      <w:r>
        <w:rPr/>
        <w:t> 可靠计量的，确认为预计负债。</w:t>
      </w:r>
    </w:p>
    <w:p>
      <w:pPr>
        <w:pStyle w:val="Heading3"/>
        <w:spacing w:line="240" w:lineRule="auto" w:before="110"/>
        <w:ind w:right="0"/>
        <w:jc w:val="left"/>
        <w:rPr>
          <w:b w:val="0"/>
          <w:bCs w:val="0"/>
        </w:rPr>
      </w:pPr>
      <w:r>
        <w:rPr/>
        <w:t>（</w:t>
      </w:r>
      <w:r>
        <w:rPr>
          <w:rFonts w:ascii="Arial" w:hAnsi="Arial" w:cs="Arial" w:eastAsia="Arial" w:hint="default"/>
        </w:rPr>
        <w:t>1</w:t>
      </w:r>
      <w:r>
        <w:rPr/>
        <w:t>）预计负债的确认标准</w:t>
      </w:r>
      <w:r>
        <w:rPr>
          <w:b w:val="0"/>
          <w:bCs w:val="0"/>
        </w:rPr>
      </w:r>
    </w:p>
    <w:p>
      <w:pPr>
        <w:spacing w:line="240" w:lineRule="auto" w:before="17"/>
        <w:rPr>
          <w:rFonts w:ascii="微软雅黑" w:hAnsi="微软雅黑" w:cs="微软雅黑" w:eastAsia="微软雅黑" w:hint="default"/>
          <w:b/>
          <w:bCs/>
          <w:sz w:val="28"/>
          <w:szCs w:val="28"/>
        </w:rPr>
      </w:pPr>
    </w:p>
    <w:p>
      <w:pPr>
        <w:pStyle w:val="BodyText"/>
        <w:spacing w:line="487" w:lineRule="auto"/>
        <w:ind w:right="0" w:firstLine="360"/>
        <w:jc w:val="left"/>
      </w:pPr>
      <w:r>
        <w:rPr>
          <w:spacing w:val="-2"/>
        </w:rPr>
        <w:t>当与或有事项相关的义务同时符合以下条件，确认为预计负债：（</w:t>
      </w:r>
      <w:r>
        <w:rPr>
          <w:rFonts w:ascii="宋体" w:hAnsi="宋体" w:cs="宋体" w:eastAsia="宋体" w:hint="default"/>
          <w:spacing w:val="-2"/>
        </w:rPr>
        <w:t>1</w:t>
      </w:r>
      <w:r>
        <w:rPr>
          <w:spacing w:val="-2"/>
        </w:rPr>
        <w:t>）该义务是本集团承担的现时义务；（</w:t>
      </w:r>
      <w:r>
        <w:rPr>
          <w:rFonts w:ascii="宋体" w:hAnsi="宋体" w:cs="宋体" w:eastAsia="宋体" w:hint="default"/>
          <w:spacing w:val="-2"/>
        </w:rPr>
        <w:t>2</w:t>
      </w:r>
      <w:r>
        <w:rPr>
          <w:spacing w:val="-2"/>
        </w:rPr>
        <w:t>）履行该义</w:t>
      </w:r>
      <w:r>
        <w:rPr/>
        <w:t> 务很可能导致经济利益流出；（</w:t>
      </w:r>
      <w:r>
        <w:rPr>
          <w:rFonts w:ascii="宋体" w:hAnsi="宋体" w:cs="宋体" w:eastAsia="宋体" w:hint="default"/>
        </w:rPr>
        <w:t>3</w:t>
      </w:r>
      <w:r>
        <w:rPr/>
        <w:t>）该义务的金额能够可靠地计量。</w:t>
      </w:r>
    </w:p>
    <w:p>
      <w:pPr>
        <w:pStyle w:val="Heading3"/>
        <w:spacing w:line="240" w:lineRule="auto" w:before="112"/>
        <w:ind w:right="0"/>
        <w:jc w:val="left"/>
        <w:rPr>
          <w:b w:val="0"/>
          <w:bCs w:val="0"/>
        </w:rPr>
      </w:pPr>
      <w:r>
        <w:rPr/>
        <w:t>（</w:t>
      </w:r>
      <w:r>
        <w:rPr>
          <w:rFonts w:ascii="Arial" w:hAnsi="Arial" w:cs="Arial" w:eastAsia="Arial" w:hint="default"/>
        </w:rPr>
        <w:t>2</w:t>
      </w:r>
      <w:r>
        <w:rPr/>
        <w:t>）预计负债的计量方法</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477" w:lineRule="auto" w:before="54"/>
        <w:ind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477" w:lineRule="auto" w:before="54"/>
        <w:ind w:left="513" w:right="1118"/>
        <w:jc w:val="left"/>
      </w:pPr>
      <w:r>
        <w:rPr/>
        <w:t>（</w:t>
      </w:r>
      <w:r>
        <w:rPr>
          <w:rFonts w:ascii="宋体" w:hAnsi="宋体" w:cs="宋体" w:eastAsia="宋体"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477" w:lineRule="auto" w:before="54"/>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477" w:lineRule="auto" w:before="54"/>
        <w:ind w:left="513" w:right="1118"/>
        <w:jc w:val="left"/>
      </w:pPr>
      <w:r>
        <w:rPr/>
        <w:t>（</w:t>
      </w:r>
      <w:r>
        <w:rPr>
          <w:rFonts w:ascii="宋体" w:hAnsi="宋体" w:cs="宋体" w:eastAsia="宋体"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40" w:lineRule="auto" w:before="54"/>
        <w:ind w:right="0"/>
        <w:jc w:val="left"/>
      </w:pPr>
      <w:r>
        <w:rPr/>
        <w:t>出确定预计负债金额。</w:t>
      </w:r>
    </w:p>
    <w:p>
      <w:pPr>
        <w:spacing w:after="0" w:line="240" w:lineRule="auto"/>
        <w:jc w:val="left"/>
        <w:sectPr>
          <w:pgSz w:w="11910" w:h="16840"/>
          <w:pgMar w:header="745" w:footer="1332"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23</w:t>
      </w:r>
      <w:r>
        <w:rPr/>
        <w:t>、股份支付及权益工具</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）股份支付的种类</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2</w:t>
      </w:r>
      <w:r>
        <w:rPr>
          <w:rFonts w:ascii="微软雅黑" w:hAnsi="微软雅黑" w:cs="微软雅黑" w:eastAsia="微软雅黑" w:hint="default"/>
          <w:b/>
          <w:bCs/>
          <w:sz w:val="21"/>
          <w:szCs w:val="21"/>
        </w:rPr>
        <w:t>）权益工具公允价值的确定方法</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3</w:t>
      </w:r>
      <w:r>
        <w:rPr>
          <w:rFonts w:ascii="微软雅黑" w:hAnsi="微软雅黑" w:cs="微软雅黑" w:eastAsia="微软雅黑" w:hint="default"/>
          <w:b/>
          <w:bCs/>
          <w:sz w:val="21"/>
          <w:szCs w:val="21"/>
        </w:rPr>
        <w:t>）确认可行权权益工具最佳估计的依据</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line="405" w:lineRule="auto" w:before="0"/>
        <w:ind w:left="152" w:right="5807"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4</w:t>
      </w:r>
      <w:r>
        <w:rPr>
          <w:rFonts w:ascii="微软雅黑" w:hAnsi="微软雅黑" w:cs="微软雅黑" w:eastAsia="微软雅黑" w:hint="default"/>
          <w:b/>
          <w:bCs/>
          <w:sz w:val="21"/>
          <w:szCs w:val="21"/>
        </w:rPr>
        <w:t>）实施、修改、终止股份支付计划的相关会计处理</w:t>
      </w:r>
      <w:r>
        <w:rPr>
          <w:rFonts w:ascii="微软雅黑" w:hAnsi="微软雅黑" w:cs="微软雅黑" w:eastAsia="微软雅黑" w:hint="default"/>
          <w:b/>
          <w:bCs/>
          <w:spacing w:val="-59"/>
          <w:sz w:val="21"/>
          <w:szCs w:val="21"/>
        </w:rPr>
        <w:t> </w:t>
      </w:r>
      <w:r>
        <w:rPr>
          <w:rFonts w:ascii="微软雅黑" w:hAnsi="微软雅黑" w:cs="微软雅黑" w:eastAsia="微软雅黑" w:hint="default"/>
          <w:b/>
          <w:bCs/>
          <w:spacing w:val="-59"/>
          <w:sz w:val="21"/>
          <w:szCs w:val="21"/>
        </w:rPr>
      </w:r>
      <w:r>
        <w:rPr>
          <w:rFonts w:ascii="Arial" w:hAnsi="Arial" w:cs="Arial" w:eastAsia="Arial" w:hint="default"/>
          <w:b/>
          <w:bCs/>
          <w:sz w:val="21"/>
          <w:szCs w:val="21"/>
        </w:rPr>
        <w:t>24</w:t>
      </w:r>
      <w:r>
        <w:rPr>
          <w:rFonts w:ascii="微软雅黑" w:hAnsi="微软雅黑" w:cs="微软雅黑" w:eastAsia="微软雅黑" w:hint="default"/>
          <w:b/>
          <w:bCs/>
          <w:sz w:val="21"/>
          <w:szCs w:val="21"/>
        </w:rPr>
        <w:t>、回购本公司股份</w:t>
      </w:r>
      <w:r>
        <w:rPr>
          <w:rFonts w:ascii="微软雅黑" w:hAnsi="微软雅黑" w:cs="微软雅黑" w:eastAsia="微软雅黑" w:hint="default"/>
          <w:sz w:val="21"/>
          <w:szCs w:val="21"/>
        </w:rPr>
      </w:r>
    </w:p>
    <w:p>
      <w:pPr>
        <w:spacing w:before="58"/>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25</w:t>
      </w:r>
      <w:r>
        <w:rPr>
          <w:rFonts w:ascii="微软雅黑" w:hAnsi="微软雅黑" w:cs="微软雅黑" w:eastAsia="微软雅黑" w:hint="default"/>
          <w:b/>
          <w:bCs/>
          <w:sz w:val="21"/>
          <w:szCs w:val="21"/>
        </w:rPr>
        <w:t>、收入</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）销售商品收入确认时间的具体判断标准</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1130" w:firstLine="631"/>
        <w:jc w:val="both"/>
      </w:pPr>
      <w:r>
        <w:rPr/>
        <w:t>在已将商品所有权上的主要风险和报酬转移给买方，既没有保留通常与所有权相联系的继续管理权，也没有对已售 </w:t>
      </w:r>
      <w:r>
        <w:rPr>
          <w:spacing w:val="-2"/>
        </w:rPr>
        <w:t>商品实施有效控制，收入的金额能够可靠地计量，相关的经济利益很可能流入企业，相关的已发生或将发生的成本能够可靠</w:t>
      </w:r>
      <w:r>
        <w:rPr>
          <w:spacing w:val="-63"/>
        </w:rPr>
        <w:t> </w:t>
      </w:r>
      <w:r>
        <w:rPr>
          <w:spacing w:val="-63"/>
        </w:rPr>
      </w:r>
      <w:r>
        <w:rPr/>
        <w:t>地计量时，确认商品销售收入的实现。</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2</w:t>
      </w:r>
      <w:r>
        <w:rPr/>
        <w:t>）确认让渡资产使用权收入的依据</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0" w:right="5877"/>
        <w:jc w:val="center"/>
      </w:pPr>
      <w:r>
        <w:rPr/>
        <w:t>根据有关合同或协议，按权责发生制确认收入。</w:t>
      </w:r>
    </w:p>
    <w:p>
      <w:pPr>
        <w:spacing w:line="240" w:lineRule="auto" w:before="6"/>
        <w:rPr>
          <w:rFonts w:ascii="宋体" w:hAnsi="宋体" w:cs="宋体" w:eastAsia="宋体" w:hint="default"/>
          <w:sz w:val="22"/>
          <w:szCs w:val="22"/>
        </w:rPr>
      </w:pPr>
    </w:p>
    <w:p>
      <w:pPr>
        <w:pStyle w:val="BodyText"/>
        <w:spacing w:line="494" w:lineRule="auto"/>
        <w:ind w:left="635" w:right="0" w:hanging="483"/>
        <w:jc w:val="left"/>
      </w:pPr>
      <w:r>
        <w:rPr>
          <w:rFonts w:ascii="微软雅黑" w:hAnsi="微软雅黑" w:cs="微软雅黑" w:eastAsia="微软雅黑" w:hint="default"/>
          <w:b/>
          <w:bCs/>
          <w:sz w:val="21"/>
          <w:szCs w:val="21"/>
        </w:rPr>
        <w:t>（</w:t>
      </w:r>
      <w:r>
        <w:rPr>
          <w:rFonts w:ascii="Arial" w:hAnsi="Arial" w:cs="Arial" w:eastAsia="Arial" w:hint="default"/>
          <w:b/>
          <w:bCs/>
          <w:sz w:val="21"/>
          <w:szCs w:val="21"/>
        </w:rPr>
        <w:t>3</w:t>
      </w:r>
      <w:r>
        <w:rPr>
          <w:rFonts w:ascii="微软雅黑" w:hAnsi="微软雅黑" w:cs="微软雅黑" w:eastAsia="微软雅黑" w:hint="default"/>
          <w:b/>
          <w:bCs/>
          <w:sz w:val="21"/>
          <w:szCs w:val="21"/>
        </w:rPr>
        <w:t>）确认提供劳务收入的依据</w:t>
      </w:r>
      <w:r>
        <w:rPr>
          <w:rFonts w:ascii="微软雅黑" w:hAnsi="微软雅黑" w:cs="微软雅黑" w:eastAsia="微软雅黑" w:hint="default"/>
          <w:b/>
          <w:bCs/>
          <w:w w:val="100"/>
          <w:sz w:val="21"/>
          <w:szCs w:val="21"/>
        </w:rPr>
        <w:t> </w:t>
      </w:r>
      <w:r>
        <w:rPr/>
        <w:t>在提供劳务交易的结果能够可靠估计的情况下，于资产负债表日按照完工百分比法确认提供的劳务收入。 </w:t>
      </w:r>
      <w:r>
        <w:rPr>
          <w:spacing w:val="-3"/>
        </w:rPr>
        <w:t>提供劳务交易的结果能够可靠估计是指同时满足：①收入的金额能够可靠地计量；②相关的经济利益很可能流入企业；</w:t>
      </w:r>
    </w:p>
    <w:p>
      <w:pPr>
        <w:pStyle w:val="BodyText"/>
        <w:spacing w:line="477" w:lineRule="auto" w:before="41"/>
        <w:ind w:left="635" w:right="1091" w:hanging="483"/>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477" w:lineRule="auto" w:before="54"/>
        <w:ind w:left="635" w:right="0" w:hanging="483"/>
        <w:jc w:val="left"/>
      </w:pPr>
      <w:r>
        <w:rPr/>
        <w:t>并将已发生的劳务成本作为当期费用。已经发生的劳务成本如预计不能得到补偿的，则不确认收入。 </w:t>
      </w:r>
      <w:r>
        <w:rPr>
          <w:spacing w:val="-1"/>
        </w:rPr>
        <w:t>本集团与其他企业签订的合同或协议包括销售商品和提供劳务时，如销售商品部分和提供劳务部分能够区分并单独计</w:t>
      </w:r>
    </w:p>
    <w:p>
      <w:pPr>
        <w:pStyle w:val="BodyText"/>
        <w:spacing w:line="477" w:lineRule="auto" w:before="54"/>
        <w:ind w:right="0"/>
        <w:jc w:val="left"/>
      </w:pPr>
      <w:r>
        <w:rPr>
          <w:spacing w:val="-2"/>
        </w:rPr>
        <w:t>量的，将销售商品部分和提供劳务部分分别处理；如销售商品部分和提供劳务部分不能够区分，或虽能区分但不能够单独计</w:t>
      </w:r>
      <w:r>
        <w:rPr>
          <w:spacing w:val="-62"/>
        </w:rPr>
        <w:t> </w:t>
      </w:r>
      <w:r>
        <w:rPr>
          <w:spacing w:val="-62"/>
        </w:rPr>
      </w:r>
      <w:r>
        <w:rPr/>
        <w:t>量的，将该合同全部作为销售商品处理。</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w:t>
      </w:r>
      <w:r>
        <w:rPr>
          <w:rFonts w:ascii="Arial" w:hAnsi="Arial" w:cs="Arial" w:eastAsia="Arial" w:hint="default"/>
        </w:rPr>
        <w:t>4</w:t>
      </w:r>
      <w:r>
        <w:rPr/>
        <w:t>）按完工百分比法确认提供劳务的收入和建造合同收入时，确定合同完工进度的依据和方法</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0" w:right="6057"/>
        <w:jc w:val="center"/>
      </w:pPr>
      <w:r>
        <w:rPr/>
        <w:t>按已经发生的劳务成本占估计总成本的比例确定。</w:t>
      </w:r>
    </w:p>
    <w:p>
      <w:pPr>
        <w:spacing w:after="0" w:line="240" w:lineRule="auto"/>
        <w:jc w:val="center"/>
        <w:sectPr>
          <w:pgSz w:w="11910" w:h="16840"/>
          <w:pgMar w:header="745" w:footer="1332"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26</w:t>
      </w:r>
      <w:r>
        <w:rPr/>
        <w:t>、政府补助</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）类型</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23"/>
          <w:szCs w:val="23"/>
        </w:rPr>
      </w:pPr>
    </w:p>
    <w:p>
      <w:pPr>
        <w:pStyle w:val="BodyText"/>
        <w:spacing w:line="477" w:lineRule="auto"/>
        <w:ind w:right="0" w:firstLine="360"/>
        <w:jc w:val="left"/>
      </w:pPr>
      <w:r>
        <w:rPr>
          <w:spacing w:val="-2"/>
        </w:rPr>
        <w:t>政府补助是指本集团从政府无偿取得货币性资产和非货币性资产，不包括政府作为所有者投入的资本。政府补助分为与</w:t>
      </w:r>
      <w:r>
        <w:rPr/>
        <w:t> 资产相关的政府补助和与收益相关的政府补助。</w:t>
      </w:r>
    </w:p>
    <w:p>
      <w:pPr>
        <w:spacing w:line="240" w:lineRule="auto" w:before="7"/>
        <w:rPr>
          <w:rFonts w:ascii="宋体" w:hAnsi="宋体" w:cs="宋体" w:eastAsia="宋体" w:hint="default"/>
          <w:sz w:val="20"/>
          <w:szCs w:val="20"/>
        </w:rPr>
      </w:pPr>
    </w:p>
    <w:p>
      <w:pPr>
        <w:pStyle w:val="BodyText"/>
        <w:spacing w:line="564" w:lineRule="auto"/>
        <w:ind w:left="513" w:right="0" w:hanging="361"/>
        <w:jc w:val="left"/>
      </w:pPr>
      <w:r>
        <w:rPr>
          <w:rFonts w:ascii="微软雅黑" w:hAnsi="微软雅黑" w:cs="微软雅黑" w:eastAsia="微软雅黑" w:hint="default"/>
          <w:b/>
          <w:bCs/>
          <w:sz w:val="21"/>
          <w:szCs w:val="21"/>
        </w:rPr>
        <w:t>（</w:t>
      </w:r>
      <w:r>
        <w:rPr>
          <w:rFonts w:ascii="Arial" w:hAnsi="Arial" w:cs="Arial" w:eastAsia="Arial" w:hint="default"/>
          <w:b/>
          <w:bCs/>
          <w:sz w:val="21"/>
          <w:szCs w:val="21"/>
        </w:rPr>
        <w:t>2</w:t>
      </w:r>
      <w:r>
        <w:rPr>
          <w:rFonts w:ascii="微软雅黑" w:hAnsi="微软雅黑" w:cs="微软雅黑" w:eastAsia="微软雅黑" w:hint="default"/>
          <w:b/>
          <w:bCs/>
          <w:sz w:val="21"/>
          <w:szCs w:val="21"/>
        </w:rPr>
        <w:t>）</w:t>
      </w:r>
      <w:r>
        <w:rPr>
          <w:rFonts w:ascii="微软雅黑" w:hAnsi="微软雅黑" w:cs="微软雅黑" w:eastAsia="微软雅黑" w:hint="default"/>
          <w:b/>
          <w:bCs/>
        </w:rPr>
        <w:t>会计处理方法</w:t>
      </w:r>
      <w:r>
        <w:rPr>
          <w:rFonts w:ascii="微软雅黑" w:hAnsi="微软雅黑" w:cs="微软雅黑" w:eastAsia="微软雅黑" w:hint="default"/>
          <w:b/>
          <w:bCs/>
        </w:rPr>
        <w:t> </w:t>
      </w:r>
      <w:r>
        <w:rPr>
          <w:spacing w:val="-2"/>
        </w:rPr>
        <w:t>政府补助为货币性资产的，按照收到或应收的金额计量。政府补助为非货币性资产的，按照公允价值计量；公允价值不</w:t>
      </w:r>
    </w:p>
    <w:p>
      <w:pPr>
        <w:pStyle w:val="BodyText"/>
        <w:spacing w:line="477" w:lineRule="auto"/>
        <w:ind w:left="513" w:right="0" w:hanging="361"/>
        <w:jc w:val="left"/>
      </w:pPr>
      <w:r>
        <w:rPr/>
        <w:t>能够可靠取得的，按照名义金额计量。按照名义金额计量的政府补助，直接计入当期损益。 </w:t>
      </w:r>
      <w:r>
        <w:rPr>
          <w:spacing w:val="-4"/>
        </w:rPr>
        <w:t>与资产相关的政府补助，确认为递延收益，并在相关资产的使用寿命内平均分配计入当期损益。与收益相关的政府补助，</w:t>
      </w:r>
    </w:p>
    <w:p>
      <w:pPr>
        <w:pStyle w:val="BodyText"/>
        <w:spacing w:line="477" w:lineRule="auto" w:before="54"/>
        <w:ind w:right="0"/>
        <w:jc w:val="left"/>
      </w:pPr>
      <w:r>
        <w:rPr>
          <w:spacing w:val="-2"/>
        </w:rPr>
        <w:t>用于补偿以后期间的相关费用和损失的，确认为递延收益，并在确认相关费用的期间计入当期损益；用于补偿已经发生的相</w:t>
      </w:r>
      <w:r>
        <w:rPr>
          <w:spacing w:val="-65"/>
        </w:rPr>
        <w:t> </w:t>
      </w:r>
      <w:r>
        <w:rPr>
          <w:spacing w:val="-65"/>
        </w:rPr>
      </w:r>
      <w:r>
        <w:rPr/>
        <w:t>关费用和损失的，直接计入当期损益。</w:t>
      </w:r>
    </w:p>
    <w:p>
      <w:pPr>
        <w:pStyle w:val="BodyText"/>
        <w:spacing w:line="477" w:lineRule="auto" w:before="54"/>
        <w:ind w:right="0" w:firstLine="360"/>
        <w:jc w:val="left"/>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27</w:t>
      </w:r>
      <w:r>
        <w:rPr/>
        <w:t>、递延所得税资产和递延所得税负债</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）确认递延所得税资产的依据</w:t>
      </w:r>
      <w:r>
        <w:rPr>
          <w:rFonts w:ascii="微软雅黑" w:hAnsi="微软雅黑" w:cs="微软雅黑" w:eastAsia="微软雅黑" w:hint="default"/>
          <w:sz w:val="21"/>
          <w:szCs w:val="21"/>
        </w:rPr>
      </w:r>
    </w:p>
    <w:p>
      <w:pPr>
        <w:spacing w:line="240" w:lineRule="auto" w:before="4"/>
        <w:rPr>
          <w:rFonts w:ascii="微软雅黑" w:hAnsi="微软雅黑" w:cs="微软雅黑" w:eastAsia="微软雅黑" w:hint="default"/>
          <w:b/>
          <w:bCs/>
          <w:sz w:val="19"/>
          <w:szCs w:val="19"/>
        </w:rPr>
      </w:pPr>
    </w:p>
    <w:p>
      <w:pPr>
        <w:pStyle w:val="BodyText"/>
        <w:spacing w:line="240" w:lineRule="auto"/>
        <w:ind w:left="604" w:right="0"/>
        <w:jc w:val="left"/>
      </w:pPr>
      <w:r>
        <w:rPr/>
        <w:t>公司以很可能取得用来抵扣可抵扣暂时性差异的应纳税所得额为限</w:t>
      </w:r>
      <w:r>
        <w:rPr>
          <w:spacing w:val="-82"/>
        </w:rPr>
        <w:t>，</w:t>
      </w:r>
      <w:r>
        <w:rPr/>
        <w:t>确认由可抵扣暂时性差异产生的递延所得税资产。</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）确认递延所得税负债的依据</w:t>
      </w:r>
      <w:r>
        <w:rPr>
          <w:b w:val="0"/>
          <w:bCs w:val="0"/>
        </w:rPr>
      </w:r>
    </w:p>
    <w:p>
      <w:pPr>
        <w:spacing w:line="240" w:lineRule="auto" w:before="17"/>
        <w:rPr>
          <w:rFonts w:ascii="微软雅黑" w:hAnsi="微软雅黑" w:cs="微软雅黑" w:eastAsia="微软雅黑" w:hint="default"/>
          <w:b/>
          <w:bCs/>
          <w:sz w:val="23"/>
          <w:szCs w:val="23"/>
        </w:rPr>
      </w:pPr>
    </w:p>
    <w:p>
      <w:pPr>
        <w:pStyle w:val="BodyText"/>
        <w:spacing w:line="477" w:lineRule="auto"/>
        <w:ind w:right="0" w:firstLine="540"/>
        <w:jc w:val="left"/>
      </w:pPr>
      <w:r>
        <w:rPr>
          <w:spacing w:val="-2"/>
        </w:rPr>
        <w:t>公司将当期与以前期间应交未交的应纳税暂时性差异确认为递延所得税负债。但不包括商誉、非企业合并形成的交易</w:t>
      </w:r>
      <w:r>
        <w:rPr/>
        <w:t> 且该交易发生时既不影响会计利润也不影响应纳税所得额所形成的暂时性差异。</w:t>
      </w:r>
    </w:p>
    <w:p>
      <w:pPr>
        <w:spacing w:line="240" w:lineRule="auto" w:before="6"/>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28</w:t>
      </w:r>
      <w:r>
        <w:rPr/>
        <w:t>、经营租赁、融资租赁</w:t>
      </w:r>
      <w:r>
        <w:rPr>
          <w:b w:val="0"/>
          <w:bCs w:val="0"/>
        </w:rPr>
      </w:r>
    </w:p>
    <w:p>
      <w:pPr>
        <w:spacing w:line="240" w:lineRule="auto" w:before="11"/>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）经营租赁会计处理</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2</w:t>
      </w:r>
      <w:r>
        <w:rPr>
          <w:rFonts w:ascii="微软雅黑" w:hAnsi="微软雅黑" w:cs="微软雅黑" w:eastAsia="微软雅黑" w:hint="default"/>
          <w:b/>
          <w:bCs/>
          <w:sz w:val="21"/>
          <w:szCs w:val="21"/>
        </w:rPr>
        <w:t>）融资租赁会计处理</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3</w:t>
      </w:r>
      <w:r>
        <w:rPr>
          <w:rFonts w:ascii="微软雅黑" w:hAnsi="微软雅黑" w:cs="微软雅黑" w:eastAsia="微软雅黑" w:hint="default"/>
          <w:b/>
          <w:bCs/>
          <w:sz w:val="21"/>
          <w:szCs w:val="21"/>
        </w:rPr>
        <w:t>）售后租回的会计处理</w:t>
      </w:r>
      <w:r>
        <w:rPr>
          <w:rFonts w:ascii="微软雅黑" w:hAnsi="微软雅黑" w:cs="微软雅黑" w:eastAsia="微软雅黑" w:hint="default"/>
          <w:sz w:val="21"/>
          <w:szCs w:val="21"/>
        </w:rPr>
      </w:r>
    </w:p>
    <w:p>
      <w:pPr>
        <w:spacing w:after="0"/>
        <w:jc w:val="left"/>
        <w:rPr>
          <w:rFonts w:ascii="微软雅黑" w:hAnsi="微软雅黑" w:cs="微软雅黑" w:eastAsia="微软雅黑" w:hint="default"/>
          <w:sz w:val="21"/>
          <w:szCs w:val="21"/>
        </w:rPr>
        <w:sectPr>
          <w:pgSz w:w="11910" w:h="16840"/>
          <w:pgMar w:header="745" w:footer="1332" w:top="1060" w:bottom="1540" w:left="980" w:right="0"/>
        </w:sectPr>
      </w:pPr>
    </w:p>
    <w:p>
      <w:pPr>
        <w:spacing w:line="240" w:lineRule="auto" w:before="13"/>
        <w:rPr>
          <w:rFonts w:ascii="微软雅黑" w:hAnsi="微软雅黑" w:cs="微软雅黑" w:eastAsia="微软雅黑" w:hint="default"/>
          <w:b/>
          <w:bCs/>
          <w:sz w:val="18"/>
          <w:szCs w:val="18"/>
        </w:rPr>
      </w:pPr>
    </w:p>
    <w:p>
      <w:pPr>
        <w:spacing w:line="336" w:lineRule="exact"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29</w:t>
      </w:r>
      <w:r>
        <w:rPr>
          <w:rFonts w:ascii="微软雅黑" w:hAnsi="微软雅黑" w:cs="微软雅黑" w:eastAsia="微软雅黑" w:hint="default"/>
          <w:b/>
          <w:bCs/>
          <w:sz w:val="21"/>
          <w:szCs w:val="21"/>
        </w:rPr>
        <w:t>、持有待售资产</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）持有待售资产确认标准</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line="405" w:lineRule="auto" w:before="0"/>
        <w:ind w:left="152" w:right="7487"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2</w:t>
      </w:r>
      <w:r>
        <w:rPr>
          <w:rFonts w:ascii="微软雅黑" w:hAnsi="微软雅黑" w:cs="微软雅黑" w:eastAsia="微软雅黑" w:hint="default"/>
          <w:b/>
          <w:bCs/>
          <w:sz w:val="21"/>
          <w:szCs w:val="21"/>
        </w:rPr>
        <w:t>）持有待售资产的会计处理方法</w:t>
      </w:r>
      <w:r>
        <w:rPr>
          <w:rFonts w:ascii="微软雅黑" w:hAnsi="微软雅黑" w:cs="微软雅黑" w:eastAsia="微软雅黑" w:hint="default"/>
          <w:b/>
          <w:bCs/>
          <w:w w:val="100"/>
          <w:sz w:val="21"/>
          <w:szCs w:val="21"/>
        </w:rPr>
        <w:t> </w:t>
      </w:r>
      <w:r>
        <w:rPr>
          <w:rFonts w:ascii="Arial" w:hAnsi="Arial" w:cs="Arial" w:eastAsia="Arial" w:hint="default"/>
          <w:b/>
          <w:bCs/>
          <w:sz w:val="21"/>
          <w:szCs w:val="21"/>
        </w:rPr>
        <w:t>30</w:t>
      </w:r>
      <w:r>
        <w:rPr>
          <w:rFonts w:ascii="微软雅黑" w:hAnsi="微软雅黑" w:cs="微软雅黑" w:eastAsia="微软雅黑" w:hint="default"/>
          <w:b/>
          <w:bCs/>
          <w:sz w:val="21"/>
          <w:szCs w:val="21"/>
        </w:rPr>
        <w:t>、资产证券化业务</w:t>
      </w:r>
      <w:r>
        <w:rPr>
          <w:rFonts w:ascii="微软雅黑" w:hAnsi="微软雅黑" w:cs="微软雅黑" w:eastAsia="微软雅黑" w:hint="default"/>
          <w:sz w:val="21"/>
          <w:szCs w:val="21"/>
        </w:rPr>
      </w:r>
    </w:p>
    <w:p>
      <w:pPr>
        <w:spacing w:before="58"/>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31</w:t>
      </w:r>
      <w:r>
        <w:rPr>
          <w:rFonts w:ascii="微软雅黑" w:hAnsi="微软雅黑" w:cs="微软雅黑" w:eastAsia="微软雅黑" w:hint="default"/>
          <w:b/>
          <w:bCs/>
          <w:sz w:val="21"/>
          <w:szCs w:val="21"/>
        </w:rPr>
        <w:t>、套期会计</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32</w:t>
      </w:r>
      <w:r>
        <w:rPr>
          <w:rFonts w:ascii="微软雅黑" w:hAnsi="微软雅黑" w:cs="微软雅黑" w:eastAsia="微软雅黑" w:hint="default"/>
          <w:b/>
          <w:bCs/>
          <w:sz w:val="21"/>
          <w:szCs w:val="21"/>
        </w:rPr>
        <w:t>、主要会计政策、会计估计的变更</w:t>
      </w:r>
      <w:r>
        <w:rPr>
          <w:rFonts w:ascii="微软雅黑" w:hAnsi="微软雅黑" w:cs="微软雅黑" w:eastAsia="微软雅黑" w:hint="default"/>
          <w:sz w:val="21"/>
          <w:szCs w:val="21"/>
        </w:rPr>
      </w:r>
    </w:p>
    <w:p>
      <w:pPr>
        <w:spacing w:line="240" w:lineRule="auto" w:before="4"/>
        <w:rPr>
          <w:rFonts w:ascii="微软雅黑" w:hAnsi="微软雅黑" w:cs="微软雅黑" w:eastAsia="微软雅黑" w:hint="default"/>
          <w:b/>
          <w:bCs/>
          <w:sz w:val="19"/>
          <w:szCs w:val="19"/>
        </w:rPr>
      </w:pPr>
    </w:p>
    <w:p>
      <w:pPr>
        <w:pStyle w:val="BodyText"/>
        <w:spacing w:line="240" w:lineRule="auto"/>
        <w:ind w:right="0"/>
        <w:jc w:val="left"/>
      </w:pPr>
      <w:r>
        <w:rPr/>
        <w:t>本报告期主要会计政策、会计估计是否变更</w:t>
      </w:r>
    </w:p>
    <w:p>
      <w:pPr>
        <w:pStyle w:val="BodyText"/>
        <w:spacing w:line="240" w:lineRule="auto" w:before="118"/>
        <w:ind w:right="0"/>
        <w:jc w:val="left"/>
      </w:pPr>
      <w:r>
        <w:rPr/>
        <w:t>□ 是 √ 否</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1</w:t>
      </w:r>
      <w:r>
        <w:rPr/>
        <w:t>）会计政策变更</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right="0"/>
        <w:jc w:val="left"/>
      </w:pPr>
      <w:r>
        <w:rPr/>
        <w:t>本报告期主要会计政策是否变更</w:t>
      </w:r>
    </w:p>
    <w:p>
      <w:pPr>
        <w:pStyle w:val="BodyText"/>
        <w:spacing w:line="240" w:lineRule="auto" w:before="117"/>
        <w:ind w:right="0"/>
        <w:jc w:val="left"/>
      </w:pPr>
      <w:r>
        <w:rPr/>
        <w:t>□ 是 √ 否</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）会计估计变更</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本报告期主要会计估计是否变更</w:t>
      </w:r>
    </w:p>
    <w:p>
      <w:pPr>
        <w:pStyle w:val="BodyText"/>
        <w:spacing w:line="240" w:lineRule="auto" w:before="115"/>
        <w:ind w:right="0"/>
        <w:jc w:val="left"/>
      </w:pPr>
      <w:r>
        <w:rPr/>
        <w:t>□ 是 √ 否</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33</w:t>
      </w:r>
      <w:r>
        <w:rPr/>
        <w:t>、前期会计差错更正</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本报告期是否发现前期会计差错</w:t>
      </w:r>
    </w:p>
    <w:p>
      <w:pPr>
        <w:pStyle w:val="BodyText"/>
        <w:spacing w:line="357" w:lineRule="auto" w:before="117"/>
        <w:ind w:right="8414"/>
        <w:jc w:val="left"/>
      </w:pPr>
      <w:r>
        <w:rPr/>
        <w:t>□ 是 √ 否 本报告期未发现前期会计差错</w:t>
      </w: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r>
        <w:rPr/>
        <w:t>（</w:t>
      </w:r>
      <w:r>
        <w:rPr>
          <w:rFonts w:ascii="Arial" w:hAnsi="Arial" w:cs="Arial" w:eastAsia="Arial" w:hint="default"/>
        </w:rPr>
        <w:t>1</w:t>
      </w:r>
      <w:r>
        <w:rPr/>
        <w:t>）追溯重述法</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本报告期是否发现采用追溯重述法的前期会计差错</w:t>
      </w:r>
    </w:p>
    <w:p>
      <w:pPr>
        <w:pStyle w:val="BodyText"/>
        <w:spacing w:line="240" w:lineRule="auto" w:before="115"/>
        <w:ind w:right="0"/>
        <w:jc w:val="left"/>
      </w:pPr>
      <w:r>
        <w:rPr/>
        <w:t>□ 是 √ 否</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）未来适用法</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本报告期是否发现采用未来适用法的前期会计差错</w:t>
      </w:r>
    </w:p>
    <w:p>
      <w:pPr>
        <w:pStyle w:val="BodyText"/>
        <w:spacing w:line="240" w:lineRule="auto" w:before="117"/>
        <w:ind w:right="0"/>
        <w:jc w:val="left"/>
      </w:pPr>
      <w:r>
        <w:rPr/>
        <w:t>□ 是 √ 否</w:t>
      </w:r>
    </w:p>
    <w:p>
      <w:pPr>
        <w:spacing w:after="0" w:line="240" w:lineRule="auto"/>
        <w:jc w:val="left"/>
        <w:sectPr>
          <w:pgSz w:w="11910" w:h="16840"/>
          <w:pgMar w:header="745" w:footer="1332"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34</w:t>
      </w:r>
      <w:r>
        <w:rPr/>
        <w:t>、其他主要会计政策、会计估计和财务报表编制方法</w:t>
      </w:r>
      <w:r>
        <w:rPr>
          <w:b w:val="0"/>
          <w:bCs w:val="0"/>
        </w:rPr>
      </w:r>
    </w:p>
    <w:p>
      <w:pPr>
        <w:spacing w:line="240" w:lineRule="auto" w:before="10"/>
        <w:rPr>
          <w:rFonts w:ascii="微软雅黑" w:hAnsi="微软雅黑" w:cs="微软雅黑" w:eastAsia="微软雅黑" w:hint="default"/>
          <w:b/>
          <w:bCs/>
          <w:sz w:val="12"/>
          <w:szCs w:val="12"/>
        </w:rPr>
      </w:pPr>
    </w:p>
    <w:p>
      <w:pPr>
        <w:spacing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五、税项</w:t>
      </w:r>
      <w:r>
        <w:rPr>
          <w:rFonts w:ascii="微软雅黑" w:hAnsi="微软雅黑" w:cs="微软雅黑" w:eastAsia="微软雅黑" w:hint="default"/>
          <w:sz w:val="24"/>
          <w:szCs w:val="24"/>
        </w:rPr>
      </w:r>
    </w:p>
    <w:p>
      <w:pPr>
        <w:spacing w:line="240" w:lineRule="auto" w:before="7"/>
        <w:rPr>
          <w:rFonts w:ascii="微软雅黑" w:hAnsi="微软雅黑" w:cs="微软雅黑" w:eastAsia="微软雅黑" w:hint="default"/>
          <w:b/>
          <w:bCs/>
          <w:sz w:val="13"/>
          <w:szCs w:val="13"/>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1</w:t>
      </w:r>
      <w:r>
        <w:rPr>
          <w:rFonts w:ascii="微软雅黑" w:hAnsi="微软雅黑" w:cs="微软雅黑" w:eastAsia="微软雅黑" w:hint="default"/>
          <w:b/>
          <w:bCs/>
          <w:sz w:val="21"/>
          <w:szCs w:val="21"/>
        </w:rPr>
        <w:t>、公司主要税种和税率</w:t>
      </w:r>
      <w:r>
        <w:rPr>
          <w:rFonts w:ascii="微软雅黑" w:hAnsi="微软雅黑" w:cs="微软雅黑" w:eastAsia="微软雅黑" w:hint="default"/>
          <w:sz w:val="21"/>
          <w:szCs w:val="21"/>
        </w:rPr>
      </w:r>
    </w:p>
    <w:p>
      <w:pPr>
        <w:spacing w:line="240" w:lineRule="auto" w:before="16"/>
        <w:rPr>
          <w:rFonts w:ascii="微软雅黑" w:hAnsi="微软雅黑" w:cs="微软雅黑" w:eastAsia="微软雅黑"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17%</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5%</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7%</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25%</w:t>
            </w: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5%</w:t>
            </w:r>
          </w:p>
        </w:tc>
      </w:tr>
    </w:tbl>
    <w:p>
      <w:pPr>
        <w:pStyle w:val="BodyText"/>
        <w:spacing w:line="240" w:lineRule="auto" w:before="49"/>
        <w:ind w:right="0"/>
        <w:jc w:val="left"/>
      </w:pPr>
      <w:r>
        <w:rPr/>
        <w:t>各分公司、分厂执行的所得税税率</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w:t>
      </w:r>
      <w:r>
        <w:rPr/>
        <w:t>、税收优惠及批文</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604" w:right="0"/>
        <w:jc w:val="left"/>
      </w:pPr>
      <w:r>
        <w:rPr/>
        <w:t>本集团农畜业及饲料销售收入根据《中华人民共和国增值税暂行条例》的规定免征增值税。</w:t>
      </w:r>
    </w:p>
    <w:p>
      <w:pPr>
        <w:spacing w:line="240" w:lineRule="auto" w:before="5"/>
        <w:rPr>
          <w:rFonts w:ascii="宋体" w:hAnsi="宋体" w:cs="宋体" w:eastAsia="宋体" w:hint="default"/>
          <w:sz w:val="22"/>
          <w:szCs w:val="22"/>
        </w:rPr>
      </w:pPr>
    </w:p>
    <w:p>
      <w:pPr>
        <w:spacing w:line="379" w:lineRule="auto" w:before="0"/>
        <w:ind w:left="152" w:right="7634" w:firstLine="0"/>
        <w:jc w:val="left"/>
        <w:rPr>
          <w:rFonts w:ascii="微软雅黑" w:hAnsi="微软雅黑" w:cs="微软雅黑" w:eastAsia="微软雅黑" w:hint="default"/>
          <w:sz w:val="21"/>
          <w:szCs w:val="21"/>
        </w:rPr>
      </w:pPr>
      <w:r>
        <w:rPr>
          <w:rFonts w:ascii="Arial" w:hAnsi="Arial" w:cs="Arial" w:eastAsia="Arial" w:hint="default"/>
          <w:b/>
          <w:bCs/>
          <w:sz w:val="21"/>
          <w:szCs w:val="21"/>
        </w:rPr>
        <w:t>3</w:t>
      </w:r>
      <w:r>
        <w:rPr>
          <w:rFonts w:ascii="微软雅黑" w:hAnsi="微软雅黑" w:cs="微软雅黑" w:eastAsia="微软雅黑" w:hint="default"/>
          <w:b/>
          <w:bCs/>
          <w:sz w:val="21"/>
          <w:szCs w:val="21"/>
        </w:rPr>
        <w:t>、其他说明</w:t>
      </w:r>
      <w:r>
        <w:rPr>
          <w:rFonts w:ascii="微软雅黑" w:hAnsi="微软雅黑" w:cs="微软雅黑" w:eastAsia="微软雅黑" w:hint="default"/>
          <w:b/>
          <w:bCs/>
          <w:w w:val="100"/>
          <w:sz w:val="21"/>
          <w:szCs w:val="21"/>
        </w:rPr>
        <w:t> </w:t>
      </w:r>
      <w:r>
        <w:rPr>
          <w:rFonts w:ascii="微软雅黑" w:hAnsi="微软雅黑" w:cs="微软雅黑" w:eastAsia="微软雅黑" w:hint="default"/>
          <w:b/>
          <w:bCs/>
          <w:sz w:val="24"/>
          <w:szCs w:val="24"/>
        </w:rPr>
        <w:t>六、企业合并及合并财务报表</w:t>
      </w:r>
      <w:r>
        <w:rPr>
          <w:rFonts w:ascii="微软雅黑" w:hAnsi="微软雅黑" w:cs="微软雅黑" w:eastAsia="微软雅黑" w:hint="default"/>
          <w:b/>
          <w:bCs/>
          <w:spacing w:val="-62"/>
          <w:sz w:val="24"/>
          <w:szCs w:val="24"/>
        </w:rPr>
        <w:t> </w:t>
      </w:r>
      <w:r>
        <w:rPr>
          <w:rFonts w:ascii="微软雅黑" w:hAnsi="微软雅黑" w:cs="微软雅黑" w:eastAsia="微软雅黑" w:hint="default"/>
          <w:b/>
          <w:bCs/>
          <w:spacing w:val="-62"/>
          <w:sz w:val="24"/>
          <w:szCs w:val="24"/>
        </w:rPr>
      </w:r>
      <w:r>
        <w:rPr>
          <w:rFonts w:ascii="Arial" w:hAnsi="Arial" w:cs="Arial" w:eastAsia="Arial" w:hint="default"/>
          <w:b/>
          <w:bCs/>
          <w:sz w:val="21"/>
          <w:szCs w:val="21"/>
        </w:rPr>
        <w:t>1</w:t>
      </w:r>
      <w:r>
        <w:rPr>
          <w:rFonts w:ascii="微软雅黑" w:hAnsi="微软雅黑" w:cs="微软雅黑" w:eastAsia="微软雅黑" w:hint="default"/>
          <w:b/>
          <w:bCs/>
          <w:sz w:val="21"/>
          <w:szCs w:val="21"/>
        </w:rPr>
        <w:t>、子公司情况</w:t>
      </w:r>
      <w:r>
        <w:rPr>
          <w:rFonts w:ascii="微软雅黑" w:hAnsi="微软雅黑" w:cs="微软雅黑" w:eastAsia="微软雅黑" w:hint="default"/>
          <w:sz w:val="21"/>
          <w:szCs w:val="21"/>
        </w:rPr>
      </w:r>
    </w:p>
    <w:p>
      <w:pPr>
        <w:pStyle w:val="Heading3"/>
        <w:spacing w:line="240" w:lineRule="auto" w:before="91"/>
        <w:ind w:right="0"/>
        <w:jc w:val="left"/>
        <w:rPr>
          <w:b w:val="0"/>
          <w:bCs w:val="0"/>
        </w:rPr>
      </w:pPr>
      <w:r>
        <w:rPr/>
        <w:t>（</w:t>
      </w:r>
      <w:r>
        <w:rPr>
          <w:rFonts w:ascii="Arial" w:hAnsi="Arial" w:cs="Arial" w:eastAsia="Arial" w:hint="default"/>
        </w:rPr>
        <w:t>1</w:t>
      </w:r>
      <w:r>
        <w:rPr/>
        <w:t>）通过设立或投资等方式取得的子公司</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731"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110" w:right="62" w:hanging="4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表决权 比例 </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w:t>
            </w:r>
          </w:p>
        </w:tc>
      </w:tr>
    </w:tbl>
    <w:p>
      <w:pPr>
        <w:spacing w:after="0" w:line="316" w:lineRule="auto"/>
        <w:jc w:val="both"/>
        <w:rPr>
          <w:rFonts w:ascii="宋体" w:hAnsi="宋体" w:cs="宋体" w:eastAsia="宋体" w:hint="default"/>
          <w:sz w:val="18"/>
          <w:szCs w:val="18"/>
        </w:rPr>
        <w:sectPr>
          <w:pgSz w:w="11910" w:h="16840"/>
          <w:pgMar w:header="745" w:footer="133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享有份 额后的 余额</w:t>
            </w: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深信西 部房地 产有限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6,230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房地产 开发经 营、兴 办实 业、国 内商业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sz w:val="18"/>
              </w:rPr>
              <w:t>11,830</w:t>
            </w:r>
          </w:p>
          <w:p>
            <w:pPr>
              <w:pStyle w:val="TableParagraph"/>
              <w:spacing w:line="240" w:lineRule="auto" w:before="76"/>
              <w:ind w:left="379" w:right="0"/>
              <w:jc w:val="lef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深信泰 丰投资 发展有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06"/>
              <w:jc w:val="left"/>
              <w:rPr>
                <w:rFonts w:ascii="宋体" w:hAnsi="宋体" w:cs="宋体" w:eastAsia="宋体" w:hint="default"/>
                <w:sz w:val="18"/>
                <w:szCs w:val="18"/>
              </w:rPr>
            </w:pPr>
            <w:r>
              <w:rPr>
                <w:rFonts w:ascii="宋体" w:hAnsi="宋体" w:cs="宋体" w:eastAsia="宋体" w:hint="default"/>
                <w:sz w:val="18"/>
                <w:szCs w:val="18"/>
              </w:rPr>
              <w:t>出租物 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投资兴 办实 业、国 内商 业、物 资销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w:t>
            </w:r>
          </w:p>
          <w:p>
            <w:pPr>
              <w:pStyle w:val="TableParagraph"/>
              <w:spacing w:line="240" w:lineRule="auto" w:before="77"/>
              <w:ind w:right="19"/>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深圳市 华宝</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（集 团）饲 料有限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饲料生 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6,130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饲料生 产与销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6,130.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 宝安华 宝实业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家禽养 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sz w:val="18"/>
              </w:rPr>
              <w:t>3,620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种、养 殖业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3,620.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 龙岗区 华宝经 济发展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种殖果 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450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种、养 殖业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450.00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深圳市 华宝西 部物业 管理有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sz w:val="18"/>
              </w:rPr>
              <w:t>300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物业管 理及经 营国内 商业。 机动车 停放服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300.00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 汇德祥 贸易有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商品贸 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sz w:val="18"/>
              </w:rPr>
              <w:t>1000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投资兴 办实 业；塑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8"/>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3"/>
              <w:jc w:val="right"/>
              <w:rPr>
                <w:rFonts w:ascii="宋体" w:hAnsi="宋体" w:cs="宋体" w:eastAsia="宋体" w:hint="default"/>
                <w:sz w:val="18"/>
                <w:szCs w:val="18"/>
              </w:rPr>
            </w:pPr>
            <w:r>
              <w:rPr>
                <w:rFonts w:ascii="宋体"/>
                <w:spacing w:val="-1"/>
                <w:sz w:val="18"/>
              </w:rPr>
              <w:t>100%</w:t>
            </w:r>
            <w:r>
              <w:rPr>
                <w:rFonts w:ascii="宋体"/>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73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料制 品、通 讯产 品、多 功能电 话、无 绳电话 的购销 及其他 国内商 业、物 资供销 业；企 业形象 设计。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惠州市 华宝饲 料有限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6"/>
              <w:jc w:val="left"/>
              <w:rPr>
                <w:rFonts w:ascii="宋体" w:hAnsi="宋体" w:cs="宋体" w:eastAsia="宋体" w:hint="default"/>
                <w:sz w:val="18"/>
                <w:szCs w:val="18"/>
              </w:rPr>
            </w:pPr>
            <w:r>
              <w:rPr>
                <w:rFonts w:ascii="宋体" w:hAnsi="宋体" w:cs="宋体" w:eastAsia="宋体" w:hint="default"/>
                <w:sz w:val="18"/>
                <w:szCs w:val="18"/>
              </w:rPr>
              <w:t>饲料生 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1000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饲料生 产与销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90" w:right="0"/>
              <w:jc w:val="lef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90" w:right="0"/>
              <w:jc w:val="lef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通过设立或投资等方式取得的子公司的其他说明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）同一控制下企业合并取得的子公司</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10" w:right="62" w:hanging="4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表决权 比例 </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240" w:lineRule="auto" w:before="49"/>
        <w:ind w:right="0"/>
        <w:jc w:val="left"/>
      </w:pPr>
      <w:r>
        <w:rPr/>
        <w:t>通过同一控制下企业合并取得的子公司的其他说明</w:t>
      </w:r>
    </w:p>
    <w:p>
      <w:pPr>
        <w:spacing w:after="0" w:line="240" w:lineRule="auto"/>
        <w:jc w:val="left"/>
        <w:sectPr>
          <w:pgSz w:w="11910" w:h="16840"/>
          <w:pgMar w:header="745" w:footer="1332"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3</w:t>
      </w:r>
      <w:r>
        <w:rPr/>
        <w:t>）非同一控制下企业合并取得的子公司</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10" w:right="62" w:hanging="4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表决权 比例 </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273"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深圳市 泰丰科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6"/>
              <w:jc w:val="left"/>
              <w:rPr>
                <w:rFonts w:ascii="宋体" w:hAnsi="宋体" w:cs="宋体" w:eastAsia="宋体" w:hint="default"/>
                <w:sz w:val="18"/>
                <w:szCs w:val="18"/>
              </w:rPr>
            </w:pPr>
            <w:r>
              <w:rPr>
                <w:rFonts w:ascii="宋体" w:hAnsi="宋体" w:cs="宋体" w:eastAsia="宋体" w:hint="default"/>
                <w:sz w:val="18"/>
                <w:szCs w:val="18"/>
              </w:rPr>
              <w:t>生产电 子产品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16,000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开发、 生产、 销售无 绳电话 机、多 功能电 话机等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0" w:right="0"/>
              <w:jc w:val="left"/>
              <w:rPr>
                <w:rFonts w:ascii="宋体" w:hAnsi="宋体" w:cs="宋体" w:eastAsia="宋体" w:hint="default"/>
                <w:sz w:val="18"/>
                <w:szCs w:val="18"/>
              </w:rPr>
            </w:pPr>
            <w:r>
              <w:rPr>
                <w:rFonts w:ascii="宋体"/>
                <w:sz w:val="18"/>
              </w:rPr>
              <w:t>16,000</w:t>
            </w:r>
          </w:p>
          <w:p>
            <w:pPr>
              <w:pStyle w:val="TableParagraph"/>
              <w:spacing w:line="240" w:lineRule="auto" w:before="76"/>
              <w:ind w:left="379" w:right="0"/>
              <w:jc w:val="lef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通过非同一控制下企业合并取得的子公司的其他说明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w:t>
      </w:r>
      <w:r>
        <w:rPr/>
        <w:t>、特殊目的主体或通过受托经营或承租等方式形成控制权的经营实体</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0"/>
        <w:jc w:val="left"/>
      </w:pPr>
      <w:r>
        <w:rPr/>
        <w:t>特殊目的主体或通过受托经营或承租等方式形成控制权的经营实体的其他说明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w:t>
      </w:r>
      <w:r>
        <w:rPr/>
        <w:t>、合并范围发生变更的说明</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合并报表范围发生变更说明</w:t>
      </w:r>
    </w:p>
    <w:p>
      <w:pPr>
        <w:pStyle w:val="BodyText"/>
        <w:spacing w:line="240" w:lineRule="auto" w:before="117"/>
        <w:ind w:right="0"/>
        <w:jc w:val="left"/>
      </w:pPr>
      <w:r>
        <w:rPr/>
        <w:t>□ 适用 √ 不适用</w:t>
      </w:r>
    </w:p>
    <w:p>
      <w:pPr>
        <w:spacing w:after="0" w:line="240" w:lineRule="auto"/>
        <w:jc w:val="left"/>
        <w:sectPr>
          <w:pgSz w:w="11910" w:h="16840"/>
          <w:pgMar w:header="745" w:footer="1332"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4</w:t>
      </w:r>
      <w:r>
        <w:rPr/>
        <w:t>、报告期内新纳入合并范围的主体和报告期内不再纳入合并范围的主体</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pStyle w:val="BodyText"/>
        <w:spacing w:line="240" w:lineRule="auto" w:before="50"/>
        <w:ind w:right="0"/>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处臵日净资产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年初至处臵日净利润</w:t>
            </w:r>
          </w:p>
        </w:tc>
      </w:tr>
    </w:tbl>
    <w:p>
      <w:pPr>
        <w:pStyle w:val="BodyText"/>
        <w:spacing w:line="240" w:lineRule="auto" w:before="49"/>
        <w:ind w:right="0"/>
        <w:jc w:val="left"/>
      </w:pPr>
      <w:r>
        <w:rPr/>
        <w:t>新纳入合并范围的主体和不再纳入合并范围的主体的其他说明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w:t>
      </w:r>
      <w:r>
        <w:rPr/>
        <w:t>、报告期内发生的同一控制下企业合并</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49"/>
        <w:ind w:right="0"/>
        <w:jc w:val="left"/>
      </w:pPr>
      <w:r>
        <w:rPr/>
        <w:t>同一控制下企业合并的其他说明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w:t>
      </w:r>
      <w:r>
        <w:rPr/>
        <w:t>、报告期内发生的非同一控制下企业合并</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1"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49"/>
        <w:ind w:right="0"/>
        <w:jc w:val="left"/>
      </w:pPr>
      <w:r>
        <w:rPr/>
        <w:t>非同一控制下企业合并的其他说明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7</w:t>
      </w:r>
      <w:r>
        <w:rPr/>
        <w:t>、报告期内出售丧失控制权的股权而减少子公司</w:t>
      </w:r>
      <w:r>
        <w:rPr>
          <w:b w:val="0"/>
          <w:bCs w:val="0"/>
        </w:rPr>
      </w:r>
    </w:p>
    <w:p>
      <w:pPr>
        <w:spacing w:line="240" w:lineRule="auto" w:before="15"/>
        <w:rPr>
          <w:rFonts w:ascii="微软雅黑" w:hAnsi="微软雅黑" w:cs="微软雅黑" w:eastAsia="微软雅黑"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2"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0"/>
        <w:jc w:val="left"/>
      </w:pPr>
      <w:r>
        <w:rPr/>
        <w:t>出售丧失控制权的股权而减少的子公司的其他说明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8</w:t>
      </w:r>
      <w:r>
        <w:rPr/>
        <w:t>、报告期内发生的反向购买</w:t>
      </w:r>
      <w:r>
        <w:rPr>
          <w:b w:val="0"/>
          <w:bCs w:val="0"/>
        </w:rPr>
      </w:r>
    </w:p>
    <w:p>
      <w:pPr>
        <w:spacing w:line="240" w:lineRule="auto" w:before="17"/>
        <w:rPr>
          <w:rFonts w:ascii="微软雅黑" w:hAnsi="微软雅黑" w:cs="微软雅黑" w:eastAsia="微软雅黑"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0"/>
        <w:jc w:val="left"/>
      </w:pPr>
      <w:r>
        <w:rPr/>
        <w:t>反向购买的其他说明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9</w:t>
      </w:r>
      <w:r>
        <w:rPr/>
        <w:t>、本报告期发生的吸收合并</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5" w:footer="1332"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吸收合并的其他说明</w:t>
      </w:r>
    </w:p>
    <w:p>
      <w:pPr>
        <w:spacing w:line="240" w:lineRule="auto" w:before="6"/>
        <w:rPr>
          <w:rFonts w:ascii="宋体" w:hAnsi="宋体" w:cs="宋体" w:eastAsia="宋体" w:hint="default"/>
          <w:sz w:val="22"/>
          <w:szCs w:val="22"/>
        </w:rPr>
      </w:pPr>
    </w:p>
    <w:p>
      <w:pPr>
        <w:spacing w:line="379" w:lineRule="auto" w:before="0"/>
        <w:ind w:left="152" w:right="6740" w:firstLine="0"/>
        <w:jc w:val="left"/>
        <w:rPr>
          <w:rFonts w:ascii="微软雅黑" w:hAnsi="微软雅黑" w:cs="微软雅黑" w:eastAsia="微软雅黑" w:hint="default"/>
          <w:sz w:val="21"/>
          <w:szCs w:val="21"/>
        </w:rPr>
      </w:pPr>
      <w:r>
        <w:rPr>
          <w:rFonts w:ascii="Arial" w:hAnsi="Arial" w:cs="Arial" w:eastAsia="Arial" w:hint="default"/>
          <w:b/>
          <w:bCs/>
          <w:sz w:val="21"/>
          <w:szCs w:val="21"/>
        </w:rPr>
        <w:t>10</w:t>
      </w:r>
      <w:r>
        <w:rPr>
          <w:rFonts w:ascii="微软雅黑" w:hAnsi="微软雅黑" w:cs="微软雅黑" w:eastAsia="微软雅黑" w:hint="default"/>
          <w:b/>
          <w:bCs/>
          <w:sz w:val="21"/>
          <w:szCs w:val="21"/>
        </w:rPr>
        <w:t>、境外经营实体主要报表项目的折算汇率</w:t>
      </w:r>
      <w:r>
        <w:rPr>
          <w:rFonts w:ascii="微软雅黑" w:hAnsi="微软雅黑" w:cs="微软雅黑" w:eastAsia="微软雅黑" w:hint="default"/>
          <w:b/>
          <w:bCs/>
          <w:w w:val="100"/>
          <w:sz w:val="21"/>
          <w:szCs w:val="21"/>
        </w:rPr>
        <w:t> </w:t>
      </w:r>
      <w:r>
        <w:rPr>
          <w:rFonts w:ascii="微软雅黑" w:hAnsi="微软雅黑" w:cs="微软雅黑" w:eastAsia="微软雅黑" w:hint="default"/>
          <w:b/>
          <w:bCs/>
          <w:sz w:val="24"/>
          <w:szCs w:val="24"/>
        </w:rPr>
        <w:t>七、合并财务报表主要项目注释</w:t>
      </w:r>
      <w:r>
        <w:rPr>
          <w:rFonts w:ascii="微软雅黑" w:hAnsi="微软雅黑" w:cs="微软雅黑" w:eastAsia="微软雅黑" w:hint="default"/>
          <w:b/>
          <w:bCs/>
          <w:spacing w:val="-60"/>
          <w:sz w:val="24"/>
          <w:szCs w:val="24"/>
        </w:rPr>
        <w:t> </w:t>
      </w:r>
      <w:r>
        <w:rPr>
          <w:rFonts w:ascii="微软雅黑" w:hAnsi="微软雅黑" w:cs="微软雅黑" w:eastAsia="微软雅黑" w:hint="default"/>
          <w:b/>
          <w:bCs/>
          <w:spacing w:val="-60"/>
          <w:sz w:val="24"/>
          <w:szCs w:val="24"/>
        </w:rPr>
      </w:r>
      <w:r>
        <w:rPr>
          <w:rFonts w:ascii="Arial" w:hAnsi="Arial" w:cs="Arial" w:eastAsia="Arial" w:hint="default"/>
          <w:b/>
          <w:bCs/>
          <w:sz w:val="21"/>
          <w:szCs w:val="21"/>
        </w:rPr>
        <w:t>1</w:t>
      </w:r>
      <w:r>
        <w:rPr>
          <w:rFonts w:ascii="微软雅黑" w:hAnsi="微软雅黑" w:cs="微软雅黑" w:eastAsia="微软雅黑" w:hint="default"/>
          <w:b/>
          <w:bCs/>
          <w:sz w:val="21"/>
          <w:szCs w:val="21"/>
        </w:rPr>
        <w:t>、货币资金</w:t>
      </w:r>
      <w:r>
        <w:rPr>
          <w:rFonts w:ascii="微软雅黑" w:hAnsi="微软雅黑" w:cs="微软雅黑" w:eastAsia="微软雅黑" w:hint="default"/>
          <w:sz w:val="21"/>
          <w:szCs w:val="21"/>
        </w:rPr>
      </w:r>
    </w:p>
    <w:p>
      <w:pPr>
        <w:spacing w:line="240" w:lineRule="auto" w:before="9"/>
        <w:rPr>
          <w:rFonts w:ascii="微软雅黑" w:hAnsi="微软雅黑" w:cs="微软雅黑" w:eastAsia="微软雅黑" w:hint="default"/>
          <w:b/>
          <w:bCs/>
          <w:sz w:val="7"/>
          <w:szCs w:val="7"/>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4"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931,087.66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440,240.01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891,250.58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400,135.28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44,828.63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39,837.08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44,828.63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40,104.73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29,696,990.21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50,655,356.79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29,690,539.55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49,983,429.38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891.03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724.19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816,996.74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664,626.84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911.06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5,726.47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907.58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7,300.57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1,152.66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1,152.66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1,152.66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1,152.66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30,629,230.53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51,096,749.46</w:t>
            </w:r>
          </w:p>
        </w:tc>
      </w:tr>
    </w:tbl>
    <w:p>
      <w:pPr>
        <w:pStyle w:val="BodyText"/>
        <w:spacing w:line="240" w:lineRule="auto" w:before="49"/>
        <w:ind w:right="0"/>
        <w:jc w:val="left"/>
      </w:pPr>
      <w:r>
        <w:rPr/>
        <w:t>如有因抵押、质押或冻结等对使用有限制、存放在境外、有潜在回收风险的款项应单独说明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w:t>
      </w:r>
      <w:r>
        <w:rPr/>
        <w:t>、交易性金融资产</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）交易性金融资产</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45"/>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4"/>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）变现有限制的交易性金融资产</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1"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after="0" w:line="240" w:lineRule="auto"/>
        <w:jc w:val="left"/>
        <w:rPr>
          <w:rFonts w:ascii="宋体" w:hAnsi="宋体" w:cs="宋体" w:eastAsia="宋体" w:hint="default"/>
          <w:sz w:val="18"/>
          <w:szCs w:val="18"/>
        </w:rPr>
        <w:sectPr>
          <w:pgSz w:w="11910" w:h="16840"/>
          <w:pgMar w:header="745" w:footer="1332"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3</w:t>
      </w:r>
      <w:r>
        <w:rPr/>
        <w:t>）套期工具及对相关套期交易的说明</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3</w:t>
      </w:r>
      <w:r>
        <w:rPr>
          <w:rFonts w:ascii="微软雅黑" w:hAnsi="微软雅黑" w:cs="微软雅黑" w:eastAsia="微软雅黑" w:hint="default"/>
          <w:b/>
          <w:bCs/>
          <w:sz w:val="21"/>
          <w:szCs w:val="21"/>
        </w:rPr>
        <w:t>、应收票据</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）应收票据的分类</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12,513,584.15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2,716,617.18</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12,513,584.15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2,716,617.18</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）期末已质押的应收票据情况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312" w:lineRule="exact" w:before="32"/>
        <w:ind w:right="1118"/>
        <w:jc w:val="left"/>
        <w:rPr>
          <w:b w:val="0"/>
          <w:bCs w:val="0"/>
        </w:rPr>
      </w:pPr>
      <w:r>
        <w:rPr/>
        <w:t>（</w:t>
      </w:r>
      <w:r>
        <w:rPr>
          <w:rFonts w:ascii="Arial" w:hAnsi="Arial" w:cs="Arial" w:eastAsia="Arial" w:hint="default"/>
        </w:rPr>
        <w:t>3</w:t>
      </w:r>
      <w:r>
        <w:rPr/>
        <w:t>）因出票人无力履约而将票据转为应收账款的票据，以及期末公司已经背书给他方但尚未到期的票据</w:t>
      </w:r>
      <w:r>
        <w:rPr>
          <w:spacing w:val="4"/>
        </w:rPr>
        <w:t> </w:t>
      </w:r>
      <w:r>
        <w:rPr>
          <w:spacing w:val="4"/>
        </w:rPr>
      </w:r>
      <w:r>
        <w:rPr/>
        <w:t>情况</w:t>
      </w:r>
      <w:r>
        <w:rPr>
          <w:b w:val="0"/>
          <w:bCs w:val="0"/>
        </w:rPr>
      </w:r>
    </w:p>
    <w:p>
      <w:pPr>
        <w:spacing w:line="240" w:lineRule="auto" w:before="7"/>
        <w:rPr>
          <w:rFonts w:ascii="微软雅黑" w:hAnsi="微软雅黑" w:cs="微软雅黑" w:eastAsia="微软雅黑" w:hint="default"/>
          <w:b/>
          <w:bCs/>
          <w:sz w:val="16"/>
          <w:szCs w:val="16"/>
        </w:rPr>
      </w:pPr>
    </w:p>
    <w:p>
      <w:pPr>
        <w:pStyle w:val="BodyText"/>
        <w:spacing w:line="240" w:lineRule="auto" w:before="44"/>
        <w:ind w:right="0"/>
        <w:jc w:val="left"/>
      </w:pPr>
      <w:r>
        <w:rPr/>
        <w:t>因出票人无力履约而将票据转为应收账款的票据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980"/>
        <w:gridCol w:w="1980"/>
        <w:gridCol w:w="1442"/>
        <w:gridCol w:w="1110"/>
      </w:tblGrid>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1332" w:top="1060" w:bottom="1540" w:left="980" w:right="0"/>
        </w:sectPr>
      </w:pPr>
    </w:p>
    <w:p>
      <w:pPr>
        <w:pStyle w:val="BodyText"/>
        <w:spacing w:line="357" w:lineRule="auto" w:before="49"/>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393" w:space="54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1980"/>
        <w:gridCol w:w="1980"/>
        <w:gridCol w:w="1441"/>
        <w:gridCol w:w="1111"/>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北京星杰生商行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1,960,000.00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中邮通信设备（西安）有限公司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1,008,850.00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北京苏宁电器有限公司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778,495.88</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北京苏宁电器有限公司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278,321.10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上海苏宁电器有限公司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179,501.10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4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4,205,168.08</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439" w:lineRule="auto" w:before="49"/>
        <w:ind w:right="7874"/>
        <w:jc w:val="left"/>
      </w:pPr>
      <w:r>
        <w:rPr/>
        <w:t>说明 已贴现或质押的商业承兑票据的说明</w:t>
      </w:r>
    </w:p>
    <w:p>
      <w:pPr>
        <w:pStyle w:val="BodyText"/>
        <w:spacing w:line="477" w:lineRule="auto" w:before="121"/>
        <w:ind w:right="0" w:firstLine="360"/>
        <w:jc w:val="left"/>
      </w:pP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日，公司有账面价值为</w:t>
      </w:r>
      <w:r>
        <w:rPr>
          <w:rFonts w:ascii="宋体" w:hAnsi="宋体" w:cs="宋体" w:eastAsia="宋体" w:hint="default"/>
          <w:spacing w:val="-2"/>
        </w:rPr>
        <w:t>2,400,000.00</w:t>
      </w:r>
      <w:r>
        <w:rPr>
          <w:spacing w:val="-2"/>
        </w:rPr>
        <w:t>元的未到期银行承兑汇票已贴现；截至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日，公司未</w:t>
      </w:r>
      <w:r>
        <w:rPr/>
        <w:t> 存在银行承兑汇票质押或抵押事项。</w:t>
      </w:r>
    </w:p>
    <w:p>
      <w:pPr>
        <w:spacing w:after="0" w:line="477"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4</w:t>
      </w:r>
      <w:r>
        <w:rPr/>
        <w:t>、应收股利</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t>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w:t>
      </w:r>
      <w:r>
        <w:rPr/>
        <w:t>、应收利息</w:t>
      </w:r>
      <w:r>
        <w:rPr>
          <w:b w:val="0"/>
          <w:bCs w:val="0"/>
        </w:rPr>
      </w:r>
    </w:p>
    <w:p>
      <w:pPr>
        <w:spacing w:line="240" w:lineRule="auto" w:before="11"/>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）应收利息</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2"/>
        <w:gridCol w:w="1861"/>
        <w:gridCol w:w="1863"/>
        <w:gridCol w:w="1860"/>
        <w:gridCol w:w="2115"/>
      </w:tblGrid>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）逾期利息</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）应收利息的说明</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6</w:t>
      </w:r>
      <w:r>
        <w:rPr>
          <w:rFonts w:ascii="微软雅黑" w:hAnsi="微软雅黑" w:cs="微软雅黑" w:eastAsia="微软雅黑" w:hint="default"/>
          <w:b/>
          <w:bCs/>
          <w:sz w:val="21"/>
          <w:szCs w:val="21"/>
        </w:rPr>
        <w:t>、应收账款</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）应收账款按种类披露</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241"/>
        <w:gridCol w:w="613"/>
        <w:gridCol w:w="1187"/>
        <w:gridCol w:w="678"/>
        <w:gridCol w:w="1123"/>
        <w:gridCol w:w="720"/>
        <w:gridCol w:w="1261"/>
        <w:gridCol w:w="739"/>
      </w:tblGrid>
      <w:tr>
        <w:trPr>
          <w:trHeight w:val="398" w:hRule="exact"/>
        </w:trPr>
        <w:tc>
          <w:tcPr>
            <w:tcW w:w="1988" w:type="dxa"/>
            <w:vMerge w:val="restart"/>
            <w:tcBorders>
              <w:top w:val="single" w:sz="4" w:space="0" w:color="000000"/>
              <w:left w:val="single" w:sz="4" w:space="0" w:color="000000"/>
              <w:right w:val="single" w:sz="4" w:space="0" w:color="000000"/>
            </w:tcBorders>
            <w:shd w:val="clear" w:color="auto" w:fill="D2D2D2"/>
          </w:tcPr>
          <w:p>
            <w:pP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1854" w:type="dxa"/>
            <w:gridSpan w:val="2"/>
            <w:vMerge/>
            <w:tcBorders>
              <w:left w:val="single" w:sz="4" w:space="0" w:color="000000"/>
              <w:bottom w:val="single" w:sz="4" w:space="0" w:color="000000"/>
              <w:right w:val="single" w:sz="4" w:space="0" w:color="000000"/>
            </w:tcBorders>
            <w:shd w:val="clear" w:color="auto" w:fill="D2D2D2"/>
          </w:tcPr>
          <w:p>
            <w:pPr/>
          </w:p>
        </w:tc>
        <w:tc>
          <w:tcPr>
            <w:tcW w:w="1865"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2000"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988" w:type="dxa"/>
            <w:vMerge/>
            <w:tcBorders>
              <w:left w:val="single" w:sz="4" w:space="0" w:color="000000"/>
              <w:bottom w:val="single" w:sz="4" w:space="0" w:color="FFFFFF"/>
              <w:right w:val="single" w:sz="4" w:space="0" w:color="000000"/>
            </w:tcBorders>
            <w:shd w:val="clear" w:color="auto" w:fill="D2D2D2"/>
          </w:tcPr>
          <w:p>
            <w:pPr/>
          </w:p>
        </w:tc>
        <w:tc>
          <w:tcPr>
            <w:tcW w:w="124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8" w:right="11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9" w:right="152"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5" w:hRule="exact"/>
        </w:trPr>
        <w:tc>
          <w:tcPr>
            <w:tcW w:w="1988" w:type="dxa"/>
            <w:vMerge w:val="restart"/>
            <w:tcBorders>
              <w:top w:val="single" w:sz="4" w:space="0" w:color="FFFFFF"/>
              <w:left w:val="single" w:sz="4" w:space="0" w:color="000000"/>
              <w:right w:val="single" w:sz="4" w:space="0" w:color="000000"/>
            </w:tcBorders>
            <w:shd w:val="clear" w:color="auto" w:fill="D2D2D2"/>
          </w:tcPr>
          <w:p>
            <w:pPr/>
          </w:p>
        </w:tc>
        <w:tc>
          <w:tcPr>
            <w:tcW w:w="1241"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13" w:type="dxa"/>
            <w:vMerge/>
            <w:tcBorders>
              <w:left w:val="single" w:sz="4" w:space="0" w:color="000000"/>
              <w:right w:val="single" w:sz="4" w:space="0" w:color="000000"/>
            </w:tcBorders>
            <w:shd w:val="clear" w:color="auto" w:fill="D2D2D2"/>
          </w:tcPr>
          <w:p>
            <w:pPr/>
          </w:p>
        </w:tc>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3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4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61"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13" w:type="dxa"/>
            <w:vMerge/>
            <w:tcBorders>
              <w:left w:val="single" w:sz="4" w:space="0" w:color="000000"/>
              <w:bottom w:val="single" w:sz="4" w:space="0" w:color="000000"/>
              <w:right w:val="single" w:sz="4" w:space="0" w:color="000000"/>
            </w:tcBorders>
            <w:shd w:val="clear" w:color="auto" w:fill="D2D2D2"/>
          </w:tcPr>
          <w:p>
            <w:pPr/>
          </w:p>
        </w:tc>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2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66,134,584.88</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79.58%</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66,134,584.88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66,134,584.88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66.91%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66,134,584.88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4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16,972,827.99</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20.42%</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3,787,523.36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32,712,732.31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3,471,128.19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10.61%</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16,972,827.99</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20.42%</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3,787,523.36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32,712,732.31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3,471,128.19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10.61%</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83,107,412.87</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11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69,922,108.24</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98,847,317.19</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69,605,713.07</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应收账款种类的说明</w:t>
      </w:r>
    </w:p>
    <w:p>
      <w:pPr>
        <w:pStyle w:val="BodyText"/>
        <w:spacing w:line="240" w:lineRule="auto" w:before="117"/>
        <w:ind w:right="0"/>
        <w:jc w:val="left"/>
      </w:pPr>
      <w:r>
        <w:rPr/>
        <w:t>期末单项金额重大并单项计提坏账准备的应收账款</w:t>
      </w:r>
    </w:p>
    <w:p>
      <w:pPr>
        <w:spacing w:after="0" w:line="240" w:lineRule="auto"/>
        <w:jc w:val="left"/>
        <w:sectPr>
          <w:pgSz w:w="11910" w:h="16840"/>
          <w:pgMar w:header="745" w:footer="1332"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 适用 □ 不适用</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2" w:right="0"/>
              <w:jc w:val="left"/>
              <w:rPr>
                <w:rFonts w:ascii="宋体" w:hAnsi="宋体" w:cs="宋体" w:eastAsia="宋体" w:hint="default"/>
                <w:sz w:val="18"/>
                <w:szCs w:val="18"/>
              </w:rPr>
            </w:pPr>
            <w:r>
              <w:rPr>
                <w:rFonts w:ascii="宋体"/>
                <w:sz w:val="18"/>
              </w:rPr>
              <w:t>59,173,247.96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59,173,247.96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北京易网天怡数码科技发展有限公司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3" w:right="0"/>
              <w:jc w:val="left"/>
              <w:rPr>
                <w:rFonts w:ascii="宋体" w:hAnsi="宋体" w:cs="宋体" w:eastAsia="宋体" w:hint="default"/>
                <w:sz w:val="18"/>
                <w:szCs w:val="18"/>
              </w:rPr>
            </w:pPr>
            <w:r>
              <w:rPr>
                <w:rFonts w:ascii="宋体"/>
                <w:sz w:val="18"/>
              </w:rPr>
              <w:t>6,961,336.92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6,961,336.92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2" w:right="0"/>
              <w:jc w:val="left"/>
              <w:rPr>
                <w:rFonts w:ascii="宋体" w:hAnsi="宋体" w:cs="宋体" w:eastAsia="宋体" w:hint="default"/>
                <w:sz w:val="18"/>
                <w:szCs w:val="18"/>
              </w:rPr>
            </w:pPr>
            <w:r>
              <w:rPr>
                <w:rFonts w:ascii="宋体"/>
                <w:sz w:val="18"/>
              </w:rPr>
              <w:t>66,134,584.88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66,134,584.88</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5" w:footer="1332" w:top="1060" w:bottom="152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3"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12,361,598.63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72.82%</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28,118,376.68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85.96%</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91,020.87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4,551.04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173,809.42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0.53%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8,690.47</w:t>
            </w:r>
            <w:r>
              <w:rPr>
                <w:rFonts w:ascii="宋体"/>
                <w:sz w:val="18"/>
              </w:rPr>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12,452,619.50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73.36%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4,551.04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28,292,186.10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8,690.47</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403,321.31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40,332.14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321,139.42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0.98%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32,113.94</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248,652.70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74,595.81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275,931.57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0.84%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82,779.47</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3,868,234.48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3,668,044.37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3,823,475.22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3,347,544.31</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91,631.13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45,815.56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561,453.67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1.72%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280,726.84</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514,581.80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360,207.26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650,680.26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455,476.18</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3,262,021.55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3,262,021.55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2,611,341.29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7.98%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2,611,341.29</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16,972,827.99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3,787,523.36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32,712,732.31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3,471,128.19</w:t>
            </w:r>
          </w:p>
        </w:tc>
      </w:tr>
    </w:tbl>
    <w:p>
      <w:pPr>
        <w:pStyle w:val="BodyText"/>
        <w:spacing w:line="240" w:lineRule="auto" w:before="49"/>
        <w:ind w:right="0"/>
        <w:jc w:val="left"/>
      </w:pPr>
      <w:r>
        <w:rPr/>
        <w:t>组合中，采用余额百分比法计提坏账准备的应收账款</w:t>
      </w:r>
    </w:p>
    <w:p>
      <w:pPr>
        <w:pStyle w:val="BodyText"/>
        <w:spacing w:line="360" w:lineRule="auto" w:before="115"/>
        <w:ind w:right="6974"/>
        <w:jc w:val="left"/>
      </w:pPr>
      <w:r>
        <w:rPr/>
        <w:t>□ 适用 √ 不适用 组合中，采用其他方法计提坏账准备的应收账款</w:t>
      </w:r>
    </w:p>
    <w:p>
      <w:pPr>
        <w:pStyle w:val="BodyText"/>
        <w:spacing w:line="360" w:lineRule="auto" w:before="25"/>
        <w:ind w:right="6434"/>
        <w:jc w:val="left"/>
      </w:pPr>
      <w:r>
        <w:rPr/>
        <w:t>□ 适用 √ 不适用 期末单项金额虽不重大但单项计提坏账准备的应收账款</w:t>
      </w:r>
    </w:p>
    <w:p>
      <w:pPr>
        <w:pStyle w:val="BodyText"/>
        <w:spacing w:line="240" w:lineRule="auto" w:before="27"/>
        <w:ind w:right="0"/>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）本报告期转回或收回的应收账款情况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0"/>
        <w:jc w:val="left"/>
      </w:pPr>
      <w:r>
        <w:rPr/>
        <w:t>期末单项金额重大或虽不重大但单独进行减值测试的应收账款坏账准备计提</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3</w:t>
      </w:r>
      <w:r>
        <w:rPr/>
        <w:t>）本报告期实际核销的应收账款情况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0"/>
        <w:jc w:val="left"/>
      </w:pPr>
      <w:r>
        <w:rPr/>
        <w:t>应收账款核销说明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4</w:t>
      </w:r>
      <w:r>
        <w:rPr/>
        <w:t>）本报告期应收账款中持有公司 </w:t>
      </w:r>
      <w:r>
        <w:rPr>
          <w:rFonts w:ascii="Arial" w:hAnsi="Arial" w:cs="Arial" w:eastAsia="Arial" w:hint="default"/>
        </w:rPr>
        <w:t>5</w:t>
      </w:r>
      <w:r>
        <w:rPr/>
        <w:t>％（含</w:t>
      </w:r>
      <w:r>
        <w:rPr>
          <w:spacing w:val="-28"/>
        </w:rPr>
        <w:t> </w:t>
      </w:r>
      <w:r>
        <w:rPr>
          <w:rFonts w:ascii="Arial" w:hAnsi="Arial" w:cs="Arial" w:eastAsia="Arial" w:hint="default"/>
        </w:rPr>
        <w:t>5</w:t>
      </w:r>
      <w:r>
        <w:rPr/>
        <w:t>％）以上表决权股份的股东单位情况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5</w:t>
      </w:r>
      <w:r>
        <w:rPr/>
        <w:t>）应收账款中金额前五名单位情况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1440"/>
        <w:gridCol w:w="1440"/>
        <w:gridCol w:w="1716"/>
        <w:gridCol w:w="1916"/>
      </w:tblGrid>
      <w:tr>
        <w:trPr>
          <w:trHeight w:val="716"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6" w:right="50" w:hanging="764"/>
              <w:jc w:val="left"/>
              <w:rPr>
                <w:rFonts w:ascii="宋体" w:hAnsi="宋体" w:cs="宋体" w:eastAsia="宋体" w:hint="default"/>
                <w:sz w:val="18"/>
                <w:szCs w:val="18"/>
              </w:rPr>
            </w:pPr>
            <w:r>
              <w:rPr>
                <w:rFonts w:ascii="宋体" w:hAnsi="宋体" w:cs="宋体" w:eastAsia="宋体" w:hint="default"/>
                <w:sz w:val="18"/>
                <w:szCs w:val="18"/>
              </w:rPr>
              <w:t>占应收账款总额的比例 </w:t>
            </w:r>
            <w:r>
              <w:rPr>
                <w:rFonts w:ascii="宋体" w:hAnsi="宋体" w:cs="宋体" w:eastAsia="宋体" w:hint="default"/>
                <w:sz w:val="18"/>
                <w:szCs w:val="18"/>
              </w:rPr>
              <w:t>(%)</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59,173,247.96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71.2%</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北京易网天怡数码科技发展有限公司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6,961,336.92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8.38%</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北京市国顺泰科贸易有限公司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1,160,838.40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PhilipsTaiwan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733,078.04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0.88%</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杭州普惠通信设备有限公司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699,580.00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0.84%</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68,728,081.32</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82.7%</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6</w:t>
      </w:r>
      <w:r>
        <w:rPr/>
        <w:t>）应收关联方账款情况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7</w:t>
      </w:r>
      <w:r>
        <w:rPr/>
        <w:t>）终止确认的应收款项情况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45" w:footer="1332" w:top="1060" w:bottom="152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8</w:t>
      </w:r>
      <w:r>
        <w:rPr/>
        <w:t>）以应收款项为标的进行证券化的，列示继续涉入形成的资产、负债的金额</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846;top:14;width:2;height:394" coordorigin="3846,14" coordsize="2,394">
              <v:shape style="position:absolute;left:3846;top:14;width:2;height:394" coordorigin="3846,14" coordsize="0,394" path="m3846,14l3846,408e" filled="false" stroked="true" strokeweight="1.2pt" strokecolor="#d2d2d2">
                <v:path arrowok="t"/>
              </v:shape>
            </v:group>
            <v:group style="position:absolute;left:34;top:14;width:3801;height:394" coordorigin="34,14" coordsize="3801,394">
              <v:shape style="position:absolute;left:34;top:14;width:3801;height:394" coordorigin="34,14" coordsize="3801,394" path="m34,408l3834,408,3834,14,34,14,34,408xe" filled="true" fillcolor="#d2d2d2" stroked="false">
                <v:path arrowok="t"/>
                <v:fill type="solid"/>
              </v:shape>
            </v:group>
            <v:group style="position:absolute;left:3879;top:14;width:2;height:394" coordorigin="3879,14" coordsize="2,394">
              <v:shape style="position:absolute;left:3879;top:14;width:2;height:394" coordorigin="3879,14" coordsize="0,394" path="m3879,14l3879,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891;top:14;width:5656;height:394" coordorigin="3891,14" coordsize="5656,394">
              <v:shape style="position:absolute;left:3891;top:14;width:5656;height:394" coordorigin="3891,14" coordsize="5656,394" path="m3891,408l9547,408,9547,14,3891,14,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336" w:lineRule="exact"/>
        <w:ind w:right="0"/>
        <w:jc w:val="left"/>
        <w:rPr>
          <w:b w:val="0"/>
          <w:bCs w:val="0"/>
        </w:rPr>
      </w:pPr>
      <w:r>
        <w:rPr>
          <w:rFonts w:ascii="Arial" w:hAnsi="Arial" w:cs="Arial" w:eastAsia="Arial" w:hint="default"/>
        </w:rPr>
        <w:t>7</w:t>
      </w:r>
      <w:r>
        <w:rPr/>
        <w:t>、其他应收款</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）其他应收款按种类披露</w:t>
      </w:r>
      <w:r>
        <w:rPr>
          <w:rFonts w:ascii="微软雅黑" w:hAnsi="微软雅黑" w:cs="微软雅黑" w:eastAsia="微软雅黑" w:hint="default"/>
          <w:sz w:val="21"/>
          <w:szCs w:val="21"/>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0"/>
        <w:gridCol w:w="1261"/>
        <w:gridCol w:w="720"/>
        <w:gridCol w:w="1235"/>
        <w:gridCol w:w="770"/>
        <w:gridCol w:w="1236"/>
        <w:gridCol w:w="749"/>
        <w:gridCol w:w="1191"/>
        <w:gridCol w:w="790"/>
      </w:tblGrid>
      <w:tr>
        <w:trPr>
          <w:trHeight w:val="401" w:hRule="exact"/>
        </w:trPr>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027"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其他应收款</w:t>
            </w:r>
          </w:p>
        </w:tc>
        <w:tc>
          <w:tcPr>
            <w:tcW w:w="1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143,742,036.01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90.27%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4"/>
              <w:jc w:val="left"/>
              <w:rPr>
                <w:rFonts w:ascii="Times New Roman" w:hAnsi="Times New Roman" w:cs="Times New Roman" w:eastAsia="Times New Roman" w:hint="default"/>
                <w:sz w:val="18"/>
                <w:szCs w:val="18"/>
              </w:rPr>
            </w:pPr>
            <w:r>
              <w:rPr>
                <w:rFonts w:ascii="Times New Roman"/>
                <w:sz w:val="18"/>
              </w:rPr>
              <w:t>143,742,036.01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143,742,036.01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90.19%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143,742,036.01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13,651,230.72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11,912,537.33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13,791,302.71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11,731,952.90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85.07%</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13,651,230.72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11,912,537.33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13,791,302.71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11,731,952.90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85.07%</w:t>
            </w:r>
          </w:p>
        </w:tc>
      </w:tr>
      <w:tr>
        <w:trPr>
          <w:trHeight w:val="1027"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单项金额虽不重大 但单项计提坏账准 备的其他应收款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1,841,912.35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1,841,912.35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1,841,912.35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1,841,912.35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159,235,179.08</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157,496,485.69</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
              <w:jc w:val="center"/>
              <w:rPr>
                <w:rFonts w:ascii="Times New Roman" w:hAnsi="Times New Roman" w:cs="Times New Roman" w:eastAsia="Times New Roman" w:hint="default"/>
                <w:sz w:val="18"/>
                <w:szCs w:val="18"/>
              </w:rPr>
            </w:pPr>
            <w:r>
              <w:rPr>
                <w:rFonts w:ascii="Times New Roman"/>
                <w:sz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159,375,251.07</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157,315,901.26</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332" w:top="1060" w:bottom="1520" w:left="980" w:right="0"/>
        </w:sectPr>
      </w:pPr>
    </w:p>
    <w:p>
      <w:pPr>
        <w:pStyle w:val="BodyText"/>
        <w:spacing w:line="360" w:lineRule="auto" w:before="49"/>
        <w:ind w:right="-20"/>
        <w:jc w:val="left"/>
      </w:pPr>
      <w:r>
        <w:rPr/>
        <w:t>其他应收款种类的说明 期末单项金额重大并单项计提坏账准备的其他应收款</w:t>
      </w:r>
    </w:p>
    <w:p>
      <w:pPr>
        <w:pStyle w:val="BodyText"/>
        <w:spacing w:line="240" w:lineRule="auto" w:before="25"/>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理由</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118,721,330.19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118,721,330.19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9"/>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香港群思电子有限公司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9"/>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OCEANSWISEINDUSTRIES</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LTD</w:t>
            </w:r>
            <w:r>
              <w:rPr>
                <w:rFonts w:ascii="宋体" w:hAnsi="宋体" w:cs="宋体" w:eastAsia="宋体" w:hint="default"/>
                <w:sz w:val="18"/>
                <w:szCs w:val="18"/>
              </w:rPr>
              <w:t>（香港海慧）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6,420,705.82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6,420,705.82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143,742,036.01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143,742,036.01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pStyle w:val="BodyText"/>
        <w:spacing w:line="240" w:lineRule="auto" w:before="49"/>
        <w:ind w:right="-19"/>
        <w:jc w:val="left"/>
      </w:pPr>
      <w:r>
        <w:rPr/>
        <w:t>组合中，采用账龄分析法计提坏账准备的其他应收款</w:t>
      </w:r>
    </w:p>
    <w:p>
      <w:pPr>
        <w:pStyle w:val="BodyText"/>
        <w:spacing w:line="240" w:lineRule="auto" w:before="117"/>
        <w:ind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4" w:space="4536"/>
            <w:col w:w="210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2"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143"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142"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403,847.55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2.96%</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1,224,704.00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8.88%</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520,128.40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1,194.14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292,358.00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4,617.90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923,975.95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1,194.14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1,517,062.00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4,617.90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688,238.27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18,823.83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118,008.71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11,800.87</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2,873.00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861.90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418,479.00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125,023.50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12,036,143.50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88.2%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11,891,657.50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11,737,753.00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85.1%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11,590,510.60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382,712.54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262,906.27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87,631.46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0.64%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43,315.73</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79,932.52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55,252.75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343,088.82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240,162.18</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11,573,498.44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84.78%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11,573,498.44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11,307,032.72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81.98%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11,307,032.72</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13,651,230.72</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11,912,537.33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13,791,302.71</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11,731,952.90</w:t>
            </w:r>
          </w:p>
        </w:tc>
      </w:tr>
    </w:tbl>
    <w:p>
      <w:pPr>
        <w:spacing w:after="0" w:line="240" w:lineRule="auto"/>
        <w:jc w:val="right"/>
        <w:rPr>
          <w:rFonts w:ascii="宋体" w:hAnsi="宋体" w:cs="宋体" w:eastAsia="宋体" w:hint="default"/>
          <w:sz w:val="18"/>
          <w:szCs w:val="18"/>
        </w:rPr>
        <w:sectPr>
          <w:pgSz w:w="11910" w:h="16840"/>
          <w:pgMar w:header="745" w:footer="1332" w:top="1060" w:bottom="1520" w:left="980" w:right="0"/>
        </w:sectPr>
      </w:pPr>
    </w:p>
    <w:p>
      <w:pPr>
        <w:pStyle w:val="BodyText"/>
        <w:spacing w:line="240" w:lineRule="auto" w:before="49"/>
        <w:ind w:right="-20"/>
        <w:jc w:val="left"/>
      </w:pPr>
      <w:r>
        <w:rPr/>
        <w:t>组合中，采用余额百分比法计提坏账准备的其他应收款</w:t>
      </w:r>
    </w:p>
    <w:p>
      <w:pPr>
        <w:pStyle w:val="BodyText"/>
        <w:spacing w:line="360" w:lineRule="auto" w:before="115"/>
        <w:ind w:right="520"/>
        <w:jc w:val="left"/>
      </w:pPr>
      <w:r>
        <w:rPr/>
        <w:t>□ 适用 √ 不适用 组合中，采用其他方法计提坏账准备的其他应收款</w:t>
      </w:r>
    </w:p>
    <w:p>
      <w:pPr>
        <w:pStyle w:val="BodyText"/>
        <w:spacing w:line="360" w:lineRule="auto" w:before="25"/>
        <w:ind w:right="-20"/>
        <w:jc w:val="left"/>
      </w:pPr>
      <w:r>
        <w:rPr/>
        <w:t>□ 适用 √ 不适用 期末单项金额虽不重大但单项计提坏账准备的其他应收款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深圳市中委农业投资有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1,841,912.35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1,841,912.35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债务人已停止经营</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1,841,912.35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1,841,912.35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）本报告期转回或收回的其他应收款情况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0"/>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单项金额不重大但按信用风险特征组合后该组合的风险较大的其他应收款的说明</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3</w:t>
      </w:r>
      <w:r>
        <w:rPr/>
        <w:t>）本报告期实际核销的其他应收款情况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4</w:t>
      </w:r>
      <w:r>
        <w:rPr/>
        <w:t>）本报告期其他应收款中持有公司 </w:t>
      </w:r>
      <w:r>
        <w:rPr>
          <w:rFonts w:ascii="Arial" w:hAnsi="Arial" w:cs="Arial" w:eastAsia="Arial" w:hint="default"/>
        </w:rPr>
        <w:t>5</w:t>
      </w:r>
      <w:r>
        <w:rPr/>
        <w:t>％（含</w:t>
      </w:r>
      <w:r>
        <w:rPr>
          <w:spacing w:val="-27"/>
        </w:rPr>
        <w:t> </w:t>
      </w:r>
      <w:r>
        <w:rPr>
          <w:rFonts w:ascii="Arial" w:hAnsi="Arial" w:cs="Arial" w:eastAsia="Arial" w:hint="default"/>
        </w:rPr>
        <w:t>5</w:t>
      </w:r>
      <w:r>
        <w:rPr/>
        <w:t>％）以上表决权股份的股东单位情况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5</w:t>
      </w:r>
      <w:r>
        <w:rPr/>
        <w:t>）金额较大的其他应收款的性质或内容</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bl>
    <w:p>
      <w:pPr>
        <w:pStyle w:val="BodyText"/>
        <w:spacing w:line="240" w:lineRule="auto" w:before="49"/>
        <w:ind w:right="0"/>
        <w:jc w:val="left"/>
      </w:pPr>
      <w:r>
        <w:rPr/>
        <w:t>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6</w:t>
      </w:r>
      <w:r>
        <w:rPr/>
        <w:t>）其他应收款金额前五名单位情况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宋体" w:hAnsi="宋体" w:cs="宋体" w:eastAsia="宋体" w:hint="default"/>
                <w:sz w:val="18"/>
                <w:szCs w:val="18"/>
              </w:rPr>
            </w:pPr>
            <w:r>
              <w:rPr>
                <w:rFonts w:ascii="宋体" w:hAnsi="宋体" w:cs="宋体" w:eastAsia="宋体" w:hint="default"/>
                <w:sz w:val="18"/>
                <w:szCs w:val="18"/>
              </w:rPr>
              <w:t>占其他应收款总额的比 例</w:t>
            </w: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118,721,330.19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74.56%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香港群思电子有限公司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OCEANSWISEINDUSTRIES</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LTD</w:t>
            </w:r>
            <w:r>
              <w:rPr>
                <w:rFonts w:ascii="宋体" w:hAnsi="宋体" w:cs="宋体" w:eastAsia="宋体" w:hint="default"/>
                <w:sz w:val="18"/>
                <w:szCs w:val="18"/>
              </w:rPr>
              <w:t>（香港海慧）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6,420,705.82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4.03%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宝安辉煌实业公司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应收转让土地款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2,742,431.83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深圳市中委农业投资有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1,841,912.35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148,326,380.19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93.15%</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7</w:t>
      </w:r>
      <w:r>
        <w:rPr/>
        <w:t>）其他应收关联方账款情况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0"/>
              <w:jc w:val="righ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深圳市中委农业投资有限公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1,841,912.35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1.16%</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1,841,912.35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1.16%</w:t>
            </w:r>
          </w:p>
        </w:tc>
      </w:tr>
    </w:tbl>
    <w:p>
      <w:pPr>
        <w:spacing w:after="0" w:line="240" w:lineRule="auto"/>
        <w:jc w:val="right"/>
        <w:rPr>
          <w:rFonts w:ascii="宋体" w:hAnsi="宋体" w:cs="宋体" w:eastAsia="宋体" w:hint="default"/>
          <w:sz w:val="18"/>
          <w:szCs w:val="18"/>
        </w:rPr>
        <w:sectPr>
          <w:pgSz w:w="11910" w:h="16840"/>
          <w:pgMar w:header="745" w:footer="1332" w:top="1060" w:bottom="152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8</w:t>
      </w:r>
      <w:r>
        <w:rPr/>
        <w:t>）终止确认的其他应收款项情况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9</w:t>
      </w:r>
      <w:r>
        <w:rPr/>
        <w:t>）以其他应收款为标的进行证券化的，列示继续涉入形成的资产、负债的金额</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713;top:14;width:2;height:394" coordorigin="3713,14" coordsize="2,394">
              <v:shape style="position:absolute;left:3713;top:14;width:2;height:394" coordorigin="3713,14" coordsize="0,394" path="m3713,14l3713,408e" filled="false" stroked="true" strokeweight="1.08pt" strokecolor="#d2d2d2">
                <v:path arrowok="t"/>
              </v:shape>
            </v:group>
            <v:group style="position:absolute;left:34;top:14;width:3669;height:394" coordorigin="34,14" coordsize="3669,394">
              <v:shape style="position:absolute;left:34;top:14;width:3669;height:394" coordorigin="34,14" coordsize="3669,394" path="m34,408l3702,408,3702,14,34,14,34,408xe" filled="true" fillcolor="#d2d2d2" stroked="false">
                <v:path arrowok="t"/>
                <v:fill type="solid"/>
              </v:shape>
            </v:group>
            <v:group style="position:absolute;left:3745;top:14;width:2;height:394" coordorigin="3745,14" coordsize="2,394">
              <v:shape style="position:absolute;left:3745;top:14;width:2;height:394" coordorigin="3745,14" coordsize="0,394" path="m3745,14l3745,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757;top:14;width:5790;height:394" coordorigin="3757,14" coordsize="5790,394">
              <v:shape style="position:absolute;left:3757;top:14;width:5790;height:394" coordorigin="3757,14" coordsize="5790,394" path="m3757,408l9547,408,9547,14,3757,14,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2"/>
        <w:rPr>
          <w:rFonts w:ascii="宋体" w:hAnsi="宋体" w:cs="宋体" w:eastAsia="宋体" w:hint="default"/>
          <w:sz w:val="18"/>
          <w:szCs w:val="18"/>
        </w:rPr>
      </w:pPr>
    </w:p>
    <w:p>
      <w:pPr>
        <w:pStyle w:val="Heading3"/>
        <w:spacing w:line="336" w:lineRule="exact"/>
        <w:ind w:right="0"/>
        <w:jc w:val="left"/>
        <w:rPr>
          <w:b w:val="0"/>
          <w:bCs w:val="0"/>
        </w:rPr>
      </w:pPr>
      <w:r>
        <w:rPr>
          <w:rFonts w:ascii="Arial" w:hAnsi="Arial" w:cs="Arial" w:eastAsia="Arial" w:hint="default"/>
        </w:rPr>
        <w:t>8</w:t>
      </w:r>
      <w:r>
        <w:rPr/>
        <w:t>、预付款项</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）预付款项按账龄列示</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2"/>
        <w:gridCol w:w="3199"/>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04"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3,295,802.27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93.11%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16,665,468.73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99.22%</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121,821.11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76,427.00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0.46%</w:t>
            </w:r>
          </w:p>
        </w:tc>
      </w:tr>
      <w:tr>
        <w:trPr>
          <w:trHeight w:val="404"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69,055.45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41,826.54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0.25%</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52,924.61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12,332.94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0.07%</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pacing w:val="-1"/>
                <w:sz w:val="18"/>
              </w:rPr>
              <w:t>3,539,603.44</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8"/>
              <w:jc w:val="right"/>
              <w:rPr>
                <w:rFonts w:ascii="宋体" w:hAnsi="宋体" w:cs="宋体" w:eastAsia="宋体" w:hint="default"/>
                <w:sz w:val="18"/>
                <w:szCs w:val="18"/>
              </w:rPr>
            </w:pPr>
            <w:r>
              <w:rPr>
                <w:rFonts w:ascii="宋体"/>
                <w:spacing w:val="-1"/>
                <w:sz w:val="18"/>
              </w:rPr>
              <w:t>16,796,055.21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t>预付款项账龄的说明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）预付款项金额前五名单位情况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81"/>
        <w:gridCol w:w="1440"/>
        <w:gridCol w:w="1260"/>
        <w:gridCol w:w="1801"/>
        <w:gridCol w:w="1291"/>
      </w:tblGrid>
      <w:tr>
        <w:trPr>
          <w:trHeight w:val="403"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东莞市新泉塑胶原料有限公司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1,317,045.00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0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丰顺县鹏兴电子元件厂</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306,673.48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0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惠州市惠城区大宝饲料商行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265,500.00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0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Willas-ArrayElectronics(HONGKONG)Limited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246,779.80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0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惠州市强威电子有限公司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241,458.50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03"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2,377,456.78</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t>预付款项主要单位的说明</w:t>
      </w:r>
    </w:p>
    <w:p>
      <w:pPr>
        <w:spacing w:after="0" w:line="240" w:lineRule="auto"/>
        <w:jc w:val="left"/>
        <w:sectPr>
          <w:pgSz w:w="11910" w:h="16840"/>
          <w:pgMar w:header="745" w:footer="1332" w:top="1060" w:bottom="152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3</w:t>
      </w:r>
      <w:r>
        <w:rPr/>
        <w:t>）本报告期预付款项中持有本公司 </w:t>
      </w:r>
      <w:r>
        <w:rPr>
          <w:rFonts w:ascii="Arial" w:hAnsi="Arial" w:cs="Arial" w:eastAsia="Arial" w:hint="default"/>
        </w:rPr>
        <w:t>5</w:t>
      </w:r>
      <w:r>
        <w:rPr/>
        <w:t>％（含</w:t>
      </w:r>
      <w:r>
        <w:rPr>
          <w:spacing w:val="-27"/>
        </w:rPr>
        <w:t> </w:t>
      </w:r>
      <w:r>
        <w:rPr>
          <w:rFonts w:ascii="Arial" w:hAnsi="Arial" w:cs="Arial" w:eastAsia="Arial" w:hint="default"/>
        </w:rPr>
        <w:t>5</w:t>
      </w:r>
      <w:r>
        <w:rPr/>
        <w:t>％）以上表决权股份的股东单位情况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4</w:t>
      </w:r>
      <w:r>
        <w:rPr/>
        <w:t>）预付款项的说明</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9</w:t>
      </w:r>
      <w:r>
        <w:rPr>
          <w:rFonts w:ascii="微软雅黑" w:hAnsi="微软雅黑" w:cs="微软雅黑" w:eastAsia="微软雅黑" w:hint="default"/>
          <w:b/>
          <w:bCs/>
          <w:sz w:val="21"/>
          <w:szCs w:val="21"/>
        </w:rPr>
        <w:t>、存货</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）存货分类</w:t>
      </w:r>
      <w:r>
        <w:rPr>
          <w:rFonts w:ascii="微软雅黑" w:hAnsi="微软雅黑" w:cs="微软雅黑" w:eastAsia="微软雅黑" w:hint="default"/>
          <w:sz w:val="21"/>
          <w:szCs w:val="21"/>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8"/>
        <w:gridCol w:w="1473"/>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13,754,155.87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38,513.48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13,715,642.39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16,768,942.30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332,795.28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16,436,147.02</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2,258,864.82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2,258,864.82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1,990,777.65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1,990,777.65</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18,451,934.21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19,527.75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18,432,406.46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14,646,801.13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11,740.74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14,635,060.39</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1,412,862.01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1,412,862.01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1,278,901.59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1,278,901.59</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753,827.10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753,827.10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840,376.86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840,376.86</w:t>
            </w:r>
          </w:p>
        </w:tc>
      </w:tr>
      <w:tr>
        <w:trPr>
          <w:trHeight w:val="40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15,559,568.21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4,738,396.00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10,821,172.21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15,004,568.21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4,738,396.00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10,266,172.21</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完工开发产品</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153,095.91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153,095.91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619,130.06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619,130.06</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52,344,308.13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4,796,437.23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47,547,870.90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51,149,497.80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5,082,932.02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46,066,565.78</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）存货跌价准备</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6"/>
        <w:gridCol w:w="1615"/>
        <w:gridCol w:w="1414"/>
        <w:gridCol w:w="1431"/>
        <w:gridCol w:w="175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332,795.28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35,023.42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329,305.22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38,513.48</w:t>
            </w: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11,740.74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11,845.81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4,058.80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19,527.75</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4,738,396.00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4,738,396.00</w:t>
            </w: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5,082,932.02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46,869.23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333,364.02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4,796,437.23</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）存货跌价准备情况</w:t>
      </w:r>
      <w:r>
        <w:rPr>
          <w:b w:val="0"/>
          <w:bCs w:val="0"/>
        </w:rPr>
      </w:r>
    </w:p>
    <w:p>
      <w:pPr>
        <w:spacing w:line="240" w:lineRule="auto" w:before="16"/>
        <w:rPr>
          <w:rFonts w:ascii="微软雅黑" w:hAnsi="微软雅黑" w:cs="微软雅黑" w:eastAsia="微软雅黑"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439"/>
        <w:gridCol w:w="3421"/>
        <w:gridCol w:w="2318"/>
        <w:gridCol w:w="23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3" w:right="71"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3" w:right="99" w:hanging="315"/>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宋体" w:hAnsi="宋体" w:cs="宋体" w:eastAsia="宋体" w:hint="default"/>
                <w:sz w:val="18"/>
                <w:szCs w:val="18"/>
              </w:rPr>
              <w:t>%</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1332" w:top="1060" w:bottom="1520" w:left="980" w:right="0"/>
        </w:sectPr>
      </w:pPr>
    </w:p>
    <w:p>
      <w:pPr>
        <w:spacing w:line="240" w:lineRule="auto" w:before="10"/>
        <w:rPr>
          <w:rFonts w:ascii="微软雅黑" w:hAnsi="微软雅黑" w:cs="微软雅黑" w:eastAsia="微软雅黑" w:hint="default"/>
          <w:b/>
          <w:bCs/>
          <w:sz w:val="21"/>
          <w:szCs w:val="21"/>
        </w:rPr>
      </w:pPr>
      <w:r>
        <w:rPr/>
        <w:pict>
          <v:shape style="position:absolute;margin-left:460.320007pt;margin-top:764.919983pt;width:135.0pt;height:77pt;mso-position-horizontal-relative:page;mso-position-vertical-relative:page;z-index:-780712"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1439"/>
        <w:gridCol w:w="3421"/>
        <w:gridCol w:w="2316"/>
        <w:gridCol w:w="2393"/>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呆滞物料的可变现净值低于账面价值部分</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滞销产品的可变现净值低于账面价值部分</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见说明</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存货的说明</w:t>
      </w:r>
    </w:p>
    <w:p>
      <w:pPr>
        <w:spacing w:line="240" w:lineRule="auto" w:before="11"/>
        <w:rPr>
          <w:rFonts w:ascii="宋体" w:hAnsi="宋体" w:cs="宋体" w:eastAsia="宋体" w:hint="default"/>
          <w:sz w:val="14"/>
          <w:szCs w:val="14"/>
        </w:rPr>
      </w:pPr>
    </w:p>
    <w:p>
      <w:pPr>
        <w:pStyle w:val="BodyText"/>
        <w:spacing w:line="477" w:lineRule="auto"/>
        <w:ind w:right="1131" w:firstLine="360"/>
        <w:jc w:val="right"/>
      </w:pPr>
      <w:r>
        <w:rPr>
          <w:spacing w:val="-2"/>
        </w:rPr>
        <w:t>开发成本计提跌价准备说明：主要是博罗龙溪土地的合同转让价与账面成本的差额。</w:t>
      </w:r>
      <w:r>
        <w:rPr>
          <w:rFonts w:ascii="宋体" w:hAnsi="宋体" w:cs="宋体" w:eastAsia="宋体" w:hint="default"/>
          <w:spacing w:val="-2"/>
        </w:rPr>
        <w:t>2004</w:t>
      </w:r>
      <w:r>
        <w:rPr>
          <w:spacing w:val="-2"/>
        </w:rPr>
        <w:t>年</w:t>
      </w:r>
      <w:r>
        <w:rPr>
          <w:rFonts w:ascii="宋体" w:hAnsi="宋体" w:cs="宋体" w:eastAsia="宋体" w:hint="default"/>
          <w:spacing w:val="-2"/>
        </w:rPr>
        <w:t>12</w:t>
      </w:r>
      <w:r>
        <w:rPr>
          <w:spacing w:val="-2"/>
        </w:rPr>
        <w:t>月，本公司之子公司西部</w:t>
      </w:r>
      <w:r>
        <w:rPr/>
        <w:t> </w:t>
      </w:r>
      <w:r>
        <w:rPr>
          <w:spacing w:val="-2"/>
        </w:rPr>
        <w:t>房地产有限公司与博罗县通金发展有限公司签订《土地使用权转让合同书》，将位于博罗县龙溪镇第二工业大道的工业用地</w:t>
      </w:r>
    </w:p>
    <w:p>
      <w:pPr>
        <w:pStyle w:val="BodyText"/>
        <w:spacing w:line="477" w:lineRule="auto" w:before="54"/>
        <w:ind w:right="0"/>
        <w:jc w:val="left"/>
      </w:pPr>
      <w:r>
        <w:rPr>
          <w:spacing w:val="-2"/>
        </w:rPr>
        <w:t>（博罗龙溪土地账面成本为</w:t>
      </w:r>
      <w:r>
        <w:rPr>
          <w:rFonts w:ascii="宋体" w:hAnsi="宋体" w:cs="宋体" w:eastAsia="宋体" w:hint="default"/>
          <w:spacing w:val="-2"/>
        </w:rPr>
        <w:t>8,622,276.00</w:t>
      </w:r>
      <w:r>
        <w:rPr>
          <w:spacing w:val="-2"/>
        </w:rPr>
        <w:t>元）转让给对方，土地面积共计</w:t>
      </w:r>
      <w:r>
        <w:rPr>
          <w:rFonts w:ascii="宋体" w:hAnsi="宋体" w:cs="宋体" w:eastAsia="宋体" w:hint="default"/>
          <w:spacing w:val="-2"/>
        </w:rPr>
        <w:t>70,616</w:t>
      </w:r>
      <w:r>
        <w:rPr>
          <w:rFonts w:ascii="宋体" w:hAnsi="宋体" w:cs="宋体" w:eastAsia="宋体" w:hint="default"/>
          <w:spacing w:val="-2"/>
        </w:rPr>
        <w:t>㎡</w:t>
      </w:r>
      <w:r>
        <w:rPr>
          <w:spacing w:val="-2"/>
        </w:rPr>
        <w:t>，转让价为人民币</w:t>
      </w:r>
      <w:r>
        <w:rPr>
          <w:rFonts w:ascii="宋体" w:hAnsi="宋体" w:cs="宋体" w:eastAsia="宋体" w:hint="default"/>
          <w:spacing w:val="-2"/>
        </w:rPr>
        <w:t>3,883,880.00</w:t>
      </w:r>
      <w:r>
        <w:rPr>
          <w:spacing w:val="-2"/>
        </w:rPr>
        <w:t>元。截止</w:t>
      </w:r>
      <w:r>
        <w:rPr>
          <w:spacing w:val="-46"/>
        </w:rPr>
        <w:t> </w:t>
      </w:r>
      <w:r>
        <w:rPr>
          <w:spacing w:val="-46"/>
        </w:rPr>
      </w:r>
      <w:r>
        <w:rPr/>
        <w:t>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日，该项目之转让手续尚未完成，本公司已于以前年度按合同转让价与账面成本的差额计提跌价准备。</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10</w:t>
      </w:r>
      <w:r>
        <w:rPr/>
        <w:t>、其他流动资产</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杨贝工业区土地</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703,738.57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703,738.57</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703,738.57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703,738.57</w:t>
            </w:r>
          </w:p>
        </w:tc>
      </w:tr>
    </w:tbl>
    <w:p>
      <w:pPr>
        <w:pStyle w:val="BodyText"/>
        <w:spacing w:line="240" w:lineRule="auto" w:before="49"/>
        <w:ind w:right="0"/>
        <w:jc w:val="left"/>
      </w:pPr>
      <w:r>
        <w:rPr/>
        <w:t>其他流动资产说明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11</w:t>
      </w:r>
      <w:r>
        <w:rPr/>
        <w:t>、可供出售金融资产</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）可供出售金融资产情况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49"/>
        <w:ind w:right="0"/>
        <w:jc w:val="left"/>
      </w:pPr>
      <w:r>
        <w:rPr>
          <w:spacing w:val="-4"/>
        </w:rPr>
        <w:t>本期将持有至到期投资重分类为可供出售金融资产的，本期重分类的金额元，该金额占重分类前持有至到期投资总额的比例。</w:t>
      </w:r>
      <w:r>
        <w:rPr>
          <w:spacing w:val="-42"/>
        </w:rPr>
        <w:t> </w:t>
      </w:r>
      <w:r>
        <w:rPr>
          <w:spacing w:val="-42"/>
        </w:rPr>
      </w:r>
      <w:r>
        <w:rPr/>
        <w:t>可供出售金融资产的说明</w:t>
      </w: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r>
        <w:rPr/>
        <w:t>（</w:t>
      </w:r>
      <w:r>
        <w:rPr>
          <w:rFonts w:ascii="Arial" w:hAnsi="Arial" w:cs="Arial" w:eastAsia="Arial" w:hint="default"/>
        </w:rPr>
        <w:t>2</w:t>
      </w:r>
      <w:r>
        <w:rPr/>
        <w:t>）可供出售金融资产中的长期债权投资</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可供出售金融资产的长期债权投资的说明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12</w:t>
      </w:r>
      <w:r>
        <w:rPr/>
        <w:t>、持有至到期投资</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）持有至到期投资情况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footerReference w:type="default" r:id="rId31"/>
          <w:pgSz w:w="11910" w:h="16840"/>
          <w:pgMar w:footer="980" w:header="745" w:top="1060" w:bottom="1160" w:left="980" w:right="0"/>
        </w:sectPr>
      </w:pPr>
    </w:p>
    <w:p>
      <w:pPr>
        <w:spacing w:line="240" w:lineRule="auto" w:before="9"/>
        <w:rPr>
          <w:rFonts w:ascii="宋体" w:hAnsi="宋体" w:cs="宋体" w:eastAsia="宋体" w:hint="default"/>
          <w:sz w:val="25"/>
          <w:szCs w:val="25"/>
        </w:rPr>
      </w:pPr>
      <w:r>
        <w:rPr/>
        <w:pict>
          <v:shape style="position:absolute;margin-left:460.320007pt;margin-top:764.919983pt;width:135.0pt;height:77pt;mso-position-horizontal-relative:page;mso-position-vertical-relative:page;z-index:2344" type="#_x0000_t75" stroked="false">
            <v:imagedata r:id="rId13" o:title=""/>
          </v:shape>
        </w:pict>
      </w:r>
    </w:p>
    <w:p>
      <w:pPr>
        <w:pStyle w:val="BodyText"/>
        <w:spacing w:line="240" w:lineRule="auto" w:before="44"/>
        <w:ind w:right="0"/>
        <w:jc w:val="left"/>
      </w:pPr>
      <w:r>
        <w:rPr/>
        <w:t>持有至到期投资的说明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）本报告期内出售但尚未到期的持有至到期投资情况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宋体" w:hAnsi="宋体" w:cs="宋体" w:eastAsia="宋体" w:hint="default"/>
                <w:sz w:val="18"/>
                <w:szCs w:val="18"/>
              </w:rPr>
              <w:t>%</w:t>
            </w:r>
            <w:r>
              <w:rPr>
                <w:rFonts w:ascii="宋体" w:hAnsi="宋体" w:cs="宋体" w:eastAsia="宋体" w:hint="default"/>
                <w:sz w:val="18"/>
                <w:szCs w:val="18"/>
              </w:rPr>
              <w:t>）</w:t>
            </w:r>
          </w:p>
        </w:tc>
      </w:tr>
    </w:tbl>
    <w:p>
      <w:pPr>
        <w:pStyle w:val="BodyText"/>
        <w:spacing w:line="240" w:lineRule="auto" w:before="49"/>
        <w:ind w:right="0"/>
        <w:jc w:val="left"/>
      </w:pPr>
      <w:r>
        <w:rPr/>
        <w:t>本报告期内出售但尚未到期的持有至到期投资情况说明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13</w:t>
      </w:r>
      <w:r>
        <w:rPr/>
        <w:t>、长期应收款</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14</w:t>
      </w:r>
      <w:r>
        <w:rPr/>
        <w:t>、对合营企业投资和联营企业投资</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67" w:right="50" w:hanging="315"/>
              <w:jc w:val="left"/>
              <w:rPr>
                <w:rFonts w:ascii="宋体" w:hAnsi="宋体" w:cs="宋体" w:eastAsia="宋体" w:hint="default"/>
                <w:sz w:val="18"/>
                <w:szCs w:val="18"/>
              </w:rPr>
            </w:pPr>
            <w:r>
              <w:rPr>
                <w:rFonts w:ascii="宋体" w:hAnsi="宋体" w:cs="宋体" w:eastAsia="宋体" w:hint="default"/>
                <w:sz w:val="18"/>
                <w:szCs w:val="18"/>
              </w:rPr>
              <w:t>本企业持股比 例</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本企业在被投 资单位表决权 比例</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0"/>
        <w:jc w:val="left"/>
      </w:pPr>
      <w:r>
        <w:rPr/>
        <w:t>合营企业、联营企业的重要会计政策、会计估计与公司的会计政策、会计估计存在重大差异的说明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15</w:t>
      </w:r>
      <w:r>
        <w:rPr/>
        <w:t>、长期股权投资</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）长期股权投资明细情况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646"/>
        <w:gridCol w:w="1261"/>
        <w:gridCol w:w="1174"/>
        <w:gridCol w:w="360"/>
        <w:gridCol w:w="1260"/>
        <w:gridCol w:w="540"/>
        <w:gridCol w:w="540"/>
        <w:gridCol w:w="900"/>
        <w:gridCol w:w="1261"/>
        <w:gridCol w:w="540"/>
        <w:gridCol w:w="394"/>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7" w:right="45"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增 减 变 动</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在被 投资 单位 持股 比例</w:t>
            </w:r>
          </w:p>
          <w:p>
            <w:pPr>
              <w:pStyle w:val="TableParagraph"/>
              <w:spacing w:line="240" w:lineRule="auto" w:before="61"/>
              <w:ind w:left="132" w:right="0"/>
              <w:jc w:val="both"/>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 w:right="3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 投资 单位 表决 权比 例</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0" w:right="101"/>
              <w:jc w:val="both"/>
              <w:rPr>
                <w:rFonts w:ascii="宋体" w:hAnsi="宋体" w:cs="宋体" w:eastAsia="宋体" w:hint="default"/>
                <w:sz w:val="18"/>
                <w:szCs w:val="18"/>
              </w:rPr>
            </w:pPr>
            <w:r>
              <w:rPr>
                <w:rFonts w:ascii="宋体" w:hAnsi="宋体" w:cs="宋体" w:eastAsia="宋体" w:hint="default"/>
                <w:sz w:val="18"/>
                <w:szCs w:val="18"/>
              </w:rPr>
              <w:t>本 期 现 金 红 利</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深圳市天 极光电实 业股份有 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20,250,000.00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深圳市华 宝进出口 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980"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646"/>
        <w:gridCol w:w="1261"/>
        <w:gridCol w:w="1174"/>
        <w:gridCol w:w="360"/>
        <w:gridCol w:w="1260"/>
        <w:gridCol w:w="540"/>
        <w:gridCol w:w="540"/>
        <w:gridCol w:w="900"/>
        <w:gridCol w:w="1261"/>
        <w:gridCol w:w="540"/>
        <w:gridCol w:w="394"/>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深圳泰丰 宽带技术 有限公司</w:t>
            </w:r>
          </w:p>
          <w:p>
            <w:pPr>
              <w:pStyle w:val="TableParagraph"/>
              <w:spacing w:line="240" w:lineRule="auto" w:before="59"/>
              <w:ind w:left="24" w:right="0"/>
              <w:jc w:val="both"/>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5,359,794.05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5,359,794.05</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5,359,794.05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5,359,794.05</w:t>
            </w:r>
          </w:p>
        </w:tc>
        <w:tc>
          <w:tcPr>
            <w:tcW w:w="54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深圳市中 委农业投 资有限公 </w:t>
            </w:r>
            <w:r>
              <w:rPr>
                <w:rFonts w:ascii="宋体" w:hAnsi="宋体" w:cs="宋体" w:eastAsia="宋体" w:hint="default"/>
                <w:spacing w:val="2"/>
                <w:sz w:val="18"/>
                <w:szCs w:val="18"/>
              </w:rPr>
              <w:t>司</w:t>
            </w:r>
            <w:r>
              <w:rPr>
                <w:rFonts w:ascii="Times New Roman" w:hAnsi="Times New Roman" w:cs="Times New Roman" w:eastAsia="Times New Roman" w:hint="default"/>
                <w:spacing w:val="2"/>
                <w:sz w:val="18"/>
                <w:szCs w:val="18"/>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27,938,510.30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27,938,510.30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27,938,510.30</w:t>
            </w:r>
          </w:p>
        </w:tc>
        <w:tc>
          <w:tcPr>
            <w:tcW w:w="54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深圳市泰 丰通讯电 子有限公 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37,007,471.37</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37,007,471.37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37,007,471.37</w:t>
            </w:r>
          </w:p>
        </w:tc>
        <w:tc>
          <w:tcPr>
            <w:tcW w:w="54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100,659,794.05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90,605,775.72</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90,605,775.72</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06" w:right="0"/>
              <w:jc w:val="lef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06"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90,555,775.72</w:t>
            </w:r>
          </w:p>
        </w:tc>
        <w:tc>
          <w:tcPr>
            <w:tcW w:w="54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）向投资企业转移资金的能力受到限制的有关情况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49"/>
        <w:ind w:right="0"/>
        <w:jc w:val="left"/>
      </w:pPr>
      <w:r>
        <w:rPr/>
        <w:t>长期股权投资的说明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16</w:t>
      </w:r>
      <w:r>
        <w:rPr/>
        <w:t>、投资性房地产</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）按成本计量的投资性房地产</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5350;top:17;width:2;height:392" coordorigin="5350,17" coordsize="2,392">
              <v:shape style="position:absolute;left:5350;top:17;width:2;height:392" coordorigin="5350,17" coordsize="0,392" path="m5350,17l5350,408e" filled="false" stroked="true" strokeweight="1.08pt" strokecolor="#d2d2d2">
                <v:path arrowok="t"/>
              </v:shape>
            </v:group>
            <v:group style="position:absolute;left:34;top:17;width:5306;height:392" coordorigin="34,17" coordsize="5306,392">
              <v:shape style="position:absolute;left:34;top:17;width:5306;height:392" coordorigin="34,17" coordsize="5306,392" path="m34,408l5339,408,5339,17,34,17,34,408xe" filled="true" fillcolor="#d2d2d2" stroked="false">
                <v:path arrowok="t"/>
                <v:fill type="solid"/>
              </v:shape>
            </v:group>
            <v:group style="position:absolute;left:5382;top:17;width:2;height:392" coordorigin="5382,17" coordsize="2,392">
              <v:shape style="position:absolute;left:5382;top:17;width:2;height:392" coordorigin="5382,17" coordsize="0,392" path="m5382,17l5382,408e" filled="false" stroked="true" strokeweight="1.2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5394;top:17;width:4153;height:392" coordorigin="5394,17" coordsize="4153,392">
              <v:shape style="position:absolute;left:5394;top:17;width:4153;height:392" coordorigin="5394,17" coordsize="4153,392" path="m5394,408l9547,408,9547,17,5394,17,5394,408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351;height:2" coordorigin="10,413" coordsize="5351,2">
              <v:shape style="position:absolute;left:10;top:413;width:5351;height:2" coordorigin="10,413" coordsize="5351,0" path="m10,413l5361,413e" filled="false" stroked="true" strokeweight=".48pt" strokecolor="#000000">
                <v:path arrowok="t"/>
              </v:shape>
            </v:group>
            <v:group style="position:absolute;left:5365;top:5;width:2;height:413" coordorigin="5365,5" coordsize="2,413">
              <v:shape style="position:absolute;left:5365;top:5;width:2;height:413" coordorigin="5365,5" coordsize="0,413" path="m5365,5l5365,418e" filled="false" stroked="true" strokeweight=".48pt" strokecolor="#000000">
                <v:path arrowok="t"/>
              </v:shape>
            </v:group>
            <v:group style="position:absolute;left:5370;top:413;width:4201;height:2" coordorigin="5370,413" coordsize="4201,2">
              <v:shape style="position:absolute;left:5370;top:413;width:4201;height:2" coordorigin="5370,413" coordsize="4201,0" path="m537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shape style="position:absolute;left:729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336" w:lineRule="exact"/>
        <w:ind w:right="0"/>
        <w:jc w:val="left"/>
        <w:rPr>
          <w:b w:val="0"/>
          <w:bCs w:val="0"/>
        </w:rPr>
      </w:pPr>
      <w:r>
        <w:rPr/>
        <w:t>（</w:t>
      </w:r>
      <w:r>
        <w:rPr>
          <w:rFonts w:ascii="Arial" w:hAnsi="Arial" w:cs="Arial" w:eastAsia="Arial" w:hint="default"/>
        </w:rPr>
        <w:t>2</w:t>
      </w:r>
      <w:r>
        <w:rPr/>
        <w:t>）按公允价值计量的投资性房地产</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3"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3"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购臵</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处臵</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6" w:lineRule="auto" w:before="49"/>
        <w:ind w:right="1118"/>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after="0" w:line="316" w:lineRule="auto"/>
        <w:jc w:val="left"/>
        <w:sectPr>
          <w:footerReference w:type="default" r:id="rId33"/>
          <w:pgSz w:w="11910" w:h="16840"/>
          <w:pgMar w:footer="1277" w:header="745" w:top="1060" w:bottom="1460" w:left="980" w:right="0"/>
          <w:pgNumType w:start="102"/>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17</w:t>
      </w:r>
      <w:r>
        <w:rPr/>
        <w:t>、固定资产</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）固定资产情况</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146,644,707.15</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39,186,377.79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19,920,152.01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165,910,932.93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53,516,756.05</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21,966,306.68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75,483,062.73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75,151,284.60</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14,041,491.32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19,920,152.01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69,533,754.33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8,176,252.53</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339,030.00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8,515,282.53</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6,971,537.62</w:t>
            </w:r>
          </w:p>
        </w:tc>
        <w:tc>
          <w:tcPr>
            <w:tcW w:w="2909"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6,971,537.62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1,016,254.78</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65,708.67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261,130.42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820,833.03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1,812,621.57</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2,773,841.12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4,586,462.69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98,000,804.63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3,373,158.43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16,586,692.35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84,787,270.71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27,931,858.69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1,565,003.37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29,496,862.06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56,718,524.60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1,163,776.51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16,350,434.89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41,531,866.22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5,239,049.40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213,145.95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5,452,195.35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5,781,381.26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78,152.28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5,859,533.54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793,307.14</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86,140.11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236,257.46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643,189.79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1,536,683.54</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266,940.21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1,803,623.75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48,643,902.52</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81,123,662.22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25,584,897.36</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45,986,200.67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18,432,760.00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28,001,888.11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2,937,203.13</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3,063,087.18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1,190,156.36</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1,112,004.08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222,947.64</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177,643.24</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275,938.03</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2,782,838.94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11,834,157.26</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8,981,397.76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11,536,546.45</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8,695,603.40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204,714.25</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204,714.25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92,896.56</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81,080.11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36,809,745.26</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72,142,264.46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77"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25,584,897.36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45,986,200.67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6,896,213.55</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19,306,284.71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2,937,203.13</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3,063,087.18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985,442.11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907,289.83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130,051.08</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96,563.13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275,938.03</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2,782,838.94</w:t>
            </w:r>
          </w:p>
        </w:tc>
      </w:tr>
    </w:tbl>
    <w:p>
      <w:pPr>
        <w:pStyle w:val="BodyText"/>
        <w:spacing w:line="240" w:lineRule="auto" w:before="49"/>
        <w:ind w:right="0"/>
        <w:jc w:val="left"/>
      </w:pPr>
      <w:r>
        <w:rPr/>
        <w:t>本期折旧额</w:t>
      </w:r>
      <w:r>
        <w:rPr>
          <w:spacing w:val="-47"/>
        </w:rPr>
        <w:t> </w:t>
      </w:r>
      <w:r>
        <w:rPr>
          <w:rFonts w:ascii="宋体" w:hAnsi="宋体" w:cs="宋体" w:eastAsia="宋体" w:hint="default"/>
        </w:rPr>
        <w:t>3,373,158.43</w:t>
      </w:r>
      <w:r>
        <w:rPr>
          <w:rFonts w:ascii="宋体" w:hAnsi="宋体" w:cs="宋体" w:eastAsia="宋体" w:hint="default"/>
          <w:spacing w:val="-48"/>
        </w:rPr>
        <w:t> </w:t>
      </w:r>
      <w:r>
        <w:rPr/>
        <w:t>元；本期由在建工程转入固定资产原价为</w:t>
      </w:r>
      <w:r>
        <w:rPr>
          <w:spacing w:val="-47"/>
        </w:rPr>
        <w:t> </w:t>
      </w:r>
      <w:r>
        <w:rPr>
          <w:rFonts w:ascii="宋体" w:hAnsi="宋体" w:cs="宋体" w:eastAsia="宋体" w:hint="default"/>
        </w:rPr>
        <w:t>23,101,414.46</w:t>
      </w:r>
      <w:r>
        <w:rPr>
          <w:rFonts w:ascii="宋体" w:hAnsi="宋体" w:cs="宋体" w:eastAsia="宋体" w:hint="default"/>
          <w:spacing w:val="-48"/>
        </w:rPr>
        <w:t> </w:t>
      </w:r>
      <w:r>
        <w:rPr/>
        <w:t>元。</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）暂时闲臵的固定资产情况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）通过融资租赁租入的固定资产</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4</w:t>
      </w:r>
      <w:r>
        <w:rPr/>
        <w:t>）通过经营租赁租出的固定资产</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5</w:t>
      </w:r>
      <w:r>
        <w:rPr/>
        <w:t>）期末持有待售的固定资产情况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1"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预计处臵费用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预计处臵时间</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6</w:t>
      </w:r>
      <w:r>
        <w:rPr/>
        <w:t>）未办妥产权证书的固定资产情况</w:t>
      </w:r>
      <w:r>
        <w:rPr>
          <w:b w:val="0"/>
          <w:bCs w:val="0"/>
        </w:rPr>
      </w:r>
    </w:p>
    <w:p>
      <w:pPr>
        <w:spacing w:line="240" w:lineRule="auto" w:before="16"/>
        <w:rPr>
          <w:rFonts w:ascii="微软雅黑" w:hAnsi="微软雅黑" w:cs="微软雅黑" w:eastAsia="微软雅黑"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惠州饲料新厂房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未验收完毕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pStyle w:val="BodyText"/>
        <w:spacing w:line="240" w:lineRule="auto" w:before="49"/>
        <w:ind w:right="0"/>
        <w:jc w:val="left"/>
      </w:pPr>
      <w:r>
        <w:rPr/>
        <w:t>固定资产说明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18</w:t>
      </w:r>
      <w:r>
        <w:rPr/>
        <w:t>、在建工程</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）在建工程情况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5"/>
        <w:gridCol w:w="3587"/>
        <w:gridCol w:w="3706"/>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1277"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349"/>
        <w:gridCol w:w="1040"/>
        <w:gridCol w:w="1330"/>
      </w:tblGrid>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惠州饲料新厂房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8" w:right="0"/>
              <w:jc w:val="left"/>
              <w:rPr>
                <w:rFonts w:ascii="Times New Roman" w:hAnsi="Times New Roman" w:cs="Times New Roman" w:eastAsia="Times New Roman" w:hint="default"/>
                <w:sz w:val="18"/>
                <w:szCs w:val="18"/>
              </w:rPr>
            </w:pPr>
            <w:r>
              <w:rPr>
                <w:rFonts w:ascii="Times New Roman"/>
                <w:sz w:val="18"/>
              </w:rPr>
              <w:t>11,614,248.50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6" w:right="0"/>
              <w:jc w:val="left"/>
              <w:rPr>
                <w:rFonts w:ascii="Times New Roman" w:hAnsi="Times New Roman" w:cs="Times New Roman" w:eastAsia="Times New Roman" w:hint="default"/>
                <w:sz w:val="18"/>
                <w:szCs w:val="18"/>
              </w:rPr>
            </w:pPr>
            <w:r>
              <w:rPr>
                <w:rFonts w:ascii="Times New Roman"/>
                <w:sz w:val="18"/>
              </w:rPr>
              <w:t>11,614,248.50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11,614,248.50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11,614,248.50</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）重大在建工程项目变动情况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 </w:t>
            </w:r>
            <w:r>
              <w:rPr>
                <w:rFonts w:ascii="宋体" w:hAnsi="宋体" w:cs="宋体" w:eastAsia="宋体"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2" w:firstLine="45"/>
              <w:jc w:val="both"/>
              <w:rPr>
                <w:rFonts w:ascii="宋体" w:hAnsi="宋体" w:cs="宋体" w:eastAsia="宋体" w:hint="default"/>
                <w:sz w:val="18"/>
                <w:szCs w:val="18"/>
              </w:rPr>
            </w:pPr>
            <w:r>
              <w:rPr>
                <w:rFonts w:ascii="宋体" w:hAnsi="宋体" w:cs="宋体" w:eastAsia="宋体" w:hint="default"/>
                <w:sz w:val="18"/>
                <w:szCs w:val="18"/>
              </w:rPr>
              <w:t>本期利 息资本 化率</w:t>
            </w:r>
            <w:r>
              <w:rPr>
                <w:rFonts w:ascii="宋体" w:hAnsi="宋体" w:cs="宋体" w:eastAsia="宋体"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8"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59"/>
              <w:jc w:val="both"/>
              <w:rPr>
                <w:rFonts w:ascii="宋体" w:hAnsi="宋体" w:cs="宋体" w:eastAsia="宋体" w:hint="default"/>
                <w:sz w:val="18"/>
                <w:szCs w:val="18"/>
              </w:rPr>
            </w:pPr>
            <w:r>
              <w:rPr>
                <w:rFonts w:ascii="宋体" w:hAnsi="宋体" w:cs="宋体" w:eastAsia="宋体" w:hint="default"/>
                <w:sz w:val="18"/>
                <w:szCs w:val="18"/>
              </w:rPr>
              <w:t>惠州饲 料新厂 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20,980,0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11,614,2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48.50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10,352,0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58.18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21,966,3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06.68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218,488.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218,488.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20,980,0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11,614,2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10,352,0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21,966,3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218,488.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218,488.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在建工程项目变动情况的说明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3</w:t>
      </w:r>
      <w:r>
        <w:rPr/>
        <w:t>）在建工程减值准备</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4</w:t>
      </w:r>
      <w:r>
        <w:rPr/>
        <w:t>）重大在建工程的工程进度情况</w:t>
      </w:r>
      <w:r>
        <w:rPr>
          <w:b w:val="0"/>
          <w:bCs w:val="0"/>
        </w:rPr>
      </w:r>
    </w:p>
    <w:p>
      <w:pPr>
        <w:spacing w:line="240" w:lineRule="auto" w:before="16"/>
        <w:rPr>
          <w:rFonts w:ascii="微软雅黑" w:hAnsi="微软雅黑" w:cs="微软雅黑" w:eastAsia="微软雅黑"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惠州饲料新厂房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微软雅黑" w:hAnsi="微软雅黑" w:cs="微软雅黑" w:eastAsia="微软雅黑" w:hint="default"/>
          <w:b/>
          <w:bCs/>
          <w:sz w:val="14"/>
          <w:szCs w:val="14"/>
        </w:rPr>
      </w:pPr>
    </w:p>
    <w:p>
      <w:pPr>
        <w:spacing w:line="336" w:lineRule="exact"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5</w:t>
      </w:r>
      <w:r>
        <w:rPr>
          <w:rFonts w:ascii="微软雅黑" w:hAnsi="微软雅黑" w:cs="微软雅黑" w:eastAsia="微软雅黑" w:hint="default"/>
          <w:b/>
          <w:bCs/>
          <w:sz w:val="21"/>
          <w:szCs w:val="21"/>
        </w:rPr>
        <w:t>）在建工程的说明</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19</w:t>
      </w:r>
      <w:r>
        <w:rPr>
          <w:rFonts w:ascii="微软雅黑" w:hAnsi="微软雅黑" w:cs="微软雅黑" w:eastAsia="微软雅黑" w:hint="default"/>
          <w:b/>
          <w:bCs/>
          <w:sz w:val="21"/>
          <w:szCs w:val="21"/>
        </w:rPr>
        <w:t>、工程物资</w:t>
      </w:r>
      <w:r>
        <w:rPr>
          <w:rFonts w:ascii="微软雅黑" w:hAnsi="微软雅黑" w:cs="微软雅黑" w:eastAsia="微软雅黑" w:hint="default"/>
          <w:sz w:val="21"/>
          <w:szCs w:val="21"/>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0"/>
        <w:jc w:val="left"/>
      </w:pPr>
      <w:r>
        <w:rPr/>
        <w:t>工程物资的说明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20</w:t>
      </w:r>
      <w:r>
        <w:rPr/>
        <w:t>、固定资产清理</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after="0" w:line="240" w:lineRule="auto"/>
        <w:jc w:val="left"/>
        <w:rPr>
          <w:rFonts w:ascii="宋体" w:hAnsi="宋体" w:cs="宋体" w:eastAsia="宋体" w:hint="default"/>
          <w:sz w:val="18"/>
          <w:szCs w:val="18"/>
        </w:rPr>
        <w:sectPr>
          <w:pgSz w:w="11910" w:h="16840"/>
          <w:pgMar w:header="745" w:footer="1277"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说明转入固定资产清理起始时间已超过</w:t>
      </w:r>
      <w:r>
        <w:rPr>
          <w:spacing w:val="-44"/>
        </w:rPr>
        <w:t> </w:t>
      </w:r>
      <w:r>
        <w:rPr>
          <w:rFonts w:ascii="宋体" w:hAnsi="宋体" w:cs="宋体" w:eastAsia="宋体" w:hint="default"/>
        </w:rPr>
        <w:t>1</w:t>
      </w:r>
      <w:r>
        <w:rPr>
          <w:rFonts w:ascii="宋体" w:hAnsi="宋体" w:cs="宋体" w:eastAsia="宋体" w:hint="default"/>
          <w:spacing w:val="-46"/>
        </w:rPr>
        <w:t> </w:t>
      </w:r>
      <w:r>
        <w:rPr/>
        <w:t>年的固定资产清理进展情况</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21</w:t>
      </w:r>
      <w:r>
        <w:rPr/>
        <w:t>、生产性生物资产</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）以成本计量</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3"/>
        <w:gridCol w:w="1730"/>
        <w:gridCol w:w="1860"/>
        <w:gridCol w:w="2127"/>
        <w:gridCol w:w="1860"/>
      </w:tblGrid>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621,695.37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60,679.47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208,248.98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474,125.86</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621,695.37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60,679.47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208,248.98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474,125.86</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）以公允价值计量</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240" w:lineRule="auto" w:before="49"/>
        <w:ind w:right="0"/>
        <w:jc w:val="left"/>
      </w:pPr>
      <w:r>
        <w:rPr/>
        <w:t>生产性生物资产的说明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22</w:t>
      </w:r>
      <w:r>
        <w:rPr/>
        <w:t>、油气资产</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403"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right="0"/>
        <w:jc w:val="left"/>
      </w:pPr>
      <w:r>
        <w:rPr/>
        <w:t>油气资产的说明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23</w:t>
      </w:r>
      <w:r>
        <w:rPr/>
        <w:t>、无形资产</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）无形资产情况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74"/>
        <w:gridCol w:w="1855"/>
        <w:gridCol w:w="1844"/>
        <w:gridCol w:w="1844"/>
        <w:gridCol w:w="1843"/>
      </w:tblGrid>
      <w:tr>
        <w:trPr>
          <w:trHeight w:val="403"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43,848,816.00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629,800.00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44,478,616.00</w:t>
            </w:r>
          </w:p>
        </w:tc>
      </w:tr>
      <w:tr>
        <w:trPr>
          <w:trHeight w:val="403" w:hRule="exact"/>
        </w:trPr>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77"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11,848,816.00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11,848,816.00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535,500.00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21,144,056.70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193,824.82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21,337,881.52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3,554,056.70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153,409.82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3,707,466.52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4,715.00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4,715.00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22,704,759.30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435,975.18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23,140,734.48</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-153,409.82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8,294,759.30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8,141,349.48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89,585.00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8,294,759.30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435,975.18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8,730,734.48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8,294,759.30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-153,409.82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8,141,349.48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89,585.00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89,585.00</w:t>
            </w:r>
          </w:p>
        </w:tc>
      </w:tr>
    </w:tbl>
    <w:p>
      <w:pPr>
        <w:pStyle w:val="BodyText"/>
        <w:spacing w:line="240" w:lineRule="auto" w:before="49"/>
        <w:ind w:right="0"/>
        <w:jc w:val="left"/>
      </w:pPr>
      <w:r>
        <w:rPr/>
        <w:t>本期摊销额</w:t>
      </w:r>
      <w:r>
        <w:rPr>
          <w:spacing w:val="-46"/>
        </w:rPr>
        <w:t> </w:t>
      </w:r>
      <w:r>
        <w:rPr>
          <w:rFonts w:ascii="宋体" w:hAnsi="宋体" w:cs="宋体" w:eastAsia="宋体" w:hint="default"/>
        </w:rPr>
        <w:t>193,824.82</w:t>
      </w:r>
      <w:r>
        <w:rPr>
          <w:rFonts w:ascii="宋体" w:hAnsi="宋体" w:cs="宋体" w:eastAsia="宋体" w:hint="default"/>
          <w:spacing w:val="-47"/>
        </w:rPr>
        <w:t> </w:t>
      </w:r>
      <w:r>
        <w:rPr/>
        <w:t>元。</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）公司开发项目支出</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49"/>
        <w:ind w:right="5354"/>
        <w:jc w:val="left"/>
      </w:pPr>
      <w:r>
        <w:rPr/>
        <w:t>本期开发支出占本期研究开发项目支出总额的比例。 通过公司内部研发形成的无形资产占无形资产期末账面价值的比例。</w:t>
      </w:r>
    </w:p>
    <w:p>
      <w:pPr>
        <w:pStyle w:val="BodyText"/>
        <w:spacing w:line="240" w:lineRule="auto" w:before="29"/>
        <w:ind w:right="0"/>
        <w:jc w:val="left"/>
      </w:pPr>
      <w:r>
        <w:rPr>
          <w:spacing w:val="-2"/>
        </w:rPr>
        <w:t>公司开发项目的说明，包括本期发生的单项价值在</w:t>
      </w:r>
      <w:r>
        <w:rPr/>
        <w:t> </w:t>
      </w:r>
      <w:r>
        <w:rPr>
          <w:rFonts w:ascii="宋体" w:hAnsi="宋体" w:cs="宋体" w:eastAsia="宋体" w:hint="default"/>
          <w:spacing w:val="-1"/>
        </w:rPr>
        <w:t>100</w:t>
      </w:r>
      <w:r>
        <w:rPr>
          <w:rFonts w:ascii="宋体" w:hAnsi="宋体" w:cs="宋体" w:eastAsia="宋体" w:hint="default"/>
          <w:spacing w:val="-68"/>
        </w:rPr>
        <w:t> </w:t>
      </w:r>
      <w:r>
        <w:rPr>
          <w:spacing w:val="-2"/>
        </w:rPr>
        <w:t>万元以上且以评估值为入账依据的，应披露评估机构名称、评估方法</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24</w:t>
      </w:r>
      <w:r>
        <w:rPr/>
        <w:t>、商誉</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1277" w:top="1060" w:bottom="146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780616"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2526"/>
        <w:gridCol w:w="1462"/>
        <w:gridCol w:w="1460"/>
        <w:gridCol w:w="1459"/>
        <w:gridCol w:w="1462"/>
        <w:gridCol w:w="1198"/>
      </w:tblGrid>
      <w:tr>
        <w:trPr>
          <w:trHeight w:val="71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79"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pStyle w:val="BodyText"/>
        <w:spacing w:line="240" w:lineRule="auto" w:before="50"/>
        <w:ind w:right="0"/>
        <w:jc w:val="left"/>
      </w:pPr>
      <w:r>
        <w:rPr/>
        <w:t>说明商誉的减值测试方法和减值准备计提方法</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25</w:t>
      </w:r>
      <w:r>
        <w:rPr/>
        <w:t>、长期待摊费用</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1,210,855.54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952,378.81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488,996.59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1,674,237.76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30,217.16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30,217.16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成品木架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41,866.76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26,166.76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叉车木价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96,960.00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23,960.00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117,400.00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蛋鸡场大维修工 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220,789.15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71,657.84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479,131.31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1,548,128.61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1,379,338.81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630,531.59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2,296,935.83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t>长期待摊费用的说明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26</w:t>
      </w:r>
      <w:r>
        <w:rPr/>
        <w:t>、递延所得税资产和递延所得税负债</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）递延所得税资产和递延所得税负债不以抵销后的净额列示</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21"/>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0"/>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0"/>
        <w:ind w:right="0"/>
        <w:jc w:val="left"/>
      </w:pPr>
      <w:r>
        <w:rPr/>
        <w:t>未确认递延所得税资产的可抵扣亏损将于以下年度到期</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应纳税差异和可抵扣差异项目明细</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3"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footerReference w:type="default" r:id="rId34"/>
          <w:pgSz w:w="11910" w:h="16840"/>
          <w:pgMar w:footer="980" w:header="745" w:top="1060" w:bottom="1160" w:left="980" w:right="0"/>
          <w:pgNumType w:start="108"/>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2440" type="#_x0000_t75" stroked="false">
            <v:imagedata r:id="rId13" o:title=""/>
          </v:shape>
        </w:pict>
      </w:r>
    </w:p>
    <w:p>
      <w:pPr>
        <w:pStyle w:val="Heading3"/>
        <w:spacing w:line="336" w:lineRule="exact"/>
        <w:ind w:right="0"/>
        <w:jc w:val="left"/>
        <w:rPr>
          <w:b w:val="0"/>
          <w:bCs w:val="0"/>
        </w:rPr>
      </w:pPr>
      <w:r>
        <w:rPr/>
        <w:t>（</w:t>
      </w:r>
      <w:r>
        <w:rPr>
          <w:rFonts w:ascii="Arial" w:hAnsi="Arial" w:cs="Arial" w:eastAsia="Arial" w:hint="default"/>
        </w:rPr>
        <w:t>2</w:t>
      </w:r>
      <w:r>
        <w:rPr/>
        <w:t>）递延所得税资产和递延所得税负债以抵销后的净额列示</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互抵后的递延所得税资产及负债的组成项目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627"/>
        <w:gridCol w:w="1628"/>
        <w:gridCol w:w="1628"/>
        <w:gridCol w:w="1630"/>
      </w:tblGrid>
      <w:tr>
        <w:trPr>
          <w:trHeight w:val="102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bl>
    <w:p>
      <w:pPr>
        <w:pStyle w:val="BodyText"/>
        <w:spacing w:line="240" w:lineRule="auto" w:before="50"/>
        <w:ind w:right="0"/>
        <w:jc w:val="left"/>
      </w:pPr>
      <w:r>
        <w:rPr/>
        <w:t>递延所得税资产和递延所得税负债互抵明细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0"/>
        <w:jc w:val="left"/>
      </w:pPr>
      <w:r>
        <w:rPr/>
        <w:t>递延所得税资产和递延所得税负债的说明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27</w:t>
      </w:r>
      <w:r>
        <w:rPr/>
        <w:t>、资产减值准备明细</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226,921,614.33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533,858.60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36,879.00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227,418,593.93</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5,082,932.02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46,869.23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333,364.02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4,796,437.23</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90,555,775.72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90,555,775.72</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11,834,157.26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2,852,759.50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8,981,397.76</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14,410,000.00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14,410,000.00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348,804,479.33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580,727.83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36,879.00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3,186,123.52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346,162,204.64</w:t>
            </w:r>
          </w:p>
        </w:tc>
      </w:tr>
    </w:tbl>
    <w:p>
      <w:pPr>
        <w:pStyle w:val="BodyText"/>
        <w:spacing w:line="240" w:lineRule="auto" w:before="49"/>
        <w:ind w:right="0"/>
        <w:jc w:val="left"/>
      </w:pPr>
      <w:r>
        <w:rPr/>
        <w:t>资产减值明细情况的说明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28</w:t>
      </w:r>
      <w:r>
        <w:rPr/>
        <w:t>、其他非流动资产</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0"/>
        <w:jc w:val="left"/>
      </w:pPr>
      <w:r>
        <w:rPr/>
        <w:t>其他非流动资产的说明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29</w:t>
      </w:r>
      <w:r>
        <w:rPr/>
        <w:t>、短期借款</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）短期借款分类</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0"/>
        <w:jc w:val="left"/>
      </w:pPr>
      <w:r>
        <w:rPr/>
        <w:t>短期借款分类的说明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2</w:t>
      </w:r>
      <w:r>
        <w:rPr/>
        <w:t>）已到期未偿还的短期借款情况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49"/>
        <w:ind w:right="4634"/>
        <w:jc w:val="left"/>
      </w:pPr>
      <w:r>
        <w:rPr/>
        <w:t>资产负债表日后已偿还金额元。 短期借款的说明，包括已到期短期借款获展期的，说明展期条件、新的到期日</w:t>
      </w: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r>
        <w:rPr>
          <w:rFonts w:ascii="Arial" w:hAnsi="Arial" w:cs="Arial" w:eastAsia="Arial" w:hint="default"/>
        </w:rPr>
        <w:t>30</w:t>
      </w:r>
      <w:r>
        <w:rPr/>
        <w:t>、交易性金融负债</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43"/>
      </w:tblGrid>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40" w:lineRule="auto" w:before="49"/>
        <w:ind w:right="0"/>
        <w:jc w:val="left"/>
      </w:pPr>
      <w:r>
        <w:rPr/>
        <w:t>交易性金融负债的说明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31</w:t>
      </w:r>
      <w:r>
        <w:rPr/>
        <w:t>、应付票据</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18,997,646.50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18,997,646.50</w:t>
            </w:r>
          </w:p>
        </w:tc>
      </w:tr>
    </w:tbl>
    <w:p>
      <w:pPr>
        <w:pStyle w:val="BodyText"/>
        <w:spacing w:line="357" w:lineRule="auto" w:before="49"/>
        <w:ind w:right="7784"/>
        <w:jc w:val="left"/>
      </w:pPr>
      <w:r>
        <w:rPr/>
        <w:t>下一会计期间将到期的金额</w:t>
      </w:r>
      <w:r>
        <w:rPr>
          <w:spacing w:val="-44"/>
        </w:rPr>
        <w:t> </w:t>
      </w:r>
      <w:r>
        <w:rPr>
          <w:rFonts w:ascii="宋体" w:hAnsi="宋体" w:cs="宋体" w:eastAsia="宋体" w:hint="default"/>
        </w:rPr>
        <w:t>0.00</w:t>
      </w:r>
      <w:r>
        <w:rPr>
          <w:rFonts w:ascii="宋体" w:hAnsi="宋体" w:cs="宋体" w:eastAsia="宋体" w:hint="default"/>
          <w:spacing w:val="-46"/>
        </w:rPr>
        <w:t> </w:t>
      </w:r>
      <w:r>
        <w:rPr/>
        <w:t>元。 应付票据的说明</w:t>
      </w: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r>
        <w:rPr>
          <w:rFonts w:ascii="Arial" w:hAnsi="Arial" w:cs="Arial" w:eastAsia="Arial" w:hint="default"/>
        </w:rPr>
        <w:t>32</w:t>
      </w:r>
      <w:r>
        <w:rPr/>
        <w:t>、应付账款</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）应付账款情况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48,027,250.83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43,548,346.84</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854,739.51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2,206,297.73</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334,628.50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1,686,126.71</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736,489.44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187,121.01</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49,953,108.28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47,627,892.29</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）本报告期应付账款中应付持有公司 </w:t>
      </w:r>
      <w:r>
        <w:rPr>
          <w:rFonts w:ascii="Arial" w:hAnsi="Arial" w:cs="Arial" w:eastAsia="Arial" w:hint="default"/>
        </w:rPr>
        <w:t>5</w:t>
      </w:r>
      <w:r>
        <w:rPr/>
        <w:t>％（含</w:t>
      </w:r>
      <w:r>
        <w:rPr>
          <w:spacing w:val="-26"/>
        </w:rPr>
        <w:t> </w:t>
      </w:r>
      <w:r>
        <w:rPr>
          <w:rFonts w:ascii="Arial" w:hAnsi="Arial" w:cs="Arial" w:eastAsia="Arial" w:hint="default"/>
        </w:rPr>
        <w:t>5</w:t>
      </w:r>
      <w:r>
        <w:rPr/>
        <w:t>％）以上表决权股份的股东单位款项</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footerReference w:type="default" r:id="rId35"/>
          <w:pgSz w:w="11910" w:h="16840"/>
          <w:pgMar w:footer="1340" w:header="745" w:top="1060" w:bottom="1540" w:left="980" w:right="0"/>
          <w:pgNumType w:start="11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3</w:t>
      </w:r>
      <w:r>
        <w:rPr/>
        <w:t>）账龄超过一年的大额应付账款情况的说明</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33</w:t>
      </w:r>
      <w:r>
        <w:rPr>
          <w:rFonts w:ascii="微软雅黑" w:hAnsi="微软雅黑" w:cs="微软雅黑" w:eastAsia="微软雅黑" w:hint="default"/>
          <w:b/>
          <w:bCs/>
          <w:sz w:val="21"/>
          <w:szCs w:val="21"/>
        </w:rPr>
        <w:t>、预收账款</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）预收账款情况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2,516,852.69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2,408,427.35</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12,469.82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545,749.63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176,558.85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37,245.53</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533,827.03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779,753.31</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3,239,708.39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3,771,175.82</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）本报告期预收账款中预收持有公司 </w:t>
      </w:r>
      <w:r>
        <w:rPr>
          <w:rFonts w:ascii="Arial" w:hAnsi="Arial" w:cs="Arial" w:eastAsia="Arial" w:hint="default"/>
        </w:rPr>
        <w:t>5</w:t>
      </w:r>
      <w:r>
        <w:rPr/>
        <w:t>％（含</w:t>
      </w:r>
      <w:r>
        <w:rPr>
          <w:spacing w:val="-26"/>
        </w:rPr>
        <w:t> </w:t>
      </w:r>
      <w:r>
        <w:rPr>
          <w:rFonts w:ascii="Arial" w:hAnsi="Arial" w:cs="Arial" w:eastAsia="Arial" w:hint="default"/>
        </w:rPr>
        <w:t>5</w:t>
      </w:r>
      <w:r>
        <w:rPr/>
        <w:t>％）以上表决权股份的股东单位款项</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）账龄超过一年的大额预收账款情况的说明</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34</w:t>
      </w:r>
      <w:r>
        <w:rPr>
          <w:rFonts w:ascii="微软雅黑" w:hAnsi="微软雅黑" w:cs="微软雅黑" w:eastAsia="微软雅黑" w:hint="default"/>
          <w:b/>
          <w:bCs/>
          <w:sz w:val="21"/>
          <w:szCs w:val="21"/>
        </w:rPr>
        <w:t>、应付职工薪酬</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3,454,285.91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46,548,243.41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47,100,365.87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2,902,163.45</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2,851,826.02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2,851,826.02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2,798,571.55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2,798,271.55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300.00</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706,435.40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706,435.40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2,114,194.54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2,371,326.86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3,901,874.03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583,647.37</w:t>
            </w:r>
          </w:p>
        </w:tc>
      </w:tr>
      <w:tr>
        <w:trPr>
          <w:trHeight w:val="40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5,568,480.45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55,276,403.24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57,358,772.87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3,486,110.82</w:t>
            </w:r>
          </w:p>
        </w:tc>
      </w:tr>
    </w:tbl>
    <w:p>
      <w:pPr>
        <w:pStyle w:val="BodyText"/>
        <w:spacing w:line="240" w:lineRule="auto" w:before="49"/>
        <w:ind w:right="0"/>
        <w:jc w:val="left"/>
      </w:pPr>
      <w:r>
        <w:rPr/>
        <w:t>应付职工薪酬中属于拖欠性质的金额</w:t>
      </w:r>
      <w:r>
        <w:rPr>
          <w:spacing w:val="-44"/>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360" w:lineRule="auto" w:before="115"/>
        <w:ind w:right="2030"/>
        <w:jc w:val="left"/>
      </w:pPr>
      <w:r>
        <w:rPr/>
        <w:t>工会经费和职工教育经费金额</w:t>
      </w:r>
      <w:r>
        <w:rPr>
          <w:spacing w:val="-46"/>
        </w:rPr>
        <w:t> </w:t>
      </w:r>
      <w:r>
        <w:rPr>
          <w:rFonts w:ascii="宋体" w:hAnsi="宋体" w:cs="宋体" w:eastAsia="宋体" w:hint="default"/>
        </w:rPr>
        <w:t>583,647.37</w:t>
      </w:r>
      <w:r>
        <w:rPr>
          <w:rFonts w:ascii="宋体" w:hAnsi="宋体" w:cs="宋体" w:eastAsia="宋体" w:hint="default"/>
          <w:spacing w:val="-46"/>
        </w:rPr>
        <w:t> </w:t>
      </w:r>
      <w:r>
        <w:rPr/>
        <w:t>元，非货币性福利金额</w:t>
      </w:r>
      <w:r>
        <w:rPr>
          <w:spacing w:val="-45"/>
        </w:rPr>
        <w:t> </w:t>
      </w:r>
      <w:r>
        <w:rPr>
          <w:rFonts w:ascii="宋体" w:hAnsi="宋体" w:cs="宋体" w:eastAsia="宋体" w:hint="default"/>
        </w:rPr>
        <w:t>0.00</w:t>
      </w:r>
      <w:r>
        <w:rPr>
          <w:rFonts w:ascii="宋体" w:hAnsi="宋体" w:cs="宋体" w:eastAsia="宋体" w:hint="default"/>
          <w:spacing w:val="-47"/>
        </w:rPr>
        <w:t> </w:t>
      </w:r>
      <w:r>
        <w:rPr/>
        <w:t>元，因解除劳动关系给予补偿</w:t>
      </w:r>
      <w:r>
        <w:rPr>
          <w:spacing w:val="-45"/>
        </w:rPr>
        <w:t> </w:t>
      </w:r>
      <w:r>
        <w:rPr>
          <w:rFonts w:ascii="宋体" w:hAnsi="宋体" w:cs="宋体" w:eastAsia="宋体" w:hint="default"/>
        </w:rPr>
        <w:t>0.00</w:t>
      </w:r>
      <w:r>
        <w:rPr>
          <w:rFonts w:ascii="宋体" w:hAnsi="宋体" w:cs="宋体" w:eastAsia="宋体" w:hint="default"/>
          <w:spacing w:val="-47"/>
        </w:rPr>
        <w:t> </w:t>
      </w:r>
      <w:r>
        <w:rPr/>
        <w:t>元。 应付职工薪酬预计发放时间、金额等安排</w:t>
      </w:r>
    </w:p>
    <w:p>
      <w:pPr>
        <w:spacing w:line="312" w:lineRule="exact" w:before="7"/>
        <w:ind w:left="152" w:right="1154" w:firstLine="0"/>
        <w:jc w:val="left"/>
        <w:rPr>
          <w:rFonts w:ascii="宋体" w:hAnsi="宋体" w:cs="宋体" w:eastAsia="宋体" w:hint="default"/>
          <w:sz w:val="24"/>
          <w:szCs w:val="24"/>
        </w:rPr>
      </w:pPr>
      <w:r>
        <w:rPr>
          <w:rFonts w:ascii="宋体" w:hAnsi="宋体" w:cs="宋体" w:eastAsia="宋体" w:hint="default"/>
          <w:sz w:val="24"/>
          <w:szCs w:val="24"/>
        </w:rPr>
        <w:t>本公司不存在拖欠职工薪酬的情况，年末应付职工薪酬余额中工资、奖金等发放时间主要在 </w:t>
      </w:r>
      <w:r>
        <w:rPr>
          <w:rFonts w:ascii="宋体" w:hAnsi="宋体" w:cs="宋体" w:eastAsia="宋体" w:hint="default"/>
          <w:sz w:val="24"/>
          <w:szCs w:val="24"/>
        </w:rPr>
        <w:t>2013</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月份。</w:t>
      </w:r>
    </w:p>
    <w:p>
      <w:pPr>
        <w:spacing w:after="0" w:line="312" w:lineRule="exact"/>
        <w:jc w:val="left"/>
        <w:rPr>
          <w:rFonts w:ascii="宋体" w:hAnsi="宋体" w:cs="宋体" w:eastAsia="宋体" w:hint="default"/>
          <w:sz w:val="24"/>
          <w:szCs w:val="24"/>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35</w:t>
      </w:r>
      <w:r>
        <w:rPr/>
        <w:t>、应交税费</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2,006,746.23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2,528,798.25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82,788.63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25,052.82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37,774.81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2,344,225.78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154,833.76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90,484.28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120,878.55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239,053.31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89,750.38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118,658.19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545.69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640.84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30,394.63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48,613.73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40,800.00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2,564,512.68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5,395,527.20</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36</w:t>
      </w:r>
      <w:r>
        <w:rPr/>
        <w:t>、应付利息</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26,149.00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26,149.00</w:t>
            </w:r>
          </w:p>
        </w:tc>
        <w:tc>
          <w:tcPr>
            <w:tcW w:w="26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应付利息说明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37</w:t>
      </w:r>
      <w:r>
        <w:rPr/>
        <w:t>、应付股利</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240" w:lineRule="auto" w:before="49"/>
        <w:ind w:right="0"/>
        <w:jc w:val="left"/>
      </w:pPr>
      <w:r>
        <w:rPr/>
        <w:t>应付股利的说明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38</w:t>
      </w:r>
      <w:r>
        <w:rPr/>
        <w:t>、其他应付款</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）其他应付款情况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7,011,286.53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4,678,962.80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658,710.24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20,807,291.45</w:t>
            </w:r>
          </w:p>
        </w:tc>
      </w:tr>
    </w:tbl>
    <w:p>
      <w:pPr>
        <w:spacing w:after="0" w:line="240" w:lineRule="auto"/>
        <w:jc w:val="righ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20,498,121.01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606,628.57</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1,999,763.84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1,647,494.46</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30,167,881.62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27,740,377.28</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）本报告期其他应付款中应付持有公司 </w:t>
      </w:r>
      <w:r>
        <w:rPr>
          <w:rFonts w:ascii="Arial" w:hAnsi="Arial" w:cs="Arial" w:eastAsia="Arial" w:hint="default"/>
        </w:rPr>
        <w:t>5</w:t>
      </w:r>
      <w:r>
        <w:rPr/>
        <w:t>％（含</w:t>
      </w:r>
      <w:r>
        <w:rPr>
          <w:spacing w:val="-25"/>
        </w:rPr>
        <w:t> </w:t>
      </w:r>
      <w:r>
        <w:rPr>
          <w:rFonts w:ascii="Arial" w:hAnsi="Arial" w:cs="Arial" w:eastAsia="Arial" w:hint="default"/>
        </w:rPr>
        <w:t>5</w:t>
      </w:r>
      <w:r>
        <w:rPr/>
        <w:t>％）以上表决权股份的股东单位款项</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）账龄超过一年的大额其他应付款情况的说明</w:t>
      </w:r>
      <w:r>
        <w:rPr>
          <w:b w:val="0"/>
          <w:bCs w:val="0"/>
        </w:rPr>
      </w:r>
    </w:p>
    <w:p>
      <w:pPr>
        <w:spacing w:line="240" w:lineRule="auto" w:before="13"/>
        <w:rPr>
          <w:rFonts w:ascii="微软雅黑" w:hAnsi="微软雅黑" w:cs="微软雅黑" w:eastAsia="微软雅黑"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2682"/>
        <w:gridCol w:w="1438"/>
        <w:gridCol w:w="2943"/>
        <w:gridCol w:w="2158"/>
      </w:tblGrid>
      <w:tr>
        <w:trPr>
          <w:trHeight w:val="349"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81"/>
              <w:jc w:val="right"/>
              <w:rPr>
                <w:rFonts w:ascii="宋体" w:hAnsi="宋体" w:cs="宋体" w:eastAsia="宋体" w:hint="default"/>
                <w:sz w:val="18"/>
                <w:szCs w:val="18"/>
              </w:rPr>
            </w:pPr>
            <w:r>
              <w:rPr>
                <w:rFonts w:ascii="宋体" w:hAnsi="宋体" w:cs="宋体" w:eastAsia="宋体" w:hint="default"/>
                <w:sz w:val="18"/>
                <w:szCs w:val="18"/>
              </w:rPr>
              <w:t>债权人名称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22"/>
              <w:jc w:val="right"/>
              <w:rPr>
                <w:rFonts w:ascii="宋体" w:hAnsi="宋体" w:cs="宋体" w:eastAsia="宋体" w:hint="default"/>
                <w:sz w:val="18"/>
                <w:szCs w:val="18"/>
              </w:rPr>
            </w:pPr>
            <w:r>
              <w:rPr>
                <w:rFonts w:ascii="宋体" w:hAnsi="宋体" w:cs="宋体" w:eastAsia="宋体" w:hint="default"/>
                <w:sz w:val="18"/>
                <w:szCs w:val="18"/>
              </w:rPr>
              <w:t>未偿还的原因</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50" w:right="0"/>
              <w:jc w:val="left"/>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346"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60"/>
              <w:jc w:val="righ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18,583,171.30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41"/>
              <w:jc w:val="right"/>
              <w:rPr>
                <w:rFonts w:ascii="宋体" w:hAnsi="宋体" w:cs="宋体" w:eastAsia="宋体" w:hint="default"/>
                <w:sz w:val="18"/>
                <w:szCs w:val="18"/>
              </w:rPr>
            </w:pPr>
            <w:r>
              <w:rPr>
                <w:rFonts w:ascii="宋体" w:hAnsi="宋体" w:cs="宋体" w:eastAsia="宋体" w:hint="default"/>
                <w:sz w:val="18"/>
                <w:szCs w:val="18"/>
              </w:rPr>
              <w:t>本集团有对该公司的债权</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18,583,171.30</w:t>
            </w:r>
          </w:p>
        </w:tc>
        <w:tc>
          <w:tcPr>
            <w:tcW w:w="2943"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微软雅黑" w:hAnsi="微软雅黑" w:cs="微软雅黑" w:eastAsia="微软雅黑" w:hint="default"/>
          <w:b/>
          <w:bCs/>
          <w:sz w:val="14"/>
          <w:szCs w:val="14"/>
        </w:rPr>
      </w:pPr>
    </w:p>
    <w:p>
      <w:pPr>
        <w:spacing w:line="336" w:lineRule="exact"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4</w:t>
      </w:r>
      <w:r>
        <w:rPr>
          <w:rFonts w:ascii="微软雅黑" w:hAnsi="微软雅黑" w:cs="微软雅黑" w:eastAsia="微软雅黑" w:hint="default"/>
          <w:b/>
          <w:bCs/>
          <w:sz w:val="21"/>
          <w:szCs w:val="21"/>
        </w:rPr>
        <w:t>）金额较大的其他应付款说明内容</w:t>
      </w:r>
      <w:r>
        <w:rPr>
          <w:rFonts w:ascii="微软雅黑" w:hAnsi="微软雅黑" w:cs="微软雅黑" w:eastAsia="微软雅黑" w:hint="default"/>
          <w:sz w:val="21"/>
          <w:szCs w:val="21"/>
        </w:rPr>
      </w:r>
    </w:p>
    <w:p>
      <w:pPr>
        <w:spacing w:line="240" w:lineRule="auto" w:before="16"/>
        <w:rPr>
          <w:rFonts w:ascii="微软雅黑" w:hAnsi="微软雅黑" w:cs="微软雅黑" w:eastAsia="微软雅黑"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3517"/>
        <w:gridCol w:w="3377"/>
        <w:gridCol w:w="2321"/>
      </w:tblGrid>
      <w:tr>
        <w:trPr>
          <w:trHeight w:val="346"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05"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48"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18,583,171.30</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348"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18,583,171.30</w:t>
            </w:r>
          </w:p>
        </w:tc>
        <w:tc>
          <w:tcPr>
            <w:tcW w:w="232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微软雅黑" w:hAnsi="微软雅黑" w:cs="微软雅黑" w:eastAsia="微软雅黑" w:hint="default"/>
          <w:b/>
          <w:bCs/>
          <w:sz w:val="20"/>
          <w:szCs w:val="20"/>
        </w:rPr>
      </w:pPr>
    </w:p>
    <w:p>
      <w:pPr>
        <w:spacing w:line="240" w:lineRule="auto" w:before="11"/>
        <w:rPr>
          <w:rFonts w:ascii="微软雅黑" w:hAnsi="微软雅黑" w:cs="微软雅黑" w:eastAsia="微软雅黑" w:hint="default"/>
          <w:b/>
          <w:bCs/>
          <w:sz w:val="12"/>
          <w:szCs w:val="12"/>
        </w:rPr>
      </w:pPr>
    </w:p>
    <w:p>
      <w:pPr>
        <w:spacing w:line="336" w:lineRule="exact"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39</w:t>
      </w:r>
      <w:r>
        <w:rPr>
          <w:rFonts w:ascii="微软雅黑" w:hAnsi="微软雅黑" w:cs="微软雅黑" w:eastAsia="微软雅黑" w:hint="default"/>
          <w:b/>
          <w:bCs/>
          <w:sz w:val="21"/>
          <w:szCs w:val="21"/>
        </w:rPr>
        <w:t>、预计负债</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0"/>
        <w:jc w:val="left"/>
      </w:pPr>
      <w:r>
        <w:rPr/>
        <w:t>预计负债说明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40</w:t>
      </w:r>
      <w:r>
        <w:rPr/>
        <w:t>、一年内到期的非流动负债</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）一年内到期的非流动负债情况</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2,699,196.00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2,699,196.00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）一年内到期的长期借款</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right="0"/>
        <w:jc w:val="left"/>
      </w:pPr>
      <w:r>
        <w:rPr/>
        <w:t>一年内到期的长期借款</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2,699,196.00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2,699,196.00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pStyle w:val="BodyText"/>
        <w:spacing w:line="357"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3" w:space="39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0"/>
        <w:gridCol w:w="1621"/>
        <w:gridCol w:w="1620"/>
        <w:gridCol w:w="540"/>
        <w:gridCol w:w="540"/>
        <w:gridCol w:w="900"/>
        <w:gridCol w:w="1261"/>
        <w:gridCol w:w="900"/>
        <w:gridCol w:w="929"/>
      </w:tblGrid>
      <w:tr>
        <w:trPr>
          <w:trHeight w:val="403" w:hRule="exact"/>
        </w:trPr>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4"/>
              <w:ind w:left="86"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1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621" w:type="dxa"/>
            <w:vMerge/>
            <w:tcBorders>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惠州市华宝饲 料有限公司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人民 币元</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8.32%</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6" w:right="0"/>
              <w:jc w:val="center"/>
              <w:rPr>
                <w:rFonts w:ascii="宋体" w:hAnsi="宋体" w:cs="宋体" w:eastAsia="宋体" w:hint="default"/>
                <w:sz w:val="18"/>
                <w:szCs w:val="18"/>
              </w:rPr>
            </w:pPr>
            <w:r>
              <w:rPr>
                <w:rFonts w:ascii="宋体"/>
                <w:sz w:val="18"/>
              </w:rPr>
              <w:t>2,699,196.00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2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138" w:right="0"/>
              <w:jc w:val="center"/>
              <w:rPr>
                <w:rFonts w:ascii="宋体" w:hAnsi="宋体" w:cs="宋体" w:eastAsia="宋体" w:hint="default"/>
                <w:sz w:val="18"/>
                <w:szCs w:val="18"/>
              </w:rPr>
            </w:pPr>
            <w:r>
              <w:rPr>
                <w:rFonts w:ascii="宋体"/>
                <w:sz w:val="18"/>
              </w:rPr>
              <w:t>2,699,196.00</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12" w:space="0" w:color="D2D2D2"/>
              <w:bottom w:val="single" w:sz="4" w:space="0" w:color="000000"/>
              <w:right w:val="single" w:sz="4" w:space="0" w:color="000000"/>
            </w:tcBorders>
          </w:tcPr>
          <w:p>
            <w:pPr/>
          </w:p>
        </w:tc>
      </w:tr>
    </w:tbl>
    <w:p>
      <w:pPr>
        <w:pStyle w:val="BodyText"/>
        <w:spacing w:line="240" w:lineRule="auto" w:before="49"/>
        <w:ind w:right="0"/>
        <w:jc w:val="left"/>
      </w:pPr>
      <w:r>
        <w:rPr/>
        <w:t>一年内到期的长期借款中的逾期借款</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8054"/>
        <w:jc w:val="left"/>
      </w:pPr>
      <w:r>
        <w:rPr/>
        <w:t>资产负债表日后已偿还的金额元。 一年内到期的长期借款说明</w:t>
      </w: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r>
        <w:rPr/>
        <w:t>（</w:t>
      </w:r>
      <w:r>
        <w:rPr>
          <w:rFonts w:ascii="Arial" w:hAnsi="Arial" w:cs="Arial" w:eastAsia="Arial" w:hint="default"/>
        </w:rPr>
        <w:t>3</w:t>
      </w:r>
      <w:r>
        <w:rPr/>
        <w:t>）一年内到期的应付债券</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一年内到期的应付债券说明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4</w:t>
      </w:r>
      <w:r>
        <w:rPr/>
        <w:t>）一年内到期的长期应付款</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49"/>
        <w:ind w:right="0"/>
        <w:jc w:val="left"/>
      </w:pPr>
      <w:r>
        <w:rPr/>
        <w:t>一年内到期的长期应付款的说明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41</w:t>
      </w:r>
      <w:r>
        <w:rPr/>
        <w:t>、其他流动负债</w:t>
      </w:r>
      <w:r>
        <w:rPr>
          <w:b w:val="0"/>
          <w:bCs w:val="0"/>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预收停车场出租收入</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1,556,359.91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1,540,033.04</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未申报债权应偿付金额</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9,079,134.68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1,556,359.91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10,619,167.72</w:t>
            </w:r>
          </w:p>
        </w:tc>
      </w:tr>
    </w:tbl>
    <w:p>
      <w:pPr>
        <w:pStyle w:val="BodyText"/>
        <w:spacing w:line="240" w:lineRule="auto" w:before="49"/>
        <w:ind w:right="0"/>
        <w:jc w:val="left"/>
      </w:pPr>
      <w:r>
        <w:rPr/>
        <w:t>其他流动负债说明</w:t>
      </w:r>
    </w:p>
    <w:p>
      <w:pPr>
        <w:spacing w:after="0" w:line="240" w:lineRule="auto"/>
        <w:jc w:val="left"/>
        <w:sectPr>
          <w:type w:val="continuous"/>
          <w:pgSz w:w="11910" w:h="16840"/>
          <w:pgMar w:top="106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780568" type="#_x0000_t75" stroked="false">
            <v:imagedata r:id="rId13" o:title=""/>
          </v:shape>
        </w:pict>
      </w:r>
    </w:p>
    <w:p>
      <w:pPr>
        <w:spacing w:line="240" w:lineRule="auto" w:before="2"/>
        <w:rPr>
          <w:rFonts w:ascii="宋体" w:hAnsi="宋体" w:cs="宋体" w:eastAsia="宋体" w:hint="default"/>
          <w:sz w:val="15"/>
          <w:szCs w:val="15"/>
        </w:rPr>
      </w:pPr>
    </w:p>
    <w:p>
      <w:pPr>
        <w:pStyle w:val="BodyText"/>
        <w:spacing w:line="477" w:lineRule="auto"/>
        <w:ind w:right="0" w:firstLine="360"/>
        <w:jc w:val="left"/>
      </w:pPr>
      <w:r>
        <w:rPr>
          <w:spacing w:val="-2"/>
        </w:rPr>
        <w:t>未申报债权应偿付金额说明：截止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日，公司重整结束已满两年，该等未申报债权已罹诉讼时效，丧失胜诉</w:t>
      </w:r>
      <w:r>
        <w:rPr/>
        <w:t> 权，可以不予清偿。因此本公司在本年度将无需清偿的未申报债权转入了营业外收入。</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Arial" w:hAnsi="Arial" w:cs="Arial" w:eastAsia="Arial" w:hint="default"/>
        </w:rPr>
        <w:t>42</w:t>
      </w:r>
      <w:r>
        <w:rPr/>
        <w:t>、长期借款</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）长期借款分类</w:t>
      </w:r>
      <w:r>
        <w:rPr>
          <w:rFonts w:ascii="微软雅黑" w:hAnsi="微软雅黑" w:cs="微软雅黑" w:eastAsia="微软雅黑" w:hint="default"/>
          <w:sz w:val="21"/>
          <w:szCs w:val="21"/>
        </w:rPr>
      </w:r>
    </w:p>
    <w:p>
      <w:pPr>
        <w:spacing w:line="240" w:lineRule="auto" w:before="4"/>
        <w:rPr>
          <w:rFonts w:ascii="微软雅黑" w:hAnsi="微软雅黑" w:cs="微软雅黑" w:eastAsia="微软雅黑"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8,578,159.83</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8,578,159.83</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4454"/>
        <w:jc w:val="left"/>
      </w:pPr>
      <w:r>
        <w:rPr/>
        <w:t>长期借款分类的说明 抵押借款为位于镇隆镇甘陂村旱亚背地段的一宗工业用地的土地使用权做抵押。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t>（</w:t>
      </w:r>
      <w:r>
        <w:rPr>
          <w:rFonts w:ascii="Arial" w:hAnsi="Arial" w:cs="Arial" w:eastAsia="Arial" w:hint="default"/>
        </w:rPr>
        <w:t>2</w:t>
      </w:r>
      <w:r>
        <w:rPr/>
        <w:t>）金额前五名的长期借款</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0"/>
        <w:gridCol w:w="1621"/>
        <w:gridCol w:w="1620"/>
        <w:gridCol w:w="540"/>
        <w:gridCol w:w="540"/>
        <w:gridCol w:w="900"/>
        <w:gridCol w:w="1261"/>
        <w:gridCol w:w="900"/>
        <w:gridCol w:w="929"/>
      </w:tblGrid>
      <w:tr>
        <w:trPr>
          <w:trHeight w:val="402" w:hRule="exact"/>
        </w:trPr>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86"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1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621" w:type="dxa"/>
            <w:vMerge/>
            <w:tcBorders>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惠州市华宝饲 料有限公司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人民 币元</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8.32%</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6" w:right="0"/>
              <w:jc w:val="center"/>
              <w:rPr>
                <w:rFonts w:ascii="宋体" w:hAnsi="宋体" w:cs="宋体" w:eastAsia="宋体" w:hint="default"/>
                <w:sz w:val="18"/>
                <w:szCs w:val="18"/>
              </w:rPr>
            </w:pPr>
            <w:r>
              <w:rPr>
                <w:rFonts w:ascii="宋体"/>
                <w:sz w:val="18"/>
              </w:rPr>
              <w:t>8,578,159.83</w:t>
            </w:r>
          </w:p>
        </w:tc>
        <w:tc>
          <w:tcPr>
            <w:tcW w:w="90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26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138" w:right="0"/>
              <w:jc w:val="center"/>
              <w:rPr>
                <w:rFonts w:ascii="宋体" w:hAnsi="宋体" w:cs="宋体" w:eastAsia="宋体" w:hint="default"/>
                <w:sz w:val="18"/>
                <w:szCs w:val="18"/>
              </w:rPr>
            </w:pPr>
            <w:r>
              <w:rPr>
                <w:rFonts w:ascii="宋体"/>
                <w:sz w:val="18"/>
              </w:rPr>
              <w:t>8,578,159.83</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12" w:space="0" w:color="D2D2D2"/>
              <w:bottom w:val="single" w:sz="4" w:space="0" w:color="000000"/>
              <w:right w:val="single" w:sz="4" w:space="0" w:color="000000"/>
            </w:tcBorders>
          </w:tcPr>
          <w:p>
            <w:pPr/>
          </w:p>
        </w:tc>
      </w:tr>
    </w:tbl>
    <w:p>
      <w:pPr>
        <w:pStyle w:val="BodyText"/>
        <w:spacing w:line="240" w:lineRule="auto" w:before="50"/>
        <w:ind w:right="0"/>
        <w:jc w:val="left"/>
      </w:pPr>
      <w:r>
        <w:rPr/>
        <w:t>长期借款说明，因逾期借款获得展期形成的长期借款，应说明获得展期的条件、本金、利息、预计还款安排等</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43</w:t>
      </w:r>
      <w:r>
        <w:rPr/>
        <w:t>、应付债券</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应付债券说明，包括可转换公司债券的转股条件、转股时间</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44</w:t>
      </w:r>
      <w:r>
        <w:rPr/>
        <w:t>、长期应付款</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）金额前五名长期应付款情况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00"/>
        <w:gridCol w:w="937"/>
        <w:gridCol w:w="1368"/>
        <w:gridCol w:w="1366"/>
        <w:gridCol w:w="1368"/>
        <w:gridCol w:w="1366"/>
        <w:gridCol w:w="1368"/>
      </w:tblGrid>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center"/>
              <w:rPr>
                <w:rFonts w:ascii="宋体" w:hAnsi="宋体" w:cs="宋体" w:eastAsia="宋体" w:hint="default"/>
                <w:sz w:val="18"/>
                <w:szCs w:val="18"/>
              </w:rPr>
            </w:pPr>
            <w:r>
              <w:rPr>
                <w:rFonts w:ascii="宋体" w:hAnsi="宋体" w:cs="宋体" w:eastAsia="宋体" w:hint="default"/>
                <w:sz w:val="18"/>
                <w:szCs w:val="18"/>
              </w:rPr>
              <w:t>物业公司本体维修金</w:t>
            </w:r>
          </w:p>
        </w:tc>
        <w:tc>
          <w:tcPr>
            <w:tcW w:w="93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663,831.25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340,951.52</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980" w:header="745" w:top="1060" w:bottom="1160" w:left="980" w:right="0"/>
          <w:pgNumType w:start="115"/>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780544" type="#_x0000_t75" stroked="false">
            <v:imagedata r:id="rId13" o:title=""/>
          </v:shape>
        </w:pict>
      </w:r>
    </w:p>
    <w:p>
      <w:pPr>
        <w:pStyle w:val="Heading3"/>
        <w:spacing w:line="336" w:lineRule="exact"/>
        <w:ind w:right="0"/>
        <w:jc w:val="left"/>
        <w:rPr>
          <w:b w:val="0"/>
          <w:bCs w:val="0"/>
        </w:rPr>
      </w:pPr>
      <w:r>
        <w:rPr/>
        <w:t>（</w:t>
      </w:r>
      <w:r>
        <w:rPr>
          <w:rFonts w:ascii="Arial" w:hAnsi="Arial" w:cs="Arial" w:eastAsia="Arial" w:hint="default"/>
        </w:rPr>
        <w:t>2</w:t>
      </w:r>
      <w:r>
        <w:rPr/>
        <w:t>）长期应付款中的应付融资租赁款明细</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49"/>
        <w:ind w:right="6794"/>
        <w:jc w:val="left"/>
      </w:pPr>
      <w:r>
        <w:rPr/>
        <w:t>由独立第三方为公司融资租赁提供担保的金额元。 长期应付款的说明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Arial" w:hAnsi="Arial" w:cs="Arial" w:eastAsia="Arial" w:hint="default"/>
        </w:rPr>
        <w:t>45</w:t>
      </w:r>
      <w:r>
        <w:rPr/>
        <w:t>、专项应付款</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240" w:lineRule="auto" w:before="50"/>
        <w:ind w:right="0"/>
        <w:jc w:val="left"/>
      </w:pPr>
      <w:r>
        <w:rPr/>
        <w:t>专项应付款说明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46</w:t>
      </w:r>
      <w:r>
        <w:rPr/>
        <w:t>、其他非流动负债</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1,620,000.00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1,620,000.00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1,930,000.00</w:t>
            </w:r>
          </w:p>
        </w:tc>
      </w:tr>
    </w:tbl>
    <w:p>
      <w:pPr>
        <w:pStyle w:val="BodyText"/>
        <w:spacing w:line="240" w:lineRule="auto" w:before="49"/>
        <w:ind w:right="0"/>
        <w:jc w:val="left"/>
      </w:pPr>
      <w:r>
        <w:rPr/>
        <w:t>其他非流动负债说明，包括本报告期取得的各类与资产相关、与收益相关的政府补助及其期末金额</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505"/>
        <w:gridCol w:w="2756"/>
        <w:gridCol w:w="2955"/>
      </w:tblGrid>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756" w:type="dxa"/>
            <w:tcBorders>
              <w:top w:val="single" w:sz="6" w:space="0" w:color="000000"/>
              <w:left w:val="single" w:sz="6" w:space="0" w:color="000000"/>
              <w:bottom w:val="single" w:sz="6" w:space="0" w:color="000000"/>
              <w:right w:val="single" w:sz="6" w:space="0" w:color="000000"/>
            </w:tcBorders>
          </w:tcPr>
          <w:p>
            <w:pPr/>
          </w:p>
        </w:tc>
        <w:tc>
          <w:tcPr>
            <w:tcW w:w="295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种鸡孵化设备的更新改造</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120,000.00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180,000.00</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良种鸡生产示范基地建设</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180,000.00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270,000.00</w:t>
            </w:r>
          </w:p>
        </w:tc>
      </w:tr>
      <w:tr>
        <w:trPr>
          <w:trHeight w:val="34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优质鸡生产示范基地建设</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80,000.00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120,000.00</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种鸡生物安全控制系统改造</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180,000.00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240,000.00</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种鸡生物安全控制系统改造</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120,000.00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160,000.00</w:t>
            </w:r>
          </w:p>
        </w:tc>
      </w:tr>
      <w:tr>
        <w:trPr>
          <w:trHeight w:val="34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农业综合开发项目</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360,000.00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480,000.00</w:t>
            </w: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优质鸡养殖生产建设</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60,000.00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80,000.00</w:t>
            </w:r>
          </w:p>
        </w:tc>
      </w:tr>
      <w:tr>
        <w:trPr>
          <w:trHeight w:val="34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蛋鸡引进及养殖项目</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320,000.00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400,000.00</w:t>
            </w:r>
          </w:p>
        </w:tc>
      </w:tr>
      <w:tr>
        <w:trPr>
          <w:trHeight w:val="349"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蛋鸡养殖项目</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200,000.00</w:t>
            </w:r>
          </w:p>
        </w:tc>
        <w:tc>
          <w:tcPr>
            <w:tcW w:w="295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合计</w:t>
            </w:r>
            <w:r>
              <w:rPr>
                <w:rFonts w:ascii="微软雅黑" w:hAnsi="微软雅黑" w:cs="微软雅黑" w:eastAsia="微软雅黑" w:hint="default"/>
                <w:sz w:val="18"/>
                <w:szCs w:val="18"/>
              </w:rPr>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b/>
                <w:spacing w:val="1"/>
                <w:w w:val="89"/>
                <w:sz w:val="18"/>
              </w:rPr>
              <w:t>1</w:t>
            </w:r>
            <w:r>
              <w:rPr>
                <w:rFonts w:ascii="Arial"/>
                <w:b/>
                <w:spacing w:val="1"/>
                <w:w w:val="179"/>
                <w:sz w:val="18"/>
              </w:rPr>
              <w:t>,</w:t>
            </w:r>
            <w:r>
              <w:rPr>
                <w:rFonts w:ascii="Arial"/>
                <w:b/>
                <w:spacing w:val="1"/>
                <w:w w:val="89"/>
                <w:sz w:val="18"/>
              </w:rPr>
              <w:t>620</w:t>
            </w:r>
            <w:r>
              <w:rPr>
                <w:rFonts w:ascii="Arial"/>
                <w:b/>
                <w:spacing w:val="1"/>
                <w:w w:val="179"/>
                <w:sz w:val="18"/>
              </w:rPr>
              <w:t>,</w:t>
            </w:r>
            <w:r>
              <w:rPr>
                <w:rFonts w:ascii="Arial"/>
                <w:b/>
                <w:spacing w:val="-2"/>
                <w:w w:val="89"/>
                <w:sz w:val="18"/>
              </w:rPr>
              <w:t>0</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sz w:val="18"/>
              </w:rPr>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b/>
                <w:spacing w:val="1"/>
                <w:w w:val="89"/>
                <w:sz w:val="18"/>
              </w:rPr>
              <w:t>1</w:t>
            </w:r>
            <w:r>
              <w:rPr>
                <w:rFonts w:ascii="Arial"/>
                <w:b/>
                <w:spacing w:val="1"/>
                <w:w w:val="179"/>
                <w:sz w:val="18"/>
              </w:rPr>
              <w:t>,</w:t>
            </w:r>
            <w:r>
              <w:rPr>
                <w:rFonts w:ascii="Arial"/>
                <w:b/>
                <w:spacing w:val="1"/>
                <w:w w:val="89"/>
                <w:sz w:val="18"/>
              </w:rPr>
              <w:t>930</w:t>
            </w:r>
            <w:r>
              <w:rPr>
                <w:rFonts w:ascii="Arial"/>
                <w:b/>
                <w:spacing w:val="1"/>
                <w:w w:val="179"/>
                <w:sz w:val="18"/>
              </w:rPr>
              <w:t>,</w:t>
            </w:r>
            <w:r>
              <w:rPr>
                <w:rFonts w:ascii="Arial"/>
                <w:b/>
                <w:spacing w:val="-2"/>
                <w:w w:val="89"/>
                <w:sz w:val="18"/>
              </w:rPr>
              <w:t>0</w:t>
            </w:r>
            <w:r>
              <w:rPr>
                <w:rFonts w:ascii="Arial"/>
                <w:b/>
                <w:spacing w:val="1"/>
                <w:w w:val="89"/>
                <w:sz w:val="18"/>
              </w:rPr>
              <w:t>00</w:t>
            </w:r>
            <w:r>
              <w:rPr>
                <w:rFonts w:ascii="Arial"/>
                <w:b/>
                <w:spacing w:val="1"/>
                <w:w w:val="179"/>
                <w:sz w:val="18"/>
              </w:rPr>
              <w:t>.</w:t>
            </w:r>
            <w:r>
              <w:rPr>
                <w:rFonts w:ascii="Arial"/>
                <w:b/>
                <w:spacing w:val="1"/>
                <w:w w:val="89"/>
                <w:sz w:val="18"/>
              </w:rPr>
              <w:t>0</w:t>
            </w:r>
            <w:r>
              <w:rPr>
                <w:rFonts w:ascii="Arial"/>
                <w:b/>
                <w:w w:val="89"/>
                <w:sz w:val="18"/>
              </w:rPr>
              <w:t>0</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6" w:lineRule="exact"/>
        <w:ind w:right="0"/>
        <w:jc w:val="left"/>
        <w:rPr>
          <w:b w:val="0"/>
          <w:bCs w:val="0"/>
        </w:rPr>
      </w:pPr>
      <w:r>
        <w:rPr>
          <w:rFonts w:ascii="Arial" w:hAnsi="Arial" w:cs="Arial" w:eastAsia="Arial" w:hint="default"/>
        </w:rPr>
        <w:t>47</w:t>
      </w:r>
      <w:r>
        <w:rPr/>
        <w:t>、股本</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325"/>
        <w:gridCol w:w="1069"/>
        <w:gridCol w:w="1195"/>
        <w:gridCol w:w="1198"/>
        <w:gridCol w:w="1195"/>
        <w:gridCol w:w="925"/>
        <w:gridCol w:w="1469"/>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5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6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2512"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1194"/>
        <w:gridCol w:w="1325"/>
        <w:gridCol w:w="1069"/>
        <w:gridCol w:w="1195"/>
        <w:gridCol w:w="1198"/>
        <w:gridCol w:w="1195"/>
        <w:gridCol w:w="925"/>
        <w:gridCol w:w="1469"/>
      </w:tblGrid>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357,973,531.00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sz w:val="18"/>
              </w:rPr>
              <w:t>357,973,531.00</w:t>
            </w:r>
          </w:p>
        </w:tc>
      </w:tr>
    </w:tbl>
    <w:p>
      <w:pPr>
        <w:pStyle w:val="BodyText"/>
        <w:spacing w:line="314" w:lineRule="auto" w:before="49"/>
        <w:ind w:right="1214"/>
        <w:jc w:val="left"/>
      </w:pPr>
      <w:r>
        <w:rPr/>
        <w:t>股本变动情况说明，本报告期内有增资或减资行为的，应披露执行验资的会计师事务所名称和验资报告文号；运行不足</w:t>
      </w:r>
      <w:r>
        <w:rPr>
          <w:spacing w:val="-43"/>
        </w:rPr>
        <w:t> </w:t>
      </w:r>
      <w:r>
        <w:rPr>
          <w:rFonts w:ascii="宋体" w:hAnsi="宋体" w:cs="宋体" w:eastAsia="宋体" w:hint="default"/>
        </w:rPr>
        <w:t>3 </w:t>
      </w:r>
      <w:r>
        <w:rPr/>
        <w:t>年的股份有限公司，设立前的年份只需说明净资产情况；有限责任公司整体变更为股份公司应说明公司设立时的验资情况</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rFonts w:ascii="Arial" w:hAnsi="Arial" w:cs="Arial" w:eastAsia="Arial" w:hint="default"/>
        </w:rPr>
        <w:t>48</w:t>
      </w:r>
      <w:r>
        <w:rPr/>
        <w:t>、库存股</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库存股情况说明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49</w:t>
      </w:r>
      <w:r>
        <w:rPr/>
        <w:t>、专项储备</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right="0"/>
        <w:jc w:val="left"/>
      </w:pPr>
      <w:r>
        <w:rPr/>
        <w:t>专项储备情况说明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50</w:t>
      </w:r>
      <w:r>
        <w:rPr/>
        <w:t>、资本公积</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247,877,838.42</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247,877,838.42</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394,770,420.83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394,770,420.83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642,648,259.25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642,648,259.25</w:t>
            </w:r>
          </w:p>
        </w:tc>
      </w:tr>
    </w:tbl>
    <w:p>
      <w:pPr>
        <w:pStyle w:val="BodyText"/>
        <w:spacing w:line="240" w:lineRule="auto" w:before="49"/>
        <w:ind w:right="0"/>
        <w:jc w:val="left"/>
      </w:pPr>
      <w:r>
        <w:rPr/>
        <w:t>资本公积说明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51</w:t>
      </w:r>
      <w:r>
        <w:rPr/>
        <w:t>、盈余公积</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58" w:right="0"/>
              <w:jc w:val="left"/>
              <w:rPr>
                <w:rFonts w:ascii="宋体" w:hAnsi="宋体" w:cs="宋体" w:eastAsia="宋体" w:hint="default"/>
                <w:sz w:val="18"/>
                <w:szCs w:val="18"/>
              </w:rPr>
            </w:pPr>
            <w:r>
              <w:rPr>
                <w:rFonts w:ascii="宋体"/>
                <w:sz w:val="18"/>
              </w:rPr>
              <w:t>65,738,593.50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65,738,593.50</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58" w:right="0"/>
              <w:jc w:val="left"/>
              <w:rPr>
                <w:rFonts w:ascii="宋体" w:hAnsi="宋体" w:cs="宋体" w:eastAsia="宋体" w:hint="default"/>
                <w:sz w:val="18"/>
                <w:szCs w:val="18"/>
              </w:rPr>
            </w:pPr>
            <w:r>
              <w:rPr>
                <w:rFonts w:ascii="宋体"/>
                <w:sz w:val="18"/>
              </w:rPr>
              <w:t>65,738,593.50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65,738,593.50</w:t>
            </w:r>
          </w:p>
        </w:tc>
      </w:tr>
    </w:tbl>
    <w:p>
      <w:pPr>
        <w:pStyle w:val="BodyText"/>
        <w:spacing w:line="240" w:lineRule="auto" w:before="49"/>
        <w:ind w:right="0"/>
        <w:jc w:val="left"/>
      </w:pPr>
      <w:r>
        <w:rPr/>
        <w:t>盈余公积说明，用盈余公积转增股本、弥补亏损、分派股利的，应说明有关决议</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52</w:t>
      </w:r>
      <w:r>
        <w:rPr/>
        <w:t>、一般风险准备</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一般风险准备情况说明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53</w:t>
      </w:r>
      <w:r>
        <w:rPr/>
        <w:t>、未分配利润</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-981,055,225.09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-981,055,225.09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4,014,789.53</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720"/>
        <w:gridCol w:w="3730"/>
        <w:gridCol w:w="2110"/>
      </w:tblGrid>
      <w:tr>
        <w:trPr>
          <w:trHeight w:val="40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45" w:right="0"/>
              <w:jc w:val="left"/>
              <w:rPr>
                <w:rFonts w:ascii="宋体" w:hAnsi="宋体" w:cs="宋体" w:eastAsia="宋体" w:hint="default"/>
                <w:sz w:val="18"/>
                <w:szCs w:val="18"/>
              </w:rPr>
            </w:pPr>
            <w:r>
              <w:rPr>
                <w:rFonts w:ascii="宋体"/>
                <w:sz w:val="18"/>
              </w:rPr>
              <w:t>-977,040,435.56</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2"/>
          <w:szCs w:val="12"/>
        </w:rPr>
      </w:pPr>
    </w:p>
    <w:p>
      <w:pPr>
        <w:pStyle w:val="BodyText"/>
        <w:spacing w:line="528" w:lineRule="auto" w:before="44"/>
        <w:ind w:right="4094"/>
        <w:jc w:val="left"/>
      </w:pPr>
      <w:r>
        <w:rPr/>
        <w:t>调整年初未分配利润明细： </w:t>
      </w:r>
      <w:r>
        <w:rPr>
          <w:rFonts w:ascii="宋体" w:hAnsi="宋体" w:cs="宋体" w:eastAsia="宋体" w:hint="default"/>
        </w:rPr>
        <w:t>1)</w:t>
      </w:r>
      <w:r>
        <w:rPr/>
        <w:t>、由于《企业会计准则》及其相关新规定进行追溯调整，影响年初未分配利润元。</w:t>
      </w:r>
    </w:p>
    <w:p>
      <w:pPr>
        <w:pStyle w:val="BodyText"/>
        <w:spacing w:line="240" w:lineRule="auto" w:before="69"/>
        <w:ind w:right="0"/>
        <w:jc w:val="left"/>
      </w:pPr>
      <w:r>
        <w:rPr>
          <w:rFonts w:ascii="宋体" w:hAnsi="宋体" w:cs="宋体" w:eastAsia="宋体" w:hint="default"/>
        </w:rPr>
        <w:t>2)</w:t>
      </w:r>
      <w:r>
        <w:rPr/>
        <w:t>、由于会计政策变更，影响年初未分配利润元。</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宋体" w:hAnsi="宋体" w:cs="宋体" w:eastAsia="宋体" w:hint="default"/>
        </w:rPr>
        <w:t>3)</w:t>
      </w:r>
      <w:r>
        <w:rPr/>
        <w:t>、由于重大会计差错更正，影响年初未分配利润元。</w:t>
      </w:r>
    </w:p>
    <w:p>
      <w:pPr>
        <w:spacing w:line="240" w:lineRule="auto" w:before="10"/>
        <w:rPr>
          <w:rFonts w:ascii="宋体" w:hAnsi="宋体" w:cs="宋体" w:eastAsia="宋体" w:hint="default"/>
          <w:sz w:val="21"/>
          <w:szCs w:val="21"/>
        </w:rPr>
      </w:pPr>
    </w:p>
    <w:p>
      <w:pPr>
        <w:pStyle w:val="BodyText"/>
        <w:spacing w:line="240" w:lineRule="auto"/>
        <w:ind w:right="0"/>
        <w:jc w:val="left"/>
      </w:pPr>
      <w:r>
        <w:rPr>
          <w:rFonts w:ascii="宋体" w:hAnsi="宋体" w:cs="宋体" w:eastAsia="宋体" w:hint="default"/>
        </w:rPr>
        <w:t>4)</w:t>
      </w:r>
      <w:r>
        <w:rPr/>
        <w:t>、由于同一控制导致的合并范围变更，影响年初未分配利润元。</w:t>
      </w:r>
    </w:p>
    <w:p>
      <w:pPr>
        <w:spacing w:line="240" w:lineRule="auto" w:before="10"/>
        <w:rPr>
          <w:rFonts w:ascii="宋体" w:hAnsi="宋体" w:cs="宋体" w:eastAsia="宋体" w:hint="default"/>
          <w:sz w:val="21"/>
          <w:szCs w:val="21"/>
        </w:rPr>
      </w:pPr>
    </w:p>
    <w:p>
      <w:pPr>
        <w:pStyle w:val="BodyText"/>
        <w:spacing w:line="530" w:lineRule="auto"/>
        <w:ind w:right="0"/>
        <w:jc w:val="left"/>
      </w:pPr>
      <w:r>
        <w:rPr>
          <w:rFonts w:ascii="宋体" w:hAnsi="宋体" w:cs="宋体" w:eastAsia="宋体" w:hint="default"/>
        </w:rPr>
        <w:t>5)</w:t>
      </w:r>
      <w:r>
        <w:rPr/>
        <w:t>、其他调整合计影响年初未分配利润元。 </w:t>
      </w:r>
      <w:r>
        <w:rPr>
          <w:spacing w:val="-2"/>
        </w:rPr>
        <w:t>未分配利润说明，对于首次公开发行证券的公司，如果发行前的滚存利润经股东大会决议由新老股东共同享有，应明确予以</w:t>
      </w:r>
    </w:p>
    <w:p>
      <w:pPr>
        <w:pStyle w:val="BodyText"/>
        <w:spacing w:line="487" w:lineRule="auto" w:before="26"/>
        <w:ind w:right="0"/>
        <w:jc w:val="left"/>
      </w:pPr>
      <w:r>
        <w:rPr>
          <w:spacing w:val="-2"/>
        </w:rPr>
        <w:t>说明；如果发行前的滚存利润经股东大会决议在发行前进行分配并由老股东享有，公司应明确披露应付股利中老股东享有的</w:t>
      </w:r>
      <w:r>
        <w:rPr>
          <w:spacing w:val="-63"/>
        </w:rPr>
        <w:t> </w:t>
      </w:r>
      <w:r>
        <w:rPr>
          <w:spacing w:val="-63"/>
        </w:rPr>
      </w:r>
      <w:r>
        <w:rPr/>
        <w:t>经审计的利润数</w:t>
      </w:r>
    </w:p>
    <w:p>
      <w:pPr>
        <w:pStyle w:val="Heading3"/>
        <w:spacing w:line="240" w:lineRule="auto" w:before="112"/>
        <w:ind w:right="0"/>
        <w:jc w:val="left"/>
        <w:rPr>
          <w:b w:val="0"/>
          <w:bCs w:val="0"/>
        </w:rPr>
      </w:pPr>
      <w:r>
        <w:rPr>
          <w:rFonts w:ascii="Arial" w:hAnsi="Arial" w:cs="Arial" w:eastAsia="Arial" w:hint="default"/>
        </w:rPr>
        <w:t>54</w:t>
      </w:r>
      <w:r>
        <w:rPr/>
        <w:t>、营业收入、营业成本</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）营业收入、营业成本</w:t>
      </w:r>
      <w:r>
        <w:rPr>
          <w:rFonts w:ascii="微软雅黑" w:hAnsi="微软雅黑" w:cs="微软雅黑" w:eastAsia="微软雅黑" w:hint="default"/>
          <w:sz w:val="21"/>
          <w:szCs w:val="21"/>
        </w:rPr>
      </w:r>
    </w:p>
    <w:p>
      <w:pPr>
        <w:spacing w:line="240" w:lineRule="auto" w:before="4"/>
        <w:rPr>
          <w:rFonts w:ascii="微软雅黑" w:hAnsi="微软雅黑" w:cs="微软雅黑" w:eastAsia="微软雅黑"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454,927,485.95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427,513,625.98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2,361,082.54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6,173,363.01</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396,785,898.71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368,483,259.33</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）主营业务（分行业）</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178,707,743.32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137,184,001.09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183,790,478.67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141,558,276.94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263,198,978.19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250,119,142.16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236,838,181.28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219,700,100.32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物业管理及出租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11,249,883.44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7,491,304.28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6,663,551.27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4,181,161.09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1,770,881.00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466,034.15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221,414.76</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454,927,485.95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395,260,481.68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427,513,625.98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365,439,538.35</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）主营业务（分产品）</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37"/>
          <w:pgSz w:w="11910" w:h="16840"/>
          <w:pgMar w:footer="1340" w:header="745" w:top="1060" w:bottom="1540" w:left="980" w:right="0"/>
          <w:pgNumType w:start="118"/>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178,707,743.32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137,184,001.09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183,790,478.67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141,558,276.94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252,264,382.89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239,326,457.10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226,499,446.68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209,805,091.73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肉鸡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10,934,595.30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10,792,685.06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10,338,734.60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9,895,008.59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物业及出租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11,249,883.44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7,491,304.28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6,663,551.27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4,181,161.09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1,770,881.00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466,034.15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221,414.76</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454,927,485.95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395,260,481.68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427,513,625.98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365,439,538.35</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4</w:t>
      </w:r>
      <w:r>
        <w:rPr/>
        <w:t>）主营业务（分地区）</w:t>
      </w:r>
      <w:r>
        <w:rPr>
          <w:b w:val="0"/>
          <w:bCs w:val="0"/>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446,401,206.71</w:t>
            </w:r>
            <w:r>
              <w:rPr>
                <w:rFonts w:ascii="宋体"/>
                <w:sz w:val="18"/>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388,451,184.47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406,975,766.60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350,583,626.63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8,526,279.24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6,809,297.21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20,537,859.38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14,855,911.72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454,927,485.95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395,260,481.68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427,513,625.98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365,439,538.35</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5</w:t>
      </w:r>
      <w:r>
        <w:rPr/>
        <w:t>）公司前五名客户的营业收入情况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东莞茶山袁照辉</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44,939,177.85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9.83%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北京国顺泰</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20,106,020.23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4.4%</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北京星杰生</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14,443,118.31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3.16%</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广州康升</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9,794,343.16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2.14%</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阳江信诚饲料经营部</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9,298,044.57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98,580,704.12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21.56%</w:t>
            </w:r>
          </w:p>
        </w:tc>
      </w:tr>
    </w:tbl>
    <w:p>
      <w:pPr>
        <w:pStyle w:val="BodyText"/>
        <w:spacing w:line="240" w:lineRule="auto" w:before="49"/>
        <w:ind w:right="0"/>
        <w:jc w:val="left"/>
      </w:pPr>
      <w:r>
        <w:rPr/>
        <w:t>营业收入的说明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55</w:t>
      </w:r>
      <w:r>
        <w:rPr/>
        <w:t>、合同项目收入</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0" w:hanging="3"/>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w w:val="105"/>
                <w:sz w:val="18"/>
                <w:szCs w:val="18"/>
              </w:rPr>
              <w:t>损以‚</w:t>
            </w:r>
            <w:r>
              <w:rPr>
                <w:rFonts w:ascii="宋体" w:hAnsi="宋体" w:cs="宋体" w:eastAsia="宋体" w:hint="default"/>
                <w:w w:val="105"/>
                <w:sz w:val="18"/>
                <w:szCs w:val="18"/>
              </w:rPr>
              <w:t>-</w:t>
            </w:r>
            <w:r>
              <w:rPr>
                <w:rFonts w:ascii="宋体" w:hAnsi="宋体" w:cs="宋体" w:eastAsia="宋体" w:hint="default"/>
                <w:w w:val="105"/>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0" w:hanging="3"/>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w w:val="105"/>
                <w:sz w:val="18"/>
                <w:szCs w:val="18"/>
              </w:rPr>
              <w:t>损以‚</w:t>
            </w:r>
            <w:r>
              <w:rPr>
                <w:rFonts w:ascii="宋体" w:hAnsi="宋体" w:cs="宋体" w:eastAsia="宋体" w:hint="default"/>
                <w:w w:val="105"/>
                <w:sz w:val="18"/>
                <w:szCs w:val="18"/>
              </w:rPr>
              <w:t>-</w:t>
            </w:r>
            <w:r>
              <w:rPr>
                <w:rFonts w:ascii="宋体" w:hAnsi="宋体" w:cs="宋体" w:eastAsia="宋体" w:hint="default"/>
                <w:w w:val="105"/>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after="0" w:line="240" w:lineRule="auto"/>
        <w:jc w:val="center"/>
        <w:rPr>
          <w:rFonts w:ascii="宋体" w:hAnsi="宋体" w:cs="宋体" w:eastAsia="宋体" w:hint="default"/>
          <w:sz w:val="18"/>
          <w:szCs w:val="18"/>
        </w:rPr>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合同项目的说明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56</w:t>
      </w:r>
      <w:r>
        <w:rPr/>
        <w:t>、营业税金及附加</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651,038.21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546,173.80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789,757.99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843,810.28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557,778.70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602,584.67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6,333.33</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2,004,908.23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1,992,568.75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t>营业税金及附加的说明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57</w:t>
      </w:r>
      <w:r>
        <w:rPr/>
        <w:t>、销售费用</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6,414,756.97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5,039,624.25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办公、通讯、汽车等费用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1,661,250.74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1,231,945.42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3,824,755.45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3,447,580.95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1,655,589.32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1,692,420.31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2,033,833.94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2,122,700.51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6,291,492.35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5,975,079.55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1,141,748.37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1,151,573.00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1,316,956.55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2,523,823.17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784,409.65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771,148.53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检疫报关费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140,826.81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161,299.14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1,152,400.96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852,405.90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26,418,021.11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24,969,600.73</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58</w:t>
      </w:r>
      <w:r>
        <w:rPr/>
        <w:t>、管理费用</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10,559,713.90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12,446,363.26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办公、通讯、汽车、水电、租赁等费用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5,370,749.74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6,263,089.39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587,719.40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1,018,223.88</w:t>
            </w:r>
          </w:p>
        </w:tc>
      </w:tr>
    </w:tbl>
    <w:p>
      <w:pPr>
        <w:spacing w:after="0" w:line="240" w:lineRule="auto"/>
        <w:jc w:val="right"/>
        <w:rPr>
          <w:rFonts w:ascii="宋体" w:hAnsi="宋体" w:cs="宋体" w:eastAsia="宋体" w:hint="default"/>
          <w:sz w:val="18"/>
          <w:szCs w:val="18"/>
        </w:rPr>
        <w:sectPr>
          <w:footerReference w:type="default" r:id="rId38"/>
          <w:pgSz w:w="11910" w:h="16840"/>
          <w:pgMar w:footer="1340" w:header="745" w:top="1060" w:bottom="1540" w:left="980" w:right="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2,610,151.90</w:t>
            </w:r>
            <w:r>
              <w:rPr>
                <w:rFonts w:ascii="宋体"/>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2,678,917.79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1,175,100.00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4,020,762.34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法律诉讼费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1,074,268.00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721,529.89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598,379.94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463,051.19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无形资产和长期待摊费用摊销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511,234.03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558,456.74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研发及设计费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1,977,082.74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3,017,456.65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员工搬迁补偿（注）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2,258,272.55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1,004,178.07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3,978,510.30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2,190,896.98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30,701,182.50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34,382,926.18</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59</w:t>
      </w:r>
      <w:r>
        <w:rPr/>
        <w:t>、财务费用</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247,225.08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-381,777.51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-390,998.09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35,460.99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522,015.70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228,583.63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84,073.40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129,492.19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215,091.01</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60</w:t>
      </w:r>
      <w:r>
        <w:rPr/>
        <w:t>、公允价值变动收益</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公允价值变动收益的说明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61</w:t>
      </w:r>
      <w:r>
        <w:rPr/>
        <w:t>、投资收益</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）投资收益明细情况</w:t>
      </w:r>
      <w:r>
        <w:rPr>
          <w:rFonts w:ascii="微软雅黑" w:hAnsi="微软雅黑" w:cs="微软雅黑" w:eastAsia="微软雅黑" w:hint="default"/>
          <w:sz w:val="21"/>
          <w:szCs w:val="21"/>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）按成本法核算的长期股权投资收益</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3</w:t>
      </w:r>
      <w:r>
        <w:rPr/>
        <w:t>）按权益法核算的长期股权投资收益</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0"/>
        <w:jc w:val="left"/>
      </w:pPr>
      <w:r>
        <w:rPr/>
        <w:t>投资收益的说明，若投资收益汇回有重大限制的，应予以说明。若不存在此类重大限制，也应做出说明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62</w:t>
      </w:r>
      <w:r>
        <w:rPr/>
        <w:t>、资产减值损失</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496,979.60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-799,737.25</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46,869.23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221,729.11</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543,848.83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-578,008.14</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63</w:t>
      </w:r>
      <w:r>
        <w:rPr/>
        <w:t>、营业外收入</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）营业外收入情况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非流动资产处臵利得合计</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191,174.95</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其中：固定资产处臵利得</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191,174.95</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8,119,873.37</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510,000.00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1,315,724.00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13,200.00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无需支付的未申报债权</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8,410,806.17</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8,410,806.17</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因解除协议无需支付的应付款</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5,450,000.00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88,156.57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46,998.24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88,156.57</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9,022,162.74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16,243,770.56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9,022,162.74</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）政府补助明细</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种鸡孵化设备的更新改造</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良种鸡生产示范基地建设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优质鸡生产示范基地建设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种鸡生物安全控制系统改造</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种鸡生物安全控制系统改造</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农业综合开发项目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优质鸡养殖生产建设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蛋鸡引进及养殖项目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农业综合开发资金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t>营业外收入说明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64</w:t>
      </w:r>
      <w:r>
        <w:rPr/>
        <w:t>、营业外支出</w:t>
      </w:r>
      <w:r>
        <w:rPr>
          <w:b w:val="0"/>
          <w:bCs w:val="0"/>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非流动资产处臵损失合计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575,682.36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386,806.46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575,682.36</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其中：固定资产处臵损失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575,682.36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386,806.46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575,682.36</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4,676.01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4,676.01</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897,500.00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897,500.00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租赁管理费罚款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896,242.89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896,242.89</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房屋专项维修基金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1,410,739.65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1,410,739.65</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752,543.49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752,543.49</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15,266.71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10,032.29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15,266.71</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4,553,151.11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399,338.75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4,553,151.11</w:t>
            </w:r>
          </w:p>
        </w:tc>
      </w:tr>
    </w:tbl>
    <w:p>
      <w:pPr>
        <w:pStyle w:val="BodyText"/>
        <w:spacing w:line="240" w:lineRule="auto" w:before="49"/>
        <w:ind w:right="0"/>
        <w:jc w:val="left"/>
      </w:pPr>
      <w:r>
        <w:rPr/>
        <w:t>营业外支出说明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65</w:t>
      </w:r>
      <w:r>
        <w:rPr/>
        <w:t>、所得税费用</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1,159,439.02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3,463,784.01</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1,159,439.02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3,463,784.01</w:t>
            </w:r>
          </w:p>
        </w:tc>
      </w:tr>
    </w:tbl>
    <w:p>
      <w:pPr>
        <w:spacing w:line="240" w:lineRule="auto" w:before="10"/>
        <w:rPr>
          <w:rFonts w:ascii="宋体" w:hAnsi="宋体" w:cs="宋体" w:eastAsia="宋体" w:hint="default"/>
          <w:sz w:val="10"/>
          <w:szCs w:val="10"/>
        </w:rPr>
      </w:pPr>
    </w:p>
    <w:p>
      <w:pPr>
        <w:spacing w:line="444" w:lineRule="auto" w:before="17"/>
        <w:ind w:left="513" w:right="0" w:hanging="361"/>
        <w:jc w:val="left"/>
        <w:rPr>
          <w:rFonts w:ascii="宋体" w:hAnsi="宋体" w:cs="宋体" w:eastAsia="宋体" w:hint="default"/>
          <w:sz w:val="18"/>
          <w:szCs w:val="18"/>
        </w:rPr>
      </w:pPr>
      <w:r>
        <w:rPr>
          <w:rFonts w:ascii="Arial" w:hAnsi="Arial" w:cs="Arial" w:eastAsia="Arial" w:hint="default"/>
          <w:b/>
          <w:bCs/>
          <w:sz w:val="21"/>
          <w:szCs w:val="21"/>
        </w:rPr>
        <w:t>66</w:t>
      </w:r>
      <w:r>
        <w:rPr>
          <w:rFonts w:ascii="微软雅黑" w:hAnsi="微软雅黑" w:cs="微软雅黑" w:eastAsia="微软雅黑" w:hint="default"/>
          <w:b/>
          <w:bCs/>
          <w:sz w:val="18"/>
          <w:szCs w:val="18"/>
        </w:rPr>
        <w:t>、基本每股收益和稀释每股收益的计算过程 </w:t>
      </w:r>
      <w:r>
        <w:rPr>
          <w:rFonts w:ascii="宋体" w:hAnsi="宋体" w:cs="宋体" w:eastAsia="宋体" w:hint="default"/>
          <w:spacing w:val="-4"/>
          <w:sz w:val="18"/>
          <w:szCs w:val="18"/>
        </w:rPr>
        <w:t>基本每股收益按照归属于本公司普通股股东的当期净利润，除以发行在外普通股的加权平均数计算。新发行普通股股数，</w:t>
      </w:r>
    </w:p>
    <w:p>
      <w:pPr>
        <w:pStyle w:val="BodyText"/>
        <w:spacing w:line="240" w:lineRule="auto" w:before="89"/>
        <w:ind w:right="0"/>
        <w:jc w:val="left"/>
      </w:pPr>
      <w:r>
        <w:rPr/>
        <w:t>根据发行合同的具体条款，从应收对价之日（一般为股票发行日）起计算确定。</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487" w:lineRule="auto" w:before="44"/>
        <w:ind w:right="1124" w:firstLine="360"/>
        <w:jc w:val="left"/>
      </w:pPr>
      <w:r>
        <w:rPr/>
        <w:t>稀释每股收益的分子以归属于本公司普通股股东的当期净利润，调整下述因素后确定：（</w:t>
      </w:r>
      <w:r>
        <w:rPr>
          <w:rFonts w:ascii="宋体" w:hAnsi="宋体" w:cs="宋体" w:eastAsia="宋体" w:hint="default"/>
        </w:rPr>
        <w:t>1</w:t>
      </w:r>
      <w:r>
        <w:rPr/>
        <w:t>）当期已确认为费用的稀释 性潜在普通股的利息；（</w:t>
      </w:r>
      <w:r>
        <w:rPr>
          <w:rFonts w:ascii="宋体" w:hAnsi="宋体" w:cs="宋体" w:eastAsia="宋体" w:hint="default"/>
        </w:rPr>
        <w:t>2</w:t>
      </w:r>
      <w:r>
        <w:rPr/>
        <w:t>）稀释性潜在普通股转换时将产生的收益或费用；以及（</w:t>
      </w:r>
      <w:r>
        <w:rPr>
          <w:rFonts w:ascii="宋体" w:hAnsi="宋体" w:cs="宋体" w:eastAsia="宋体" w:hint="default"/>
        </w:rPr>
        <w:t>3</w:t>
      </w:r>
      <w:r>
        <w:rPr/>
        <w:t>）上述调整相关的所得税影响。</w:t>
      </w:r>
    </w:p>
    <w:p>
      <w:pPr>
        <w:pStyle w:val="BodyText"/>
        <w:spacing w:line="487" w:lineRule="auto" w:before="102"/>
        <w:ind w:right="0" w:firstLine="360"/>
        <w:jc w:val="left"/>
      </w:pPr>
      <w:r>
        <w:rPr>
          <w:spacing w:val="-2"/>
        </w:rPr>
        <w:t>稀释每股收益的分母等于下列两项之和：（</w:t>
      </w:r>
      <w:r>
        <w:rPr>
          <w:rFonts w:ascii="宋体" w:hAnsi="宋体" w:cs="宋体" w:eastAsia="宋体" w:hint="default"/>
          <w:spacing w:val="-2"/>
        </w:rPr>
        <w:t>1</w:t>
      </w:r>
      <w:r>
        <w:rPr>
          <w:spacing w:val="-2"/>
        </w:rPr>
        <w:t>）基本每股收益中母公司已发行普通股的加权平均数；及（</w:t>
      </w:r>
      <w:r>
        <w:rPr>
          <w:rFonts w:ascii="宋体" w:hAnsi="宋体" w:cs="宋体" w:eastAsia="宋体" w:hint="default"/>
          <w:spacing w:val="-2"/>
        </w:rPr>
        <w:t>2</w:t>
      </w:r>
      <w:r>
        <w:rPr>
          <w:spacing w:val="-2"/>
        </w:rPr>
        <w:t>）假定稀释性</w:t>
      </w:r>
      <w:r>
        <w:rPr/>
        <w:t> 潜在普通股转换为普通股而增加的普通股的加权平均数。</w:t>
      </w:r>
    </w:p>
    <w:p>
      <w:pPr>
        <w:pStyle w:val="BodyText"/>
        <w:spacing w:line="477" w:lineRule="auto" w:before="13"/>
        <w:ind w:right="0" w:firstLine="360"/>
        <w:jc w:val="left"/>
      </w:pPr>
      <w:r>
        <w:rPr/>
        <w:t>在计算稀释性潜在普通股转换为已发行普通股而增加的普通股股数的加权平均数时，以前期间发行的稀释性潜在普通</w:t>
      </w:r>
      <w:r>
        <w:rPr>
          <w:spacing w:val="2"/>
        </w:rPr>
        <w:t> </w:t>
      </w:r>
      <w:r>
        <w:rPr/>
        <w:t>股，假设在当年年初转换；当年发行的稀释性潜在普通股，假设在发行日转换。</w:t>
      </w:r>
    </w:p>
    <w:p>
      <w:pPr>
        <w:pStyle w:val="BodyText"/>
        <w:spacing w:line="240" w:lineRule="auto" w:before="95"/>
        <w:ind w:left="633" w:right="0"/>
        <w:jc w:val="left"/>
      </w:pPr>
      <w:r>
        <w:rPr/>
        <w:t>（</w:t>
      </w:r>
      <w:r>
        <w:rPr>
          <w:rFonts w:ascii="宋体" w:hAnsi="宋体" w:cs="宋体" w:eastAsia="宋体" w:hint="default"/>
        </w:rPr>
        <w:t>1</w:t>
      </w:r>
      <w:r>
        <w:rPr/>
        <w:t>）各期基本每股收益和稀释每股收益金额列示</w:t>
      </w:r>
    </w:p>
    <w:p>
      <w:pPr>
        <w:spacing w:line="240" w:lineRule="auto" w:before="1"/>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701"/>
        <w:gridCol w:w="1440"/>
        <w:gridCol w:w="1407"/>
        <w:gridCol w:w="1654"/>
        <w:gridCol w:w="2014"/>
      </w:tblGrid>
      <w:tr>
        <w:trPr>
          <w:trHeight w:val="505" w:hRule="exact"/>
        </w:trPr>
        <w:tc>
          <w:tcPr>
            <w:tcW w:w="2701" w:type="dxa"/>
            <w:vMerge w:val="restart"/>
            <w:tcBorders>
              <w:top w:val="single" w:sz="6" w:space="0" w:color="000000"/>
              <w:left w:val="single" w:sz="6" w:space="0" w:color="000000"/>
              <w:right w:val="single" w:sz="6" w:space="0" w:color="000000"/>
            </w:tcBorders>
          </w:tcPr>
          <w:p>
            <w:pPr>
              <w:pStyle w:val="TableParagraph"/>
              <w:spacing w:line="240" w:lineRule="auto" w:before="97"/>
              <w:ind w:left="89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8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6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502" w:hRule="exact"/>
        </w:trPr>
        <w:tc>
          <w:tcPr>
            <w:tcW w:w="2701" w:type="dxa"/>
            <w:vMerge/>
            <w:tcBorders>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04"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 w:right="0"/>
              <w:jc w:val="center"/>
              <w:rPr>
                <w:rFonts w:ascii="宋体" w:hAnsi="宋体" w:cs="宋体" w:eastAsia="宋体" w:hint="default"/>
                <w:sz w:val="18"/>
                <w:szCs w:val="18"/>
              </w:rPr>
            </w:pPr>
            <w:r>
              <w:rPr>
                <w:rFonts w:ascii="宋体"/>
                <w:sz w:val="18"/>
              </w:rPr>
              <w:t>0.01</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 w:right="0"/>
              <w:jc w:val="center"/>
              <w:rPr>
                <w:rFonts w:ascii="宋体" w:hAnsi="宋体" w:cs="宋体" w:eastAsia="宋体" w:hint="default"/>
                <w:sz w:val="18"/>
                <w:szCs w:val="18"/>
              </w:rPr>
            </w:pPr>
            <w:r>
              <w:rPr>
                <w:rFonts w:ascii="宋体"/>
                <w:sz w:val="18"/>
              </w:rPr>
              <w:t>0.01</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0.05</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0.05</w:t>
            </w:r>
          </w:p>
        </w:tc>
      </w:tr>
      <w:tr>
        <w:trPr>
          <w:trHeight w:val="972"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sz w:val="18"/>
              </w:rPr>
              <w:t>0.003</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 w:right="0"/>
              <w:jc w:val="center"/>
              <w:rPr>
                <w:rFonts w:ascii="宋体" w:hAnsi="宋体" w:cs="宋体" w:eastAsia="宋体" w:hint="default"/>
                <w:sz w:val="18"/>
                <w:szCs w:val="18"/>
              </w:rPr>
            </w:pPr>
            <w:r>
              <w:rPr>
                <w:rFonts w:ascii="宋体"/>
                <w:sz w:val="18"/>
              </w:rPr>
              <w:t>0.003</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sz w:val="18"/>
              </w:rPr>
              <w:t>0.01</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sz w:val="18"/>
              </w:rPr>
              <w:t>0.01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441" w:lineRule="auto" w:before="44"/>
        <w:ind w:left="635" w:right="2351"/>
        <w:jc w:val="left"/>
      </w:pPr>
      <w:r>
        <w:rPr/>
        <w:t>（</w:t>
      </w:r>
      <w:r>
        <w:rPr>
          <w:rFonts w:ascii="宋体" w:hAnsi="宋体" w:cs="宋体" w:eastAsia="宋体" w:hint="default"/>
        </w:rPr>
        <w:t>2</w:t>
      </w:r>
      <w:r>
        <w:rPr/>
        <w:t>）每股收益和稀释每股收益的计算过程 注：于报告期内，本公司不存在具有稀释性的潜在普通股，因此，稀释每股收益等于基本每股收益。</w:t>
      </w:r>
    </w:p>
    <w:p>
      <w:pPr>
        <w:pStyle w:val="BodyText"/>
        <w:spacing w:line="240" w:lineRule="auto" w:before="122"/>
        <w:ind w:left="633" w:right="0"/>
        <w:jc w:val="left"/>
      </w:pPr>
      <w:r>
        <w:rPr/>
        <w:t>①计算基本每股收益时，归属于普通股股东的当期净利润为：</w:t>
      </w:r>
    </w:p>
    <w:p>
      <w:pPr>
        <w:spacing w:line="240" w:lineRule="auto" w:before="1"/>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5072"/>
        <w:gridCol w:w="1805"/>
        <w:gridCol w:w="2338"/>
      </w:tblGrid>
      <w:tr>
        <w:trPr>
          <w:trHeight w:val="346"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46"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10"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4,014,789.53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16,602,198.93</w:t>
            </w:r>
          </w:p>
        </w:tc>
      </w:tr>
      <w:tr>
        <w:trPr>
          <w:trHeight w:val="346"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4,014,789.53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16,602,198.93</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1805"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1,164,058.40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2,727,766.92</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1,164,058.40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2,727,766.92</w:t>
            </w:r>
          </w:p>
        </w:tc>
      </w:tr>
      <w:tr>
        <w:trPr>
          <w:trHeight w:val="34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1805"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24"/>
          <w:szCs w:val="24"/>
        </w:rPr>
      </w:pPr>
    </w:p>
    <w:p>
      <w:pPr>
        <w:pStyle w:val="BodyText"/>
        <w:spacing w:line="240" w:lineRule="auto" w:before="44"/>
        <w:ind w:left="635" w:right="0"/>
        <w:jc w:val="left"/>
      </w:pPr>
      <w:r>
        <w:rPr/>
        <w:t>②计算基本每股收益时，分母为发行在外普通股加权平均数，计算过程如下：</w:t>
      </w:r>
    </w:p>
    <w:p>
      <w:pPr>
        <w:spacing w:line="240" w:lineRule="auto" w:before="1"/>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4537"/>
        <w:gridCol w:w="2424"/>
        <w:gridCol w:w="2254"/>
      </w:tblGrid>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53"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71"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357,973,531</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357,973,531</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424" w:type="dxa"/>
            <w:tcBorders>
              <w:top w:val="single" w:sz="6" w:space="0" w:color="000000"/>
              <w:left w:val="single" w:sz="6" w:space="0" w:color="000000"/>
              <w:bottom w:val="single" w:sz="6" w:space="0" w:color="000000"/>
              <w:right w:val="single" w:sz="6" w:space="0" w:color="000000"/>
            </w:tcBorders>
          </w:tcPr>
          <w:p>
            <w:pPr/>
          </w:p>
        </w:tc>
        <w:tc>
          <w:tcPr>
            <w:tcW w:w="22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424" w:type="dxa"/>
            <w:tcBorders>
              <w:top w:val="single" w:sz="6" w:space="0" w:color="000000"/>
              <w:left w:val="single" w:sz="6" w:space="0" w:color="000000"/>
              <w:bottom w:val="single" w:sz="6" w:space="0" w:color="000000"/>
              <w:right w:val="single" w:sz="6" w:space="0" w:color="000000"/>
            </w:tcBorders>
          </w:tcPr>
          <w:p>
            <w:pPr/>
          </w:p>
        </w:tc>
        <w:tc>
          <w:tcPr>
            <w:tcW w:w="22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357,973,531</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357,973,531</w:t>
            </w:r>
          </w:p>
        </w:tc>
      </w:tr>
    </w:tbl>
    <w:p>
      <w:pPr>
        <w:spacing w:after="0" w:line="240" w:lineRule="auto"/>
        <w:jc w:val="right"/>
        <w:rPr>
          <w:rFonts w:ascii="宋体" w:hAnsi="宋体" w:cs="宋体" w:eastAsia="宋体"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67</w:t>
      </w:r>
      <w:r>
        <w:rPr/>
        <w:t>、其他综合收益</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80"/>
      </w:tblGrid>
      <w:tr>
        <w:trPr>
          <w:trHeight w:val="403"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其他综合收益说明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68</w:t>
      </w:r>
      <w:r>
        <w:rPr/>
        <w:t>、现金流量表附注</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）收到的其他与经营活动有关的现金</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4,590,623.86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390,588.07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381,777.51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5,576,189.44</w:t>
            </w:r>
          </w:p>
        </w:tc>
      </w:tr>
    </w:tbl>
    <w:p>
      <w:pPr>
        <w:pStyle w:val="BodyText"/>
        <w:spacing w:line="240" w:lineRule="auto" w:before="49"/>
        <w:ind w:right="0"/>
        <w:jc w:val="left"/>
      </w:pPr>
      <w:r>
        <w:rPr/>
        <w:t>收到的其他与经营活动有关的现金说明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）支付的其他与经营活动有关的现金</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6,379,649.00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750,336.25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18,600,533.89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14,451,166.55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捐款支出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罚款、罚息及滞纳金支出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4,676.01</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租赁管理费罚款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896,242.89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房屋专项维修基金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1,410,739.65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752,543.49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897,500.00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手续费等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228,583.63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44,372,471.36</w:t>
            </w:r>
          </w:p>
        </w:tc>
      </w:tr>
    </w:tbl>
    <w:p>
      <w:pPr>
        <w:pStyle w:val="BodyText"/>
        <w:spacing w:line="240" w:lineRule="auto" w:before="49"/>
        <w:ind w:right="0"/>
        <w:jc w:val="left"/>
      </w:pPr>
      <w:r>
        <w:rPr/>
        <w:t>支付的其他与经营活动有关的现金说明</w:t>
      </w:r>
    </w:p>
    <w:p>
      <w:pPr>
        <w:spacing w:after="0" w:line="240" w:lineRule="auto"/>
        <w:jc w:val="left"/>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3</w:t>
      </w:r>
      <w:r>
        <w:rPr/>
        <w:t>）收到的其他与投资活动有关的现金</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收到的其他与投资活动有关的现金说明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4</w:t>
      </w:r>
      <w:r>
        <w:rPr/>
        <w:t>）支付的其他与投资活动有关的现金</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支付的其他与投资活动有关的现金说明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5</w:t>
      </w:r>
      <w:r>
        <w:rPr/>
        <w:t>）收到的其他与筹资活动有关的现金</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收到的其他与筹资活动有关的现金说明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6</w:t>
      </w:r>
      <w:r>
        <w:rPr/>
        <w:t>）支付的其他与筹资活动有关的现金</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支付的其他与筹资活动有关的现金说明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69</w:t>
      </w:r>
      <w:r>
        <w:rPr/>
        <w:t>、现金流量表补充资料</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）现金流量表补充资料</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19"/>
        <w:gridCol w:w="1811"/>
        <w:gridCol w:w="1829"/>
      </w:tblGrid>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4,014,789.53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16,602,198.93</w:t>
            </w:r>
          </w:p>
        </w:tc>
      </w:tr>
      <w:tr>
        <w:trPr>
          <w:trHeight w:val="403"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543,848.83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-578,008.14</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3,829,814.60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2,925,761.40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193,824.82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125,006.28</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630,531.59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639,179.54</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处臵固定资产、无形资产和其他长期资产的损失（收益以‚－‛号填列）</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575,682.36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129,649.31</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w w:val="105"/>
                <w:sz w:val="18"/>
                <w:szCs w:val="18"/>
              </w:rPr>
              <w:t>固定资产报废损失（收益以‚－‛号填列）</w:t>
            </w:r>
            <w:r>
              <w:rPr>
                <w:rFonts w:ascii="宋体" w:hAnsi="宋体" w:cs="宋体" w:eastAsia="宋体" w:hint="default"/>
                <w:sz w:val="18"/>
                <w:szCs w:val="18"/>
              </w:rPr>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65,982.20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w w:val="105"/>
                <w:sz w:val="18"/>
                <w:szCs w:val="18"/>
              </w:rPr>
              <w:t>财务费用（收益以‚－‛号填列）</w:t>
            </w:r>
            <w:r>
              <w:rPr>
                <w:rFonts w:ascii="宋体" w:hAnsi="宋体" w:cs="宋体" w:eastAsia="宋体" w:hint="default"/>
                <w:sz w:val="18"/>
                <w:szCs w:val="18"/>
              </w:rPr>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183,870.41</w:t>
            </w:r>
          </w:p>
        </w:tc>
        <w:tc>
          <w:tcPr>
            <w:tcW w:w="18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919"/>
        <w:gridCol w:w="1811"/>
        <w:gridCol w:w="1829"/>
      </w:tblGrid>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w w:val="105"/>
                <w:sz w:val="18"/>
                <w:szCs w:val="18"/>
              </w:rPr>
              <w:t>存货的减少（增加以‚－‛号填列）</w:t>
            </w:r>
            <w:r>
              <w:rPr>
                <w:rFonts w:ascii="宋体" w:hAnsi="宋体" w:cs="宋体" w:eastAsia="宋体" w:hint="default"/>
                <w:sz w:val="18"/>
                <w:szCs w:val="18"/>
              </w:rPr>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-1,194,810.33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5,175,631.63</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19,339,461.11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-13,920,747.55</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-27,681,062.27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-2,237,004.52</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-8,410,806.17</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-7,974,855.52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8,927,649.08</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30,629,230.53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51,096,749.46</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51,096,749.46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64,566,363.11</w:t>
            </w:r>
          </w:p>
        </w:tc>
      </w:tr>
      <w:tr>
        <w:trPr>
          <w:trHeight w:val="403"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-20,467,518.93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-13,469,613.65</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）本报告期取得或处臵子公司及其他营业单位的相关信息</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二、处臵子公司及其他营业单位的有关信息：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）现金和现金等价物的构成</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30,629,230.53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51,096,749.46</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931,087.66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440,240.01</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29,696,990.21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50,655,356.79</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1,152.66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1,152.66</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30,629,230.53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51,096,749.46</w:t>
            </w:r>
          </w:p>
        </w:tc>
      </w:tr>
    </w:tbl>
    <w:p>
      <w:pPr>
        <w:pStyle w:val="BodyText"/>
        <w:spacing w:line="240" w:lineRule="auto" w:before="49"/>
        <w:ind w:right="0"/>
        <w:jc w:val="left"/>
      </w:pPr>
      <w:r>
        <w:rPr/>
        <w:t>现金流量表补充资料的说明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70</w:t>
      </w:r>
      <w:r>
        <w:rPr/>
        <w:t>、所有者权益变动表项目注释</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说明对上年年末余额进行调整的‚其他‛项目名称及调整金额、由同一控制下企业合并产生的追溯调整等事项</w:t>
      </w:r>
    </w:p>
    <w:p>
      <w:pPr>
        <w:spacing w:after="0" w:line="240" w:lineRule="auto"/>
        <w:jc w:val="left"/>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2"/>
        <w:spacing w:line="369" w:lineRule="exact"/>
        <w:ind w:right="0"/>
        <w:jc w:val="left"/>
        <w:rPr>
          <w:b w:val="0"/>
          <w:bCs w:val="0"/>
        </w:rPr>
      </w:pPr>
      <w:r>
        <w:rPr/>
        <w:t>八、资产证券化业务的会计处理</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、说明资产证券化业务的主要交易安排及其会计处理、破产隔离条款</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2</w:t>
      </w:r>
      <w:r>
        <w:rPr>
          <w:rFonts w:ascii="微软雅黑" w:hAnsi="微软雅黑" w:cs="微软雅黑" w:eastAsia="微软雅黑" w:hint="default"/>
          <w:b/>
          <w:bCs/>
          <w:sz w:val="21"/>
          <w:szCs w:val="21"/>
        </w:rPr>
        <w:t>、公司不具有控制权但实质上承担其风险的特殊目的主体情况</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369" w:lineRule="exact"/>
        <w:ind w:right="0"/>
        <w:jc w:val="left"/>
        <w:rPr>
          <w:b w:val="0"/>
          <w:bCs w:val="0"/>
        </w:rPr>
      </w:pPr>
      <w:r>
        <w:rPr/>
        <w:t>九、关联方及关联交易</w:t>
      </w:r>
      <w:r>
        <w:rPr>
          <w:b w:val="0"/>
          <w:bCs w:val="0"/>
        </w:rPr>
      </w:r>
    </w:p>
    <w:p>
      <w:pPr>
        <w:spacing w:line="240" w:lineRule="auto" w:before="7"/>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、本企业的母公司情况</w:t>
      </w:r>
      <w:r>
        <w:rPr>
          <w:b w:val="0"/>
          <w:bCs w:val="0"/>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936" w:lineRule="exact"/>
        <w:ind w:left="148" w:right="0" w:firstLine="0"/>
        <w:rPr>
          <w:rFonts w:ascii="宋体" w:hAnsi="宋体" w:cs="宋体" w:eastAsia="宋体" w:hint="default"/>
          <w:sz w:val="20"/>
          <w:szCs w:val="20"/>
        </w:rPr>
      </w:pPr>
      <w:r>
        <w:rPr>
          <w:rFonts w:ascii="宋体" w:hAnsi="宋体" w:cs="宋体" w:eastAsia="宋体" w:hint="default"/>
          <w:position w:val="-178"/>
          <w:sz w:val="20"/>
          <w:szCs w:val="20"/>
        </w:rPr>
        <w:pict>
          <v:group style="width:478.8pt;height:446.85pt;mso-position-horizontal-relative:char;mso-position-vertical-relative:line" coordorigin="0,0" coordsize="9576,8937">
            <v:group style="position:absolute;left:12;top:14;width:863;height:312" coordorigin="12,14" coordsize="863,312">
              <v:shape style="position:absolute;left:12;top:14;width:863;height:312" coordorigin="12,14" coordsize="863,312" path="m12,326l874,326,874,14,12,14,12,326xe" filled="true" fillcolor="#d2d2d2" stroked="false">
                <v:path arrowok="t"/>
                <v:fill type="solid"/>
              </v:shape>
            </v:group>
            <v:group style="position:absolute;left:23;top:326;width:2;height:704" coordorigin="23,326" coordsize="2,704">
              <v:shape style="position:absolute;left:23;top:326;width:2;height:704" coordorigin="23,326" coordsize="0,704" path="m23,326l23,1030e" filled="false" stroked="true" strokeweight="1.08pt" strokecolor="#d2d2d2">
                <v:path arrowok="t"/>
              </v:shape>
            </v:group>
            <v:group style="position:absolute;left:863;top:326;width:2;height:704" coordorigin="863,326" coordsize="2,704">
              <v:shape style="position:absolute;left:863;top:326;width:2;height:704" coordorigin="863,326" coordsize="0,704" path="m863,326l863,1030e" filled="false" stroked="true" strokeweight="1.08pt" strokecolor="#d2d2d2">
                <v:path arrowok="t"/>
              </v:shape>
            </v:group>
            <v:group style="position:absolute;left:12;top:1030;width:863;height:312" coordorigin="12,1030" coordsize="863,312">
              <v:shape style="position:absolute;left:12;top:1030;width:863;height:312" coordorigin="12,1030" coordsize="863,312" path="m12,1342l874,1342,874,1030,12,1030,12,1342xe" filled="true" fillcolor="#d2d2d2" stroked="false">
                <v:path arrowok="t"/>
                <v:fill type="solid"/>
              </v:shape>
            </v:group>
            <v:group style="position:absolute;left:34;top:326;width:819;height:353" coordorigin="34,326" coordsize="819,353">
              <v:shape style="position:absolute;left:34;top:326;width:819;height:353" coordorigin="34,326" coordsize="819,353" path="m34,679l852,679,852,326,34,326,34,679xe" filled="true" fillcolor="#d2d2d2" stroked="false">
                <v:path arrowok="t"/>
                <v:fill type="solid"/>
              </v:shape>
            </v:group>
            <v:group style="position:absolute;left:34;top:679;width:819;height:351" coordorigin="34,679" coordsize="819,351">
              <v:shape style="position:absolute;left:34;top:679;width:819;height:351" coordorigin="34,679" coordsize="819,351" path="m34,1030l852,1030,852,679,34,679,34,1030xe" filled="true" fillcolor="#d2d2d2" stroked="false">
                <v:path arrowok="t"/>
                <v:fill type="solid"/>
              </v:shape>
            </v:group>
            <v:group style="position:absolute;left:884;top:14;width:862;height:468" coordorigin="884,14" coordsize="862,468">
              <v:shape style="position:absolute;left:884;top:14;width:862;height:468" coordorigin="884,14" coordsize="862,468" path="m884,482l1745,482,1745,14,884,14,884,482xe" filled="true" fillcolor="#d2d2d2" stroked="false">
                <v:path arrowok="t"/>
                <v:fill type="solid"/>
              </v:shape>
            </v:group>
            <v:group style="position:absolute;left:896;top:482;width:2;height:392" coordorigin="896,482" coordsize="2,392">
              <v:shape style="position:absolute;left:896;top:482;width:2;height:392" coordorigin="896,482" coordsize="0,392" path="m896,482l896,874e" filled="false" stroked="true" strokeweight="1.2pt" strokecolor="#d2d2d2">
                <v:path arrowok="t"/>
              </v:shape>
            </v:group>
            <v:group style="position:absolute;left:1733;top:482;width:2;height:392" coordorigin="1733,482" coordsize="2,392">
              <v:shape style="position:absolute;left:1733;top:482;width:2;height:392" coordorigin="1733,482" coordsize="0,392" path="m1733,482l1733,874e" filled="false" stroked="true" strokeweight="1.2pt" strokecolor="#d2d2d2">
                <v:path arrowok="t"/>
              </v:shape>
            </v:group>
            <v:group style="position:absolute;left:884;top:874;width:862;height:468" coordorigin="884,874" coordsize="862,468">
              <v:shape style="position:absolute;left:884;top:874;width:862;height:468" coordorigin="884,874" coordsize="862,468" path="m884,1342l1745,1342,1745,874,884,874,884,1342xe" filled="true" fillcolor="#d2d2d2" stroked="false">
                <v:path arrowok="t"/>
                <v:fill type="solid"/>
              </v:shape>
            </v:group>
            <v:group style="position:absolute;left:908;top:482;width:814;height:392" coordorigin="908,482" coordsize="814,392">
              <v:shape style="position:absolute;left:908;top:482;width:814;height:392" coordorigin="908,482" coordsize="814,392" path="m908,874l1721,874,1721,482,908,482,908,874xe" filled="true" fillcolor="#d2d2d2" stroked="false">
                <v:path arrowok="t"/>
                <v:fill type="solid"/>
              </v:shape>
            </v:group>
            <v:group style="position:absolute;left:1755;top:14;width:860;height:468" coordorigin="1755,14" coordsize="860,468">
              <v:shape style="position:absolute;left:1755;top:14;width:860;height:468" coordorigin="1755,14" coordsize="860,468" path="m1755,482l2614,482,2614,14,1755,14,1755,482xe" filled="true" fillcolor="#d2d2d2" stroked="false">
                <v:path arrowok="t"/>
                <v:fill type="solid"/>
              </v:shape>
            </v:group>
            <v:group style="position:absolute;left:1766;top:482;width:2;height:392" coordorigin="1766,482" coordsize="2,392">
              <v:shape style="position:absolute;left:1766;top:482;width:2;height:392" coordorigin="1766,482" coordsize="0,392" path="m1766,482l1766,874e" filled="false" stroked="true" strokeweight="1.08pt" strokecolor="#d2d2d2">
                <v:path arrowok="t"/>
              </v:shape>
            </v:group>
            <v:group style="position:absolute;left:2603;top:482;width:2;height:392" coordorigin="2603,482" coordsize="2,392">
              <v:shape style="position:absolute;left:2603;top:482;width:2;height:392" coordorigin="2603,482" coordsize="0,392" path="m2603,482l2603,874e" filled="false" stroked="true" strokeweight="1.08pt" strokecolor="#d2d2d2">
                <v:path arrowok="t"/>
              </v:shape>
            </v:group>
            <v:group style="position:absolute;left:1755;top:874;width:860;height:468" coordorigin="1755,874" coordsize="860,468">
              <v:shape style="position:absolute;left:1755;top:874;width:860;height:468" coordorigin="1755,874" coordsize="860,468" path="m1755,1342l2614,1342,2614,874,1755,874,1755,1342xe" filled="true" fillcolor="#d2d2d2" stroked="false">
                <v:path arrowok="t"/>
                <v:fill type="solid"/>
              </v:shape>
            </v:group>
            <v:group style="position:absolute;left:1776;top:482;width:816;height:392" coordorigin="1776,482" coordsize="816,392">
              <v:shape style="position:absolute;left:1776;top:482;width:816;height:392" coordorigin="1776,482" coordsize="816,392" path="m1776,874l2592,874,2592,482,1776,482,1776,874xe" filled="true" fillcolor="#d2d2d2" stroked="false">
                <v:path arrowok="t"/>
                <v:fill type="solid"/>
              </v:shape>
            </v:group>
            <v:group style="position:absolute;left:2624;top:14;width:863;height:468" coordorigin="2624,14" coordsize="863,468">
              <v:shape style="position:absolute;left:2624;top:14;width:863;height:468" coordorigin="2624,14" coordsize="863,468" path="m2624,482l3486,482,3486,14,2624,14,2624,482xe" filled="true" fillcolor="#d2d2d2" stroked="false">
                <v:path arrowok="t"/>
                <v:fill type="solid"/>
              </v:shape>
            </v:group>
            <v:group style="position:absolute;left:2636;top:482;width:2;height:392" coordorigin="2636,482" coordsize="2,392">
              <v:shape style="position:absolute;left:2636;top:482;width:2;height:392" coordorigin="2636,482" coordsize="0,392" path="m2636,482l2636,874e" filled="false" stroked="true" strokeweight="1.2pt" strokecolor="#d2d2d2">
                <v:path arrowok="t"/>
              </v:shape>
            </v:group>
            <v:group style="position:absolute;left:3474;top:482;width:2;height:392" coordorigin="3474,482" coordsize="2,392">
              <v:shape style="position:absolute;left:3474;top:482;width:2;height:392" coordorigin="3474,482" coordsize="0,392" path="m3474,482l3474,874e" filled="false" stroked="true" strokeweight="1.2pt" strokecolor="#d2d2d2">
                <v:path arrowok="t"/>
              </v:shape>
            </v:group>
            <v:group style="position:absolute;left:2624;top:874;width:863;height:468" coordorigin="2624,874" coordsize="863,468">
              <v:shape style="position:absolute;left:2624;top:874;width:863;height:468" coordorigin="2624,874" coordsize="863,468" path="m2624,1342l3486,1342,3486,874,2624,874,2624,1342xe" filled="true" fillcolor="#d2d2d2" stroked="false">
                <v:path arrowok="t"/>
                <v:fill type="solid"/>
              </v:shape>
            </v:group>
            <v:group style="position:absolute;left:2648;top:482;width:815;height:392" coordorigin="2648,482" coordsize="815,392">
              <v:shape style="position:absolute;left:2648;top:482;width:815;height:392" coordorigin="2648,482" coordsize="815,392" path="m2648,874l3462,874,3462,482,2648,482,2648,874xe" filled="true" fillcolor="#d2d2d2" stroked="false">
                <v:path arrowok="t"/>
                <v:fill type="solid"/>
              </v:shape>
            </v:group>
            <v:group style="position:absolute;left:3495;top:14;width:860;height:312" coordorigin="3495,14" coordsize="860,312">
              <v:shape style="position:absolute;left:3495;top:14;width:860;height:312" coordorigin="3495,14" coordsize="860,312" path="m3495,326l4355,326,4355,14,3495,14,3495,326xe" filled="true" fillcolor="#d2d2d2" stroked="false">
                <v:path arrowok="t"/>
                <v:fill type="solid"/>
              </v:shape>
            </v:group>
            <v:group style="position:absolute;left:3506;top:326;width:2;height:704" coordorigin="3506,326" coordsize="2,704">
              <v:shape style="position:absolute;left:3506;top:326;width:2;height:704" coordorigin="3506,326" coordsize="0,704" path="m3506,326l3506,1030e" filled="false" stroked="true" strokeweight="1.08pt" strokecolor="#d2d2d2">
                <v:path arrowok="t"/>
              </v:shape>
            </v:group>
            <v:group style="position:absolute;left:4344;top:326;width:2;height:704" coordorigin="4344,326" coordsize="2,704">
              <v:shape style="position:absolute;left:4344;top:326;width:2;height:704" coordorigin="4344,326" coordsize="0,704" path="m4344,326l4344,1030e" filled="false" stroked="true" strokeweight="1.08pt" strokecolor="#d2d2d2">
                <v:path arrowok="t"/>
              </v:shape>
            </v:group>
            <v:group style="position:absolute;left:3495;top:1030;width:860;height:312" coordorigin="3495,1030" coordsize="860,312">
              <v:shape style="position:absolute;left:3495;top:1030;width:860;height:312" coordorigin="3495,1030" coordsize="860,312" path="m3495,1342l4355,1342,4355,1030,3495,1030,3495,1342xe" filled="true" fillcolor="#d2d2d2" stroked="false">
                <v:path arrowok="t"/>
                <v:fill type="solid"/>
              </v:shape>
            </v:group>
            <v:group style="position:absolute;left:3517;top:326;width:816;height:353" coordorigin="3517,326" coordsize="816,353">
              <v:shape style="position:absolute;left:3517;top:326;width:816;height:353" coordorigin="3517,326" coordsize="816,353" path="m3517,679l4333,679,4333,326,3517,326,3517,679xe" filled="true" fillcolor="#d2d2d2" stroked="false">
                <v:path arrowok="t"/>
                <v:fill type="solid"/>
              </v:shape>
            </v:group>
            <v:group style="position:absolute;left:3517;top:679;width:816;height:351" coordorigin="3517,679" coordsize="816,351">
              <v:shape style="position:absolute;left:3517;top:679;width:816;height:351" coordorigin="3517,679" coordsize="816,351" path="m3517,1030l4333,1030,4333,679,3517,679,3517,1030xe" filled="true" fillcolor="#d2d2d2" stroked="false">
                <v:path arrowok="t"/>
                <v:fill type="solid"/>
              </v:shape>
            </v:group>
            <v:group style="position:absolute;left:4364;top:14;width:863;height:468" coordorigin="4364,14" coordsize="863,468">
              <v:shape style="position:absolute;left:4364;top:14;width:863;height:468" coordorigin="4364,14" coordsize="863,468" path="m4364,482l5226,482,5226,14,4364,14,4364,482xe" filled="true" fillcolor="#d2d2d2" stroked="false">
                <v:path arrowok="t"/>
                <v:fill type="solid"/>
              </v:shape>
            </v:group>
            <v:group style="position:absolute;left:4376;top:482;width:2;height:392" coordorigin="4376,482" coordsize="2,392">
              <v:shape style="position:absolute;left:4376;top:482;width:2;height:392" coordorigin="4376,482" coordsize="0,392" path="m4376,482l4376,874e" filled="false" stroked="true" strokeweight="1.2pt" strokecolor="#d2d2d2">
                <v:path arrowok="t"/>
              </v:shape>
            </v:group>
            <v:group style="position:absolute;left:5214;top:482;width:2;height:392" coordorigin="5214,482" coordsize="2,392">
              <v:shape style="position:absolute;left:5214;top:482;width:2;height:392" coordorigin="5214,482" coordsize="0,392" path="m5214,482l5214,874e" filled="false" stroked="true" strokeweight="1.2pt" strokecolor="#d2d2d2">
                <v:path arrowok="t"/>
              </v:shape>
            </v:group>
            <v:group style="position:absolute;left:4364;top:874;width:863;height:468" coordorigin="4364,874" coordsize="863,468">
              <v:shape style="position:absolute;left:4364;top:874;width:863;height:468" coordorigin="4364,874" coordsize="863,468" path="m4364,1342l5226,1342,5226,874,4364,874,4364,1342xe" filled="true" fillcolor="#d2d2d2" stroked="false">
                <v:path arrowok="t"/>
                <v:fill type="solid"/>
              </v:shape>
            </v:group>
            <v:group style="position:absolute;left:4388;top:482;width:815;height:392" coordorigin="4388,482" coordsize="815,392">
              <v:shape style="position:absolute;left:4388;top:482;width:815;height:392" coordorigin="4388,482" coordsize="815,392" path="m4388,874l5202,874,5202,482,4388,482,4388,874xe" filled="true" fillcolor="#d2d2d2" stroked="false">
                <v:path arrowok="t"/>
                <v:fill type="solid"/>
              </v:shape>
            </v:group>
            <v:group style="position:absolute;left:5236;top:14;width:860;height:468" coordorigin="5236,14" coordsize="860,468">
              <v:shape style="position:absolute;left:5236;top:14;width:860;height:468" coordorigin="5236,14" coordsize="860,468" path="m5236,482l6095,482,6095,14,5236,14,5236,482xe" filled="true" fillcolor="#d2d2d2" stroked="false">
                <v:path arrowok="t"/>
                <v:fill type="solid"/>
              </v:shape>
            </v:group>
            <v:group style="position:absolute;left:5247;top:482;width:2;height:392" coordorigin="5247,482" coordsize="2,392">
              <v:shape style="position:absolute;left:5247;top:482;width:2;height:392" coordorigin="5247,482" coordsize="0,392" path="m5247,482l5247,874e" filled="false" stroked="true" strokeweight="1.08pt" strokecolor="#d2d2d2">
                <v:path arrowok="t"/>
              </v:shape>
            </v:group>
            <v:group style="position:absolute;left:6084;top:482;width:2;height:392" coordorigin="6084,482" coordsize="2,392">
              <v:shape style="position:absolute;left:6084;top:482;width:2;height:392" coordorigin="6084,482" coordsize="0,392" path="m6084,482l6084,874e" filled="false" stroked="true" strokeweight="1.08pt" strokecolor="#d2d2d2">
                <v:path arrowok="t"/>
              </v:shape>
            </v:group>
            <v:group style="position:absolute;left:5236;top:874;width:860;height:468" coordorigin="5236,874" coordsize="860,468">
              <v:shape style="position:absolute;left:5236;top:874;width:860;height:468" coordorigin="5236,874" coordsize="860,468" path="m5236,1342l6095,1342,6095,874,5236,874,5236,1342xe" filled="true" fillcolor="#d2d2d2" stroked="false">
                <v:path arrowok="t"/>
                <v:fill type="solid"/>
              </v:shape>
            </v:group>
            <v:group style="position:absolute;left:5257;top:482;width:816;height:392" coordorigin="5257,482" coordsize="816,392">
              <v:shape style="position:absolute;left:5257;top:482;width:816;height:392" coordorigin="5257,482" coordsize="816,392" path="m5257,874l6073,874,6073,482,5257,482,5257,874xe" filled="true" fillcolor="#d2d2d2" stroked="false">
                <v:path arrowok="t"/>
                <v:fill type="solid"/>
              </v:shape>
            </v:group>
            <v:group style="position:absolute;left:6117;top:14;width:2;height:1328" coordorigin="6117,14" coordsize="2,1328">
              <v:shape style="position:absolute;left:6117;top:14;width:2;height:1328" coordorigin="6117,14" coordsize="0,1328" path="m6117,14l6117,1342e" filled="false" stroked="true" strokeweight="1.2pt" strokecolor="#d2d2d2">
                <v:path arrowok="t"/>
              </v:shape>
            </v:group>
            <v:group style="position:absolute;left:6954;top:14;width:2;height:1328" coordorigin="6954,14" coordsize="2,1328">
              <v:shape style="position:absolute;left:6954;top:14;width:2;height:1328" coordorigin="6954,14" coordsize="0,1328" path="m6954,14l6954,1342e" filled="false" stroked="true" strokeweight="1.2pt" strokecolor="#d2d2d2">
                <v:path arrowok="t"/>
              </v:shape>
            </v:group>
            <v:group style="position:absolute;left:6129;top:14;width:814;height:353" coordorigin="6129,14" coordsize="814,353">
              <v:shape style="position:absolute;left:6129;top:14;width:814;height:353" coordorigin="6129,14" coordsize="814,353" path="m6129,367l6942,367,6942,14,6129,14,6129,367xe" filled="true" fillcolor="#d2d2d2" stroked="false">
                <v:path arrowok="t"/>
                <v:fill type="solid"/>
              </v:shape>
            </v:group>
            <v:group style="position:absolute;left:6129;top:367;width:814;height:312" coordorigin="6129,367" coordsize="814,312">
              <v:shape style="position:absolute;left:6129;top:367;width:814;height:312" coordorigin="6129,367" coordsize="814,312" path="m6129,679l6942,679,6942,367,6129,367,6129,679xe" filled="true" fillcolor="#d2d2d2" stroked="false">
                <v:path arrowok="t"/>
                <v:fill type="solid"/>
              </v:shape>
            </v:group>
            <v:group style="position:absolute;left:6129;top:679;width:814;height:312" coordorigin="6129,679" coordsize="814,312">
              <v:shape style="position:absolute;left:6129;top:679;width:814;height:312" coordorigin="6129,679" coordsize="814,312" path="m6129,991l6942,991,6942,679,6129,679,6129,991xe" filled="true" fillcolor="#d2d2d2" stroked="false">
                <v:path arrowok="t"/>
                <v:fill type="solid"/>
              </v:shape>
            </v:group>
            <v:group style="position:absolute;left:6129;top:991;width:814;height:351" coordorigin="6129,991" coordsize="814,351">
              <v:shape style="position:absolute;left:6129;top:991;width:814;height:351" coordorigin="6129,991" coordsize="814,351" path="m6129,1342l6942,1342,6942,991,6129,991,6129,1342xe" filled="true" fillcolor="#d2d2d2" stroked="false">
                <v:path arrowok="t"/>
                <v:fill type="solid"/>
              </v:shape>
            </v:group>
            <v:group style="position:absolute;left:6987;top:14;width:2;height:1328" coordorigin="6987,14" coordsize="2,1328">
              <v:shape style="position:absolute;left:6987;top:14;width:2;height:1328" coordorigin="6987,14" coordsize="0,1328" path="m6987,14l6987,1342e" filled="false" stroked="true" strokeweight="1.08pt" strokecolor="#d2d2d2">
                <v:path arrowok="t"/>
              </v:shape>
            </v:group>
            <v:group style="position:absolute;left:7825;top:14;width:2;height:1328" coordorigin="7825,14" coordsize="2,1328">
              <v:shape style="position:absolute;left:7825;top:14;width:2;height:1328" coordorigin="7825,14" coordsize="0,1328" path="m7825,14l7825,1342e" filled="false" stroked="true" strokeweight="1.08pt" strokecolor="#d2d2d2">
                <v:path arrowok="t"/>
              </v:shape>
            </v:group>
            <v:group style="position:absolute;left:6997;top:14;width:817;height:353" coordorigin="6997,14" coordsize="817,353">
              <v:shape style="position:absolute;left:6997;top:14;width:817;height:353" coordorigin="6997,14" coordsize="817,353" path="m6997,367l7814,367,7814,14,6997,14,6997,367xe" filled="true" fillcolor="#d2d2d2" stroked="false">
                <v:path arrowok="t"/>
                <v:fill type="solid"/>
              </v:shape>
            </v:group>
            <v:group style="position:absolute;left:6997;top:367;width:817;height:312" coordorigin="6997,367" coordsize="817,312">
              <v:shape style="position:absolute;left:6997;top:367;width:817;height:312" coordorigin="6997,367" coordsize="817,312" path="m6997,679l7814,679,7814,367,6997,367,6997,679xe" filled="true" fillcolor="#d2d2d2" stroked="false">
                <v:path arrowok="t"/>
                <v:fill type="solid"/>
              </v:shape>
            </v:group>
            <v:group style="position:absolute;left:6997;top:679;width:817;height:312" coordorigin="6997,679" coordsize="817,312">
              <v:shape style="position:absolute;left:6997;top:679;width:817;height:312" coordorigin="6997,679" coordsize="817,312" path="m6997,991l7814,991,7814,679,6997,679,6997,991xe" filled="true" fillcolor="#d2d2d2" stroked="false">
                <v:path arrowok="t"/>
                <v:fill type="solid"/>
              </v:shape>
            </v:group>
            <v:group style="position:absolute;left:6997;top:991;width:817;height:351" coordorigin="6997,991" coordsize="817,351">
              <v:shape style="position:absolute;left:6997;top:991;width:817;height:351" coordorigin="6997,991" coordsize="817,351" path="m6997,1342l7814,1342,7814,991,6997,991,6997,1342xe" filled="true" fillcolor="#d2d2d2" stroked="false">
                <v:path arrowok="t"/>
                <v:fill type="solid"/>
              </v:shape>
            </v:group>
            <v:group style="position:absolute;left:7845;top:14;width:862;height:312" coordorigin="7845,14" coordsize="862,312">
              <v:shape style="position:absolute;left:7845;top:14;width:862;height:312" coordorigin="7845,14" coordsize="862,312" path="m7845,326l8707,326,8707,14,7845,14,7845,326xe" filled="true" fillcolor="#d2d2d2" stroked="false">
                <v:path arrowok="t"/>
                <v:fill type="solid"/>
              </v:shape>
            </v:group>
            <v:group style="position:absolute;left:7857;top:326;width:2;height:704" coordorigin="7857,326" coordsize="2,704">
              <v:shape style="position:absolute;left:7857;top:326;width:2;height:704" coordorigin="7857,326" coordsize="0,704" path="m7857,326l7857,1030e" filled="false" stroked="true" strokeweight="1.2pt" strokecolor="#d2d2d2">
                <v:path arrowok="t"/>
              </v:shape>
            </v:group>
            <v:group style="position:absolute;left:8695;top:326;width:2;height:704" coordorigin="8695,326" coordsize="2,704">
              <v:shape style="position:absolute;left:8695;top:326;width:2;height:704" coordorigin="8695,326" coordsize="0,704" path="m8695,326l8695,1030e" filled="false" stroked="true" strokeweight="1.2pt" strokecolor="#d2d2d2">
                <v:path arrowok="t"/>
              </v:shape>
            </v:group>
            <v:group style="position:absolute;left:7845;top:1030;width:862;height:312" coordorigin="7845,1030" coordsize="862,312">
              <v:shape style="position:absolute;left:7845;top:1030;width:862;height:312" coordorigin="7845,1030" coordsize="862,312" path="m7845,1342l8707,1342,8707,1030,7845,1030,7845,1342xe" filled="true" fillcolor="#d2d2d2" stroked="false">
                <v:path arrowok="t"/>
                <v:fill type="solid"/>
              </v:shape>
            </v:group>
            <v:group style="position:absolute;left:7869;top:326;width:814;height:353" coordorigin="7869,326" coordsize="814,353">
              <v:shape style="position:absolute;left:7869;top:326;width:814;height:353" coordorigin="7869,326" coordsize="814,353" path="m7869,679l8683,679,8683,326,7869,326,7869,679xe" filled="true" fillcolor="#d2d2d2" stroked="false">
                <v:path arrowok="t"/>
                <v:fill type="solid"/>
              </v:shape>
            </v:group>
            <v:group style="position:absolute;left:7869;top:679;width:814;height:351" coordorigin="7869,679" coordsize="814,351">
              <v:shape style="position:absolute;left:7869;top:679;width:814;height:351" coordorigin="7869,679" coordsize="814,351" path="m7869,1030l8683,1030,8683,679,7869,679,7869,1030xe" filled="true" fillcolor="#d2d2d2" stroked="false">
                <v:path arrowok="t"/>
                <v:fill type="solid"/>
              </v:shape>
            </v:group>
            <v:group style="position:absolute;left:8716;top:14;width:850;height:312" coordorigin="8716,14" coordsize="850,312">
              <v:shape style="position:absolute;left:8716;top:14;width:850;height:312" coordorigin="8716,14" coordsize="850,312" path="m8716,326l9566,326,9566,14,8716,14,8716,326xe" filled="true" fillcolor="#d2d2d2" stroked="false">
                <v:path arrowok="t"/>
                <v:fill type="solid"/>
              </v:shape>
            </v:group>
            <v:group style="position:absolute;left:8727;top:326;width:2;height:704" coordorigin="8727,326" coordsize="2,704">
              <v:shape style="position:absolute;left:8727;top:326;width:2;height:704" coordorigin="8727,326" coordsize="0,704" path="m8727,326l8727,1030e" filled="false" stroked="true" strokeweight="1.08pt" strokecolor="#d2d2d2">
                <v:path arrowok="t"/>
              </v:shape>
            </v:group>
            <v:group style="position:absolute;left:9555;top:326;width:2;height:704" coordorigin="9555,326" coordsize="2,704">
              <v:shape style="position:absolute;left:9555;top:326;width:2;height:704" coordorigin="9555,326" coordsize="0,704" path="m9555,326l9555,1030e" filled="false" stroked="true" strokeweight="1.08pt" strokecolor="#d2d2d2">
                <v:path arrowok="t"/>
              </v:shape>
            </v:group>
            <v:group style="position:absolute;left:8716;top:1030;width:850;height:312" coordorigin="8716,1030" coordsize="850,312">
              <v:shape style="position:absolute;left:8716;top:1030;width:850;height:312" coordorigin="8716,1030" coordsize="850,312" path="m8716,1342l9566,1342,9566,1030,8716,1030,8716,1342xe" filled="true" fillcolor="#d2d2d2" stroked="false">
                <v:path arrowok="t"/>
                <v:fill type="solid"/>
              </v:shape>
            </v:group>
            <v:group style="position:absolute;left:8738;top:326;width:807;height:353" coordorigin="8738,326" coordsize="807,353">
              <v:shape style="position:absolute;left:8738;top:326;width:807;height:353" coordorigin="8738,326" coordsize="807,353" path="m8738,679l9544,679,9544,326,8738,326,8738,679xe" filled="true" fillcolor="#d2d2d2" stroked="false">
                <v:path arrowok="t"/>
                <v:fill type="solid"/>
              </v:shape>
            </v:group>
            <v:group style="position:absolute;left:8738;top:679;width:807;height:351" coordorigin="8738,679" coordsize="807,351">
              <v:shape style="position:absolute;left:8738;top:679;width:807;height:351" coordorigin="8738,679" coordsize="807,351" path="m8738,1030l9544,1030,9544,679,8738,679,8738,1030xe" filled="true" fillcolor="#d2d2d2" stroked="false">
                <v:path arrowok="t"/>
                <v:fill type="solid"/>
              </v:shape>
            </v:group>
            <v:group style="position:absolute;left:10;top:10;width:865;height:2" coordorigin="10,10" coordsize="865,2">
              <v:shape style="position:absolute;left:10;top:10;width:865;height:2" coordorigin="10,10" coordsize="865,0" path="m10,10l874,10e" filled="false" stroked="true" strokeweight=".48pt" strokecolor="#000000">
                <v:path arrowok="t"/>
              </v:shape>
            </v:group>
            <v:group style="position:absolute;left:884;top:10;width:860;height:2" coordorigin="884,10" coordsize="860,2">
              <v:shape style="position:absolute;left:884;top:10;width:860;height:2" coordorigin="884,10" coordsize="860,0" path="m884,10l1743,10e" filled="false" stroked="true" strokeweight=".48pt" strokecolor="#000000">
                <v:path arrowok="t"/>
              </v:shape>
            </v:group>
            <v:group style="position:absolute;left:1752;top:10;width:862;height:2" coordorigin="1752,10" coordsize="862,2">
              <v:shape style="position:absolute;left:1752;top:10;width:862;height:2" coordorigin="1752,10" coordsize="862,0" path="m1752,10l2614,10e" filled="false" stroked="true" strokeweight=".48pt" strokecolor="#000000">
                <v:path arrowok="t"/>
              </v:shape>
            </v:group>
            <v:group style="position:absolute;left:2624;top:10;width:860;height:2" coordorigin="2624,10" coordsize="860,2">
              <v:shape style="position:absolute;left:2624;top:10;width:860;height:2" coordorigin="2624,10" coordsize="860,0" path="m2624,10l3483,10e" filled="false" stroked="true" strokeweight=".48pt" strokecolor="#000000">
                <v:path arrowok="t"/>
              </v:shape>
            </v:group>
            <v:group style="position:absolute;left:3493;top:10;width:862;height:2" coordorigin="3493,10" coordsize="862,2">
              <v:shape style="position:absolute;left:3493;top:10;width:862;height:2" coordorigin="3493,10" coordsize="862,0" path="m3493,10l4355,10e" filled="false" stroked="true" strokeweight=".48pt" strokecolor="#000000">
                <v:path arrowok="t"/>
              </v:shape>
            </v:group>
            <v:group style="position:absolute;left:4364;top:10;width:860;height:2" coordorigin="4364,10" coordsize="860,2">
              <v:shape style="position:absolute;left:4364;top:10;width:860;height:2" coordorigin="4364,10" coordsize="860,0" path="m4364,10l5224,10e" filled="false" stroked="true" strokeweight=".48pt" strokecolor="#000000">
                <v:path arrowok="t"/>
              </v:shape>
            </v:group>
            <v:group style="position:absolute;left:5233;top:10;width:862;height:2" coordorigin="5233,10" coordsize="862,2">
              <v:shape style="position:absolute;left:5233;top:10;width:862;height:2" coordorigin="5233,10" coordsize="862,0" path="m5233,10l6095,10e" filled="false" stroked="true" strokeweight=".48pt" strokecolor="#000000">
                <v:path arrowok="t"/>
              </v:shape>
            </v:group>
            <v:group style="position:absolute;left:6105;top:10;width:860;height:2" coordorigin="6105,10" coordsize="860,2">
              <v:shape style="position:absolute;left:6105;top:10;width:860;height:2" coordorigin="6105,10" coordsize="860,0" path="m6105,10l6964,10e" filled="false" stroked="true" strokeweight=".48pt" strokecolor="#000000">
                <v:path arrowok="t"/>
              </v:shape>
            </v:group>
            <v:group style="position:absolute;left:6973;top:10;width:863;height:2" coordorigin="6973,10" coordsize="863,2">
              <v:shape style="position:absolute;left:6973;top:10;width:863;height:2" coordorigin="6973,10" coordsize="863,0" path="m6973,10l7835,10e" filled="false" stroked="true" strokeweight=".48pt" strokecolor="#000000">
                <v:path arrowok="t"/>
              </v:shape>
            </v:group>
            <v:group style="position:absolute;left:7845;top:10;width:860;height:2" coordorigin="7845,10" coordsize="860,2">
              <v:shape style="position:absolute;left:7845;top:10;width:860;height:2" coordorigin="7845,10" coordsize="860,0" path="m7845,10l8704,10e" filled="false" stroked="true" strokeweight=".48pt" strokecolor="#000000">
                <v:path arrowok="t"/>
              </v:shape>
            </v:group>
            <v:group style="position:absolute;left:8714;top:10;width:852;height:2" coordorigin="8714,10" coordsize="852,2">
              <v:shape style="position:absolute;left:8714;top:10;width:852;height:2" coordorigin="8714,10" coordsize="852,0" path="m8714,10l9566,10e" filled="false" stroked="true" strokeweight=".48pt" strokecolor="#000000">
                <v:path arrowok="t"/>
              </v:shape>
            </v:group>
            <v:group style="position:absolute;left:5236;top:1351;width:860;height:3433" coordorigin="5236,1351" coordsize="860,3433">
              <v:shape style="position:absolute;left:5236;top:1351;width:860;height:3433" coordorigin="5236,1351" coordsize="860,3433" path="m5236,4784l6095,4784,6095,1351,5236,1351,5236,4784xe" filled="true" fillcolor="#ffffff" stroked="false">
                <v:path arrowok="t"/>
                <v:fill type="solid"/>
              </v:shape>
            </v:group>
            <v:group style="position:absolute;left:10;top:1346;width:865;height:2" coordorigin="10,1346" coordsize="865,2">
              <v:shape style="position:absolute;left:10;top:1346;width:865;height:2" coordorigin="10,1346" coordsize="865,0" path="m10,1346l874,1346e" filled="false" stroked="true" strokeweight=".48pt" strokecolor="#000000">
                <v:path arrowok="t"/>
              </v:shape>
            </v:group>
            <v:group style="position:absolute;left:884;top:1346;width:860;height:2" coordorigin="884,1346" coordsize="860,2">
              <v:shape style="position:absolute;left:884;top:1346;width:860;height:2" coordorigin="884,1346" coordsize="860,0" path="m884,1346l1743,1346e" filled="false" stroked="true" strokeweight=".48pt" strokecolor="#000000">
                <v:path arrowok="t"/>
              </v:shape>
            </v:group>
            <v:group style="position:absolute;left:1752;top:1346;width:862;height:2" coordorigin="1752,1346" coordsize="862,2">
              <v:shape style="position:absolute;left:1752;top:1346;width:862;height:2" coordorigin="1752,1346" coordsize="862,0" path="m1752,1346l2614,1346e" filled="false" stroked="true" strokeweight=".48pt" strokecolor="#000000">
                <v:path arrowok="t"/>
              </v:shape>
            </v:group>
            <v:group style="position:absolute;left:2624;top:1346;width:860;height:2" coordorigin="2624,1346" coordsize="860,2">
              <v:shape style="position:absolute;left:2624;top:1346;width:860;height:2" coordorigin="2624,1346" coordsize="860,0" path="m2624,1346l3483,1346e" filled="false" stroked="true" strokeweight=".48pt" strokecolor="#000000">
                <v:path arrowok="t"/>
              </v:shape>
            </v:group>
            <v:group style="position:absolute;left:3493;top:1346;width:862;height:2" coordorigin="3493,1346" coordsize="862,2">
              <v:shape style="position:absolute;left:3493;top:1346;width:862;height:2" coordorigin="3493,1346" coordsize="862,0" path="m3493,1346l4355,1346e" filled="false" stroked="true" strokeweight=".48pt" strokecolor="#000000">
                <v:path arrowok="t"/>
              </v:shape>
            </v:group>
            <v:group style="position:absolute;left:4364;top:1346;width:860;height:2" coordorigin="4364,1346" coordsize="860,2">
              <v:shape style="position:absolute;left:4364;top:1346;width:860;height:2" coordorigin="4364,1346" coordsize="860,0" path="m4364,1346l5224,1346e" filled="false" stroked="true" strokeweight=".48pt" strokecolor="#000000">
                <v:path arrowok="t"/>
              </v:shape>
            </v:group>
            <v:group style="position:absolute;left:5233;top:1346;width:862;height:2" coordorigin="5233,1346" coordsize="862,2">
              <v:shape style="position:absolute;left:5233;top:1346;width:862;height:2" coordorigin="5233,1346" coordsize="862,0" path="m5233,1346l6095,1346e" filled="false" stroked="true" strokeweight=".48pt" strokecolor="#000000">
                <v:path arrowok="t"/>
              </v:shape>
            </v:group>
            <v:group style="position:absolute;left:6105;top:1346;width:860;height:2" coordorigin="6105,1346" coordsize="860,2">
              <v:shape style="position:absolute;left:6105;top:1346;width:860;height:2" coordorigin="6105,1346" coordsize="860,0" path="m6105,1346l6964,1346e" filled="false" stroked="true" strokeweight=".48pt" strokecolor="#000000">
                <v:path arrowok="t"/>
              </v:shape>
            </v:group>
            <v:group style="position:absolute;left:6973;top:1346;width:863;height:2" coordorigin="6973,1346" coordsize="863,2">
              <v:shape style="position:absolute;left:6973;top:1346;width:863;height:2" coordorigin="6973,1346" coordsize="863,0" path="m6973,1346l7835,1346e" filled="false" stroked="true" strokeweight=".48pt" strokecolor="#000000">
                <v:path arrowok="t"/>
              </v:shape>
            </v:group>
            <v:group style="position:absolute;left:7845;top:1346;width:860;height:2" coordorigin="7845,1346" coordsize="860,2">
              <v:shape style="position:absolute;left:7845;top:1346;width:860;height:2" coordorigin="7845,1346" coordsize="860,0" path="m7845,1346l8704,1346e" filled="false" stroked="true" strokeweight=".48pt" strokecolor="#000000">
                <v:path arrowok="t"/>
              </v:shape>
            </v:group>
            <v:group style="position:absolute;left:8714;top:1346;width:852;height:2" coordorigin="8714,1346" coordsize="852,2">
              <v:shape style="position:absolute;left:8714;top:1346;width:852;height:2" coordorigin="8714,1346" coordsize="852,0" path="m8714,1346l9566,1346e" filled="false" stroked="true" strokeweight=".48pt" strokecolor="#000000">
                <v:path arrowok="t"/>
              </v:shape>
            </v:group>
            <v:group style="position:absolute;left:5;top:5;width:2;height:8927" coordorigin="5,5" coordsize="2,8927">
              <v:shape style="position:absolute;left:5;top:5;width:2;height:8927" coordorigin="5,5" coordsize="0,8927" path="m5,5l5,8931e" filled="false" stroked="true" strokeweight=".48pt" strokecolor="#000000">
                <v:path arrowok="t"/>
              </v:shape>
            </v:group>
            <v:group style="position:absolute;left:10;top:8927;width:865;height:2" coordorigin="10,8927" coordsize="865,2">
              <v:shape style="position:absolute;left:10;top:8927;width:865;height:2" coordorigin="10,8927" coordsize="865,0" path="m10,8927l874,8927e" filled="false" stroked="true" strokeweight=".48pt" strokecolor="#000000">
                <v:path arrowok="t"/>
              </v:shape>
            </v:group>
            <v:group style="position:absolute;left:879;top:5;width:2;height:8927" coordorigin="879,5" coordsize="2,8927">
              <v:shape style="position:absolute;left:879;top:5;width:2;height:8927" coordorigin="879,5" coordsize="0,8927" path="m879,5l879,8931e" filled="false" stroked="true" strokeweight=".48pt" strokecolor="#000000">
                <v:path arrowok="t"/>
              </v:shape>
            </v:group>
            <v:group style="position:absolute;left:884;top:8927;width:860;height:2" coordorigin="884,8927" coordsize="860,2">
              <v:shape style="position:absolute;left:884;top:8927;width:860;height:2" coordorigin="884,8927" coordsize="860,0" path="m884,8927l1743,8927e" filled="false" stroked="true" strokeweight=".48pt" strokecolor="#000000">
                <v:path arrowok="t"/>
              </v:shape>
            </v:group>
            <v:group style="position:absolute;left:1748;top:5;width:2;height:8927" coordorigin="1748,5" coordsize="2,8927">
              <v:shape style="position:absolute;left:1748;top:5;width:2;height:8927" coordorigin="1748,5" coordsize="0,8927" path="m1748,5l1748,8931e" filled="false" stroked="true" strokeweight=".48pt" strokecolor="#000000">
                <v:path arrowok="t"/>
              </v:shape>
            </v:group>
            <v:group style="position:absolute;left:1752;top:8927;width:862;height:2" coordorigin="1752,8927" coordsize="862,2">
              <v:shape style="position:absolute;left:1752;top:8927;width:862;height:2" coordorigin="1752,8927" coordsize="862,0" path="m1752,8927l2614,8927e" filled="false" stroked="true" strokeweight=".48pt" strokecolor="#000000">
                <v:path arrowok="t"/>
              </v:shape>
            </v:group>
            <v:group style="position:absolute;left:2619;top:5;width:2;height:8927" coordorigin="2619,5" coordsize="2,8927">
              <v:shape style="position:absolute;left:2619;top:5;width:2;height:8927" coordorigin="2619,5" coordsize="0,8927" path="m2619,5l2619,8931e" filled="false" stroked="true" strokeweight=".48pt" strokecolor="#000000">
                <v:path arrowok="t"/>
              </v:shape>
            </v:group>
            <v:group style="position:absolute;left:2624;top:8927;width:860;height:2" coordorigin="2624,8927" coordsize="860,2">
              <v:shape style="position:absolute;left:2624;top:8927;width:860;height:2" coordorigin="2624,8927" coordsize="860,0" path="m2624,8927l3483,8927e" filled="false" stroked="true" strokeweight=".48pt" strokecolor="#000000">
                <v:path arrowok="t"/>
              </v:shape>
            </v:group>
            <v:group style="position:absolute;left:3488;top:5;width:2;height:8927" coordorigin="3488,5" coordsize="2,8927">
              <v:shape style="position:absolute;left:3488;top:5;width:2;height:8927" coordorigin="3488,5" coordsize="0,8927" path="m3488,5l3488,8931e" filled="false" stroked="true" strokeweight=".48pt" strokecolor="#000000">
                <v:path arrowok="t"/>
              </v:shape>
            </v:group>
            <v:group style="position:absolute;left:3493;top:8927;width:862;height:2" coordorigin="3493,8927" coordsize="862,2">
              <v:shape style="position:absolute;left:3493;top:8927;width:862;height:2" coordorigin="3493,8927" coordsize="862,0" path="m3493,8927l4355,8927e" filled="false" stroked="true" strokeweight=".48pt" strokecolor="#000000">
                <v:path arrowok="t"/>
              </v:shape>
            </v:group>
            <v:group style="position:absolute;left:4359;top:5;width:2;height:8927" coordorigin="4359,5" coordsize="2,8927">
              <v:shape style="position:absolute;left:4359;top:5;width:2;height:8927" coordorigin="4359,5" coordsize="0,8927" path="m4359,5l4359,8931e" filled="false" stroked="true" strokeweight=".48pt" strokecolor="#000000">
                <v:path arrowok="t"/>
              </v:shape>
            </v:group>
            <v:group style="position:absolute;left:5236;top:5489;width:860;height:3433" coordorigin="5236,5489" coordsize="860,3433">
              <v:shape style="position:absolute;left:5236;top:5489;width:860;height:3433" coordorigin="5236,5489" coordsize="860,3433" path="m5236,8922l6095,8922,6095,5489,5236,5489,5236,8922xe" filled="true" fillcolor="#ffffff" stroked="false">
                <v:path arrowok="t"/>
                <v:fill type="solid"/>
              </v:shape>
            </v:group>
            <v:group style="position:absolute;left:4364;top:8927;width:860;height:2" coordorigin="4364,8927" coordsize="860,2">
              <v:shape style="position:absolute;left:4364;top:8927;width:860;height:2" coordorigin="4364,8927" coordsize="860,0" path="m4364,8927l5224,8927e" filled="false" stroked="true" strokeweight=".48pt" strokecolor="#000000">
                <v:path arrowok="t"/>
              </v:shape>
            </v:group>
            <v:group style="position:absolute;left:5229;top:5;width:2;height:8927" coordorigin="5229,5" coordsize="2,8927">
              <v:shape style="position:absolute;left:5229;top:5;width:2;height:8927" coordorigin="5229,5" coordsize="0,8927" path="m5229,5l5229,8931e" filled="false" stroked="true" strokeweight=".48pt" strokecolor="#000000">
                <v:path arrowok="t"/>
              </v:shape>
            </v:group>
            <v:group style="position:absolute;left:5233;top:8927;width:862;height:2" coordorigin="5233,8927" coordsize="862,2">
              <v:shape style="position:absolute;left:5233;top:8927;width:862;height:2" coordorigin="5233,8927" coordsize="862,0" path="m5233,8927l6095,8927e" filled="false" stroked="true" strokeweight=".48pt" strokecolor="#000000">
                <v:path arrowok="t"/>
              </v:shape>
            </v:group>
            <v:group style="position:absolute;left:6100;top:5;width:2;height:8927" coordorigin="6100,5" coordsize="2,8927">
              <v:shape style="position:absolute;left:6100;top:5;width:2;height:8927" coordorigin="6100,5" coordsize="0,8927" path="m6100,5l6100,8931e" filled="false" stroked="true" strokeweight=".48pt" strokecolor="#000000">
                <v:path arrowok="t"/>
              </v:shape>
            </v:group>
            <v:group style="position:absolute;left:6105;top:8927;width:860;height:2" coordorigin="6105,8927" coordsize="860,2">
              <v:shape style="position:absolute;left:6105;top:8927;width:860;height:2" coordorigin="6105,8927" coordsize="860,0" path="m6105,8927l6964,8927e" filled="false" stroked="true" strokeweight=".48pt" strokecolor="#000000">
                <v:path arrowok="t"/>
              </v:shape>
            </v:group>
            <v:group style="position:absolute;left:6969;top:5;width:2;height:8927" coordorigin="6969,5" coordsize="2,8927">
              <v:shape style="position:absolute;left:6969;top:5;width:2;height:8927" coordorigin="6969,5" coordsize="0,8927" path="m6969,5l6969,8931e" filled="false" stroked="true" strokeweight=".48pt" strokecolor="#000000">
                <v:path arrowok="t"/>
              </v:shape>
            </v:group>
            <v:group style="position:absolute;left:6973;top:8927;width:863;height:2" coordorigin="6973,8927" coordsize="863,2">
              <v:shape style="position:absolute;left:6973;top:8927;width:863;height:2" coordorigin="6973,8927" coordsize="863,0" path="m6973,8927l7835,8927e" filled="false" stroked="true" strokeweight=".48pt" strokecolor="#000000">
                <v:path arrowok="t"/>
              </v:shape>
            </v:group>
            <v:group style="position:absolute;left:7840;top:5;width:2;height:8927" coordorigin="7840,5" coordsize="2,8927">
              <v:shape style="position:absolute;left:7840;top:5;width:2;height:8927" coordorigin="7840,5" coordsize="0,8927" path="m7840,5l7840,8931e" filled="false" stroked="true" strokeweight=".48pt" strokecolor="#000000">
                <v:path arrowok="t"/>
              </v:shape>
            </v:group>
            <v:group style="position:absolute;left:7845;top:8927;width:860;height:2" coordorigin="7845,8927" coordsize="860,2">
              <v:shape style="position:absolute;left:7845;top:8927;width:860;height:2" coordorigin="7845,8927" coordsize="860,0" path="m7845,8927l8704,8927e" filled="false" stroked="true" strokeweight=".48pt" strokecolor="#000000">
                <v:path arrowok="t"/>
              </v:shape>
            </v:group>
            <v:group style="position:absolute;left:8709;top:5;width:2;height:8927" coordorigin="8709,5" coordsize="2,8927">
              <v:shape style="position:absolute;left:8709;top:5;width:2;height:8927" coordorigin="8709,5" coordsize="0,8927" path="m8709,5l8709,8931e" filled="false" stroked="true" strokeweight=".48pt" strokecolor="#000000">
                <v:path arrowok="t"/>
              </v:shape>
            </v:group>
            <v:group style="position:absolute;left:8714;top:8927;width:852;height:2" coordorigin="8714,8927" coordsize="852,2">
              <v:shape style="position:absolute;left:8714;top:8927;width:852;height:2" coordorigin="8714,8927" coordsize="852,0" path="m8714,8927l9566,8927e" filled="false" stroked="true" strokeweight=".48pt" strokecolor="#000000">
                <v:path arrowok="t"/>
              </v:shape>
            </v:group>
            <v:group style="position:absolute;left:9571;top:5;width:2;height:8927" coordorigin="9571,5" coordsize="2,8927">
              <v:shape style="position:absolute;left:9571;top:5;width:2;height:8927" coordorigin="9571,5" coordsize="0,8927" path="m9571,5l9571,8931e" filled="false" stroked="true" strokeweight=".48pt" strokecolor="#000000">
                <v:path arrowok="t"/>
              </v:shape>
              <v:shape style="position:absolute;left:5;top:10;width:874;height:1337"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346" w:right="75" w:hanging="270"/>
                        <w:jc w:val="left"/>
                        <w:rPr>
                          <w:rFonts w:ascii="宋体" w:hAnsi="宋体" w:cs="宋体" w:eastAsia="宋体" w:hint="default"/>
                          <w:sz w:val="18"/>
                          <w:szCs w:val="18"/>
                        </w:rPr>
                      </w:pPr>
                      <w:r>
                        <w:rPr>
                          <w:rFonts w:ascii="宋体" w:hAnsi="宋体" w:cs="宋体" w:eastAsia="宋体" w:hint="default"/>
                          <w:sz w:val="18"/>
                          <w:szCs w:val="18"/>
                        </w:rPr>
                        <w:t>母公司名 称</w:t>
                      </w:r>
                    </w:p>
                  </w:txbxContent>
                </v:textbox>
                <w10:wrap type="none"/>
              </v:shape>
              <v:shape style="position:absolute;left:879;top:10;width:869;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74"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1748;top:10;width:872;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74" w:right="0" w:firstLine="0"/>
                        <w:jc w:val="left"/>
                        <w:rPr>
                          <w:rFonts w:ascii="宋体" w:hAnsi="宋体" w:cs="宋体" w:eastAsia="宋体" w:hint="default"/>
                          <w:sz w:val="18"/>
                          <w:szCs w:val="18"/>
                        </w:rPr>
                      </w:pPr>
                      <w:r>
                        <w:rPr>
                          <w:rFonts w:ascii="宋体" w:hAnsi="宋体" w:cs="宋体" w:eastAsia="宋体" w:hint="default"/>
                          <w:sz w:val="18"/>
                          <w:szCs w:val="18"/>
                        </w:rPr>
                        <w:t>企业类型</w:t>
                      </w:r>
                    </w:p>
                  </w:txbxContent>
                </v:textbox>
                <w10:wrap type="none"/>
              </v:shape>
              <v:shape style="position:absolute;left:2619;top:10;width:870;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66" w:right="0" w:firstLine="0"/>
                        <w:jc w:val="left"/>
                        <w:rPr>
                          <w:rFonts w:ascii="宋体" w:hAnsi="宋体" w:cs="宋体" w:eastAsia="宋体" w:hint="default"/>
                          <w:sz w:val="18"/>
                          <w:szCs w:val="18"/>
                        </w:rPr>
                      </w:pPr>
                      <w:r>
                        <w:rPr>
                          <w:rFonts w:ascii="宋体" w:hAnsi="宋体" w:cs="宋体" w:eastAsia="宋体" w:hint="default"/>
                          <w:sz w:val="18"/>
                          <w:szCs w:val="18"/>
                        </w:rPr>
                        <w:t>注册地</w:t>
                      </w:r>
                    </w:p>
                  </w:txbxContent>
                </v:textbox>
                <w10:wrap type="none"/>
              </v:shape>
              <v:shape style="position:absolute;left:3488;top:10;width:872;height:1337"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345" w:right="74" w:hanging="272"/>
                        <w:jc w:val="left"/>
                        <w:rPr>
                          <w:rFonts w:ascii="宋体" w:hAnsi="宋体" w:cs="宋体" w:eastAsia="宋体" w:hint="default"/>
                          <w:sz w:val="18"/>
                          <w:szCs w:val="18"/>
                        </w:rPr>
                      </w:pPr>
                      <w:r>
                        <w:rPr>
                          <w:rFonts w:ascii="宋体" w:hAnsi="宋体" w:cs="宋体" w:eastAsia="宋体" w:hint="default"/>
                          <w:sz w:val="18"/>
                          <w:szCs w:val="18"/>
                        </w:rPr>
                        <w:t>法定代表 人</w:t>
                      </w:r>
                    </w:p>
                  </w:txbxContent>
                </v:textbox>
                <w10:wrap type="none"/>
              </v:shape>
              <v:shape style="position:absolute;left:4359;top:10;width:870;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74" w:right="0" w:firstLine="0"/>
                        <w:jc w:val="left"/>
                        <w:rPr>
                          <w:rFonts w:ascii="宋体" w:hAnsi="宋体" w:cs="宋体" w:eastAsia="宋体" w:hint="default"/>
                          <w:sz w:val="18"/>
                          <w:szCs w:val="18"/>
                        </w:rPr>
                      </w:pPr>
                      <w:r>
                        <w:rPr>
                          <w:rFonts w:ascii="宋体" w:hAnsi="宋体" w:cs="宋体" w:eastAsia="宋体" w:hint="default"/>
                          <w:sz w:val="18"/>
                          <w:szCs w:val="18"/>
                        </w:rPr>
                        <w:t>业务性质</w:t>
                      </w:r>
                    </w:p>
                  </w:txbxContent>
                </v:textbox>
                <w10:wrap type="none"/>
              </v:shape>
              <v:shape style="position:absolute;left:5229;top:10;width:872;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74" w:right="0" w:firstLine="0"/>
                        <w:jc w:val="left"/>
                        <w:rPr>
                          <w:rFonts w:ascii="宋体" w:hAnsi="宋体" w:cs="宋体" w:eastAsia="宋体" w:hint="default"/>
                          <w:sz w:val="18"/>
                          <w:szCs w:val="18"/>
                        </w:rPr>
                      </w:pPr>
                      <w:r>
                        <w:rPr>
                          <w:rFonts w:ascii="宋体" w:hAnsi="宋体" w:cs="宋体" w:eastAsia="宋体" w:hint="default"/>
                          <w:sz w:val="18"/>
                          <w:szCs w:val="18"/>
                        </w:rPr>
                        <w:t>注册资本</w:t>
                      </w:r>
                    </w:p>
                  </w:txbxContent>
                </v:textbox>
                <w10:wrap type="none"/>
              </v:shape>
              <v:shape style="position:absolute;left:6100;top:10;width:869;height:1337" type="#_x0000_t202" filled="false" stroked="false">
                <v:textbox inset="0,0,0,0">
                  <w:txbxContent>
                    <w:p>
                      <w:pPr>
                        <w:spacing w:line="316" w:lineRule="auto" w:before="53"/>
                        <w:ind w:left="74" w:right="72" w:firstLine="0"/>
                        <w:jc w:val="center"/>
                        <w:rPr>
                          <w:rFonts w:ascii="宋体" w:hAnsi="宋体" w:cs="宋体" w:eastAsia="宋体" w:hint="default"/>
                          <w:sz w:val="18"/>
                          <w:szCs w:val="18"/>
                        </w:rPr>
                      </w:pPr>
                      <w:r>
                        <w:rPr>
                          <w:rFonts w:ascii="宋体" w:hAnsi="宋体" w:cs="宋体" w:eastAsia="宋体" w:hint="default"/>
                          <w:sz w:val="18"/>
                          <w:szCs w:val="18"/>
                        </w:rPr>
                        <w:t>母公司对 本企业的 持股比例 </w:t>
                      </w:r>
                      <w:r>
                        <w:rPr>
                          <w:rFonts w:ascii="宋体" w:hAnsi="宋体" w:cs="宋体" w:eastAsia="宋体" w:hint="default"/>
                          <w:sz w:val="18"/>
                          <w:szCs w:val="18"/>
                        </w:rPr>
                        <w:t>(%)</w:t>
                      </w:r>
                    </w:p>
                  </w:txbxContent>
                </v:textbox>
                <w10:wrap type="none"/>
              </v:shape>
              <v:shape style="position:absolute;left:6969;top:10;width:872;height:1337" type="#_x0000_t202" filled="false" stroked="false">
                <v:textbox inset="0,0,0,0">
                  <w:txbxContent>
                    <w:p>
                      <w:pPr>
                        <w:spacing w:line="316" w:lineRule="auto" w:before="53"/>
                        <w:ind w:left="74" w:right="75" w:firstLine="0"/>
                        <w:jc w:val="center"/>
                        <w:rPr>
                          <w:rFonts w:ascii="宋体" w:hAnsi="宋体" w:cs="宋体" w:eastAsia="宋体" w:hint="default"/>
                          <w:sz w:val="18"/>
                          <w:szCs w:val="18"/>
                        </w:rPr>
                      </w:pPr>
                      <w:r>
                        <w:rPr>
                          <w:rFonts w:ascii="宋体" w:hAnsi="宋体" w:cs="宋体" w:eastAsia="宋体" w:hint="default"/>
                          <w:sz w:val="18"/>
                          <w:szCs w:val="18"/>
                        </w:rPr>
                        <w:t>母公司对 本企业的 表决权比 例</w:t>
                      </w:r>
                      <w:r>
                        <w:rPr>
                          <w:rFonts w:ascii="宋体" w:hAnsi="宋体" w:cs="宋体" w:eastAsia="宋体" w:hint="default"/>
                          <w:sz w:val="18"/>
                          <w:szCs w:val="18"/>
                        </w:rPr>
                        <w:t>(%)</w:t>
                      </w:r>
                    </w:p>
                  </w:txbxContent>
                </v:textbox>
                <w10:wrap type="none"/>
              </v:shape>
              <v:shape style="position:absolute;left:7840;top:10;width:869;height:1337"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74" w:right="72" w:firstLine="0"/>
                        <w:jc w:val="left"/>
                        <w:rPr>
                          <w:rFonts w:ascii="宋体" w:hAnsi="宋体" w:cs="宋体" w:eastAsia="宋体" w:hint="default"/>
                          <w:sz w:val="18"/>
                          <w:szCs w:val="18"/>
                        </w:rPr>
                      </w:pPr>
                      <w:r>
                        <w:rPr>
                          <w:rFonts w:ascii="宋体" w:hAnsi="宋体" w:cs="宋体" w:eastAsia="宋体" w:hint="default"/>
                          <w:sz w:val="18"/>
                          <w:szCs w:val="18"/>
                        </w:rPr>
                        <w:t>本企业最 终控制方</w:t>
                      </w:r>
                    </w:p>
                  </w:txbxContent>
                </v:textbox>
                <w10:wrap type="none"/>
              </v:shape>
              <v:shape style="position:absolute;left:8709;top:10;width:862;height:1337"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249" w:right="71"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xbxContent>
                </v:textbox>
                <w10:wrap type="none"/>
              </v:shape>
              <v:shape style="position:absolute;left:5;top:1346;width:874;height:758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line="316" w:lineRule="auto" w:before="0"/>
                        <w:ind w:left="28" w:right="123" w:firstLine="0"/>
                        <w:jc w:val="both"/>
                        <w:rPr>
                          <w:rFonts w:ascii="宋体" w:hAnsi="宋体" w:cs="宋体" w:eastAsia="宋体" w:hint="default"/>
                          <w:sz w:val="18"/>
                          <w:szCs w:val="18"/>
                        </w:rPr>
                      </w:pPr>
                      <w:r>
                        <w:rPr>
                          <w:rFonts w:ascii="宋体" w:hAnsi="宋体" w:cs="宋体" w:eastAsia="宋体" w:hint="default"/>
                          <w:sz w:val="18"/>
                          <w:szCs w:val="18"/>
                        </w:rPr>
                        <w:t>中国希格 玛有限公 司</w:t>
                      </w:r>
                    </w:p>
                  </w:txbxContent>
                </v:textbox>
                <w10:wrap type="none"/>
              </v:shape>
              <v:shape style="position:absolute;left:908;top:50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控股股东</w:t>
                      </w:r>
                    </w:p>
                  </w:txbxContent>
                </v:textbox>
                <w10:wrap type="none"/>
              </v:shape>
              <v:shape style="position:absolute;left:1748;top:1346;width:872;height:758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line="316" w:lineRule="auto" w:before="0"/>
                        <w:ind w:left="28" w:right="120" w:firstLine="0"/>
                        <w:jc w:val="left"/>
                        <w:rPr>
                          <w:rFonts w:ascii="宋体" w:hAnsi="宋体" w:cs="宋体" w:eastAsia="宋体" w:hint="default"/>
                          <w:sz w:val="18"/>
                          <w:szCs w:val="18"/>
                        </w:rPr>
                      </w:pPr>
                      <w:r>
                        <w:rPr>
                          <w:rFonts w:ascii="宋体" w:hAnsi="宋体" w:cs="宋体" w:eastAsia="宋体" w:hint="default"/>
                          <w:sz w:val="18"/>
                          <w:szCs w:val="18"/>
                        </w:rPr>
                        <w:t>有限责任 公司</w:t>
                      </w:r>
                    </w:p>
                  </w:txbxContent>
                </v:textbox>
                <w10:wrap type="none"/>
              </v:shape>
              <v:shape style="position:absolute;left:2648;top:504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v:shape style="position:absolute;left:3517;top:504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王晓岩</w:t>
                      </w:r>
                    </w:p>
                  </w:txbxContent>
                </v:textbox>
                <w10:wrap type="none"/>
              </v:shape>
              <v:shape style="position:absolute;left:6402;top:5044;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21.88%</w:t>
                      </w:r>
                    </w:p>
                  </w:txbxContent>
                </v:textbox>
                <w10:wrap type="none"/>
              </v:shape>
              <v:shape style="position:absolute;left:7271;top:5044;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21.88%</w:t>
                      </w:r>
                    </w:p>
                  </w:txbxContent>
                </v:textbox>
                <w10:wrap type="none"/>
              </v:shape>
              <v:shape style="position:absolute;left:7869;top:504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王晓岩</w:t>
                      </w:r>
                    </w:p>
                  </w:txbxContent>
                </v:textbox>
                <w10:wrap type="none"/>
              </v:shape>
              <v:shape style="position:absolute;left:0;top:0;width:9576;height:89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spacing w:line="316" w:lineRule="auto" w:before="0"/>
                        <w:ind w:left="4388" w:right="4285" w:firstLine="0"/>
                        <w:jc w:val="left"/>
                        <w:rPr>
                          <w:rFonts w:ascii="宋体" w:hAnsi="宋体" w:cs="宋体" w:eastAsia="宋体" w:hint="default"/>
                          <w:sz w:val="18"/>
                          <w:szCs w:val="18"/>
                        </w:rPr>
                      </w:pPr>
                      <w:r>
                        <w:rPr>
                          <w:rFonts w:ascii="宋体" w:hAnsi="宋体" w:cs="宋体" w:eastAsia="宋体" w:hint="default"/>
                          <w:sz w:val="18"/>
                          <w:szCs w:val="18"/>
                        </w:rPr>
                        <w:t>高新技术、 </w:t>
                      </w:r>
                      <w:r>
                        <w:rPr>
                          <w:rFonts w:ascii="宋体" w:hAnsi="宋体" w:cs="宋体" w:eastAsia="宋体" w:hint="default"/>
                          <w:spacing w:val="-18"/>
                          <w:sz w:val="18"/>
                          <w:szCs w:val="18"/>
                        </w:rPr>
                        <w:t>新工艺、新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产品开发、 生产、销 </w:t>
                      </w:r>
                      <w:r>
                        <w:rPr>
                          <w:rFonts w:ascii="宋体" w:hAnsi="宋体" w:cs="宋体" w:eastAsia="宋体" w:hint="default"/>
                          <w:spacing w:val="-18"/>
                          <w:sz w:val="18"/>
                          <w:szCs w:val="18"/>
                        </w:rPr>
                        <w:t>售；化工原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材料（危险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品除外）、</w:t>
                      </w:r>
                      <w:r>
                        <w:rPr>
                          <w:rFonts w:ascii="宋体" w:hAnsi="宋体" w:cs="宋体" w:eastAsia="宋体" w:hint="default"/>
                          <w:sz w:val="18"/>
                          <w:szCs w:val="18"/>
                        </w:rPr>
                        <w:t> 建筑材料、 计算机软 </w:t>
                      </w:r>
                      <w:r>
                        <w:rPr>
                          <w:rFonts w:ascii="宋体" w:hAnsi="宋体" w:cs="宋体" w:eastAsia="宋体" w:hint="default"/>
                          <w:spacing w:val="-18"/>
                          <w:sz w:val="18"/>
                          <w:szCs w:val="18"/>
                        </w:rPr>
                        <w:t>硬件、电子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电器设备、</w:t>
                      </w:r>
                    </w:p>
                    <w:p>
                      <w:pPr>
                        <w:spacing w:line="316" w:lineRule="auto" w:before="19"/>
                        <w:ind w:left="4388" w:right="3550" w:firstLine="0"/>
                        <w:jc w:val="left"/>
                        <w:rPr>
                          <w:rFonts w:ascii="宋体" w:hAnsi="宋体" w:cs="宋体" w:eastAsia="宋体" w:hint="default"/>
                          <w:sz w:val="18"/>
                          <w:szCs w:val="18"/>
                        </w:rPr>
                      </w:pPr>
                      <w:r>
                        <w:rPr>
                          <w:rFonts w:ascii="宋体" w:hAnsi="宋体" w:cs="宋体" w:eastAsia="宋体" w:hint="default"/>
                          <w:sz w:val="18"/>
                          <w:szCs w:val="18"/>
                        </w:rPr>
                        <w:t>有线通讯 </w:t>
                      </w:r>
                      <w:r>
                        <w:rPr>
                          <w:rFonts w:ascii="宋体" w:hAnsi="宋体" w:cs="宋体" w:eastAsia="宋体" w:hint="default"/>
                          <w:sz w:val="18"/>
                          <w:szCs w:val="18"/>
                        </w:rPr>
                        <w:t>10,037</w:t>
                      </w:r>
                      <w:r>
                        <w:rPr>
                          <w:rFonts w:ascii="宋体" w:hAnsi="宋体" w:cs="宋体" w:eastAsia="宋体" w:hint="default"/>
                          <w:spacing w:val="12"/>
                          <w:sz w:val="18"/>
                          <w:szCs w:val="18"/>
                        </w:rPr>
                        <w:t> </w:t>
                      </w:r>
                      <w:r>
                        <w:rPr>
                          <w:rFonts w:ascii="宋体" w:hAnsi="宋体" w:cs="宋体" w:eastAsia="宋体" w:hint="default"/>
                          <w:sz w:val="18"/>
                          <w:szCs w:val="18"/>
                        </w:rPr>
                        <w:t>万 </w:t>
                      </w:r>
                      <w:r>
                        <w:rPr>
                          <w:rFonts w:ascii="宋体" w:hAnsi="宋体" w:cs="宋体" w:eastAsia="宋体" w:hint="default"/>
                          <w:spacing w:val="-18"/>
                          <w:sz w:val="18"/>
                          <w:szCs w:val="18"/>
                        </w:rPr>
                        <w:t>设备、机械</w:t>
                      </w:r>
                      <w:r>
                        <w:rPr>
                          <w:rFonts w:ascii="宋体" w:hAnsi="宋体" w:cs="宋体" w:eastAsia="宋体" w:hint="default"/>
                          <w:spacing w:val="-35"/>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设备、家用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电器开发、</w:t>
                      </w:r>
                    </w:p>
                    <w:p>
                      <w:pPr>
                        <w:spacing w:line="316" w:lineRule="auto" w:before="19"/>
                        <w:ind w:left="4388" w:right="4285" w:firstLine="0"/>
                        <w:jc w:val="left"/>
                        <w:rPr>
                          <w:rFonts w:ascii="宋体" w:hAnsi="宋体" w:cs="宋体" w:eastAsia="宋体" w:hint="default"/>
                          <w:sz w:val="18"/>
                          <w:szCs w:val="18"/>
                        </w:rPr>
                      </w:pPr>
                      <w:r>
                        <w:rPr>
                          <w:rFonts w:ascii="宋体" w:hAnsi="宋体" w:cs="宋体" w:eastAsia="宋体" w:hint="default"/>
                          <w:sz w:val="18"/>
                          <w:szCs w:val="18"/>
                        </w:rPr>
                        <w:t>生产、销 </w:t>
                      </w:r>
                      <w:r>
                        <w:rPr>
                          <w:rFonts w:ascii="宋体" w:hAnsi="宋体" w:cs="宋体" w:eastAsia="宋体" w:hint="default"/>
                          <w:spacing w:val="-18"/>
                          <w:sz w:val="18"/>
                          <w:szCs w:val="18"/>
                        </w:rPr>
                        <w:t>售；装饰装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修工程；百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货的销售； 上述范围 的项目承 </w:t>
                      </w:r>
                      <w:r>
                        <w:rPr>
                          <w:rFonts w:ascii="宋体" w:hAnsi="宋体" w:cs="宋体" w:eastAsia="宋体" w:hint="default"/>
                          <w:spacing w:val="-18"/>
                          <w:sz w:val="18"/>
                          <w:szCs w:val="18"/>
                        </w:rPr>
                        <w:t>包、技术咨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询、信息咨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w:t>
                      </w:r>
                    </w:p>
                  </w:txbxContent>
                </v:textbox>
                <w10:wrap type="none"/>
              </v:shape>
            </v:group>
          </v:group>
        </w:pict>
      </w:r>
      <w:r>
        <w:rPr>
          <w:rFonts w:ascii="宋体" w:hAnsi="宋体" w:cs="宋体" w:eastAsia="宋体" w:hint="default"/>
          <w:position w:val="-178"/>
          <w:sz w:val="20"/>
          <w:szCs w:val="20"/>
        </w:rPr>
      </w:r>
    </w:p>
    <w:p>
      <w:pPr>
        <w:pStyle w:val="BodyText"/>
        <w:spacing w:line="240" w:lineRule="auto" w:before="44"/>
        <w:ind w:right="0"/>
        <w:jc w:val="left"/>
      </w:pPr>
      <w:r>
        <w:rPr/>
        <w:t>本企业的母公司情况的说明</w:t>
      </w:r>
    </w:p>
    <w:p>
      <w:pPr>
        <w:spacing w:after="0" w:line="240" w:lineRule="auto"/>
        <w:jc w:val="left"/>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2</w:t>
      </w:r>
      <w:r>
        <w:rPr/>
        <w:t>、本企业的子公司情况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110" w:hanging="226"/>
              <w:jc w:val="left"/>
              <w:rPr>
                <w:rFonts w:ascii="宋体" w:hAnsi="宋体" w:cs="宋体" w:eastAsia="宋体" w:hint="default"/>
                <w:sz w:val="18"/>
                <w:szCs w:val="18"/>
              </w:rPr>
            </w:pPr>
            <w:r>
              <w:rPr>
                <w:rFonts w:ascii="宋体" w:hAnsi="宋体" w:cs="宋体" w:eastAsia="宋体" w:hint="default"/>
                <w:sz w:val="18"/>
                <w:szCs w:val="18"/>
              </w:rPr>
              <w:t>持股比例 </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19" w:hanging="315"/>
              <w:jc w:val="left"/>
              <w:rPr>
                <w:rFonts w:ascii="宋体" w:hAnsi="宋体" w:cs="宋体" w:eastAsia="宋体" w:hint="default"/>
                <w:sz w:val="18"/>
                <w:szCs w:val="18"/>
              </w:rPr>
            </w:pPr>
            <w:r>
              <w:rPr>
                <w:rFonts w:ascii="宋体" w:hAnsi="宋体" w:cs="宋体" w:eastAsia="宋体" w:hint="default"/>
                <w:sz w:val="18"/>
                <w:szCs w:val="18"/>
              </w:rPr>
              <w:t>表决权比例 </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深圳市深信 西部房地产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6,230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19247325-8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深圳市深信 泰丰投资发 展有限公司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出租物业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19218100-1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深圳市华宝</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（集团）饲 料有限公司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6,130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19247125-2</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深圳市宝安 华宝实业有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家禽养殖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3,620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10247639-5</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深圳市龙岗 区华宝经济 发展有限公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种殖果树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450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19247552-8</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深圳市华宝 西部物业管 理有限公司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71528598-6</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深圳市汇德 祥贸易有限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68037638-5</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惠州市华宝 饲料有限公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56451016-1</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3</w:t>
      </w:r>
      <w:r>
        <w:rPr/>
        <w:t>、本企业的合营和联营企业情况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1025"/>
        <w:gridCol w:w="889"/>
        <w:gridCol w:w="955"/>
        <w:gridCol w:w="955"/>
        <w:gridCol w:w="960"/>
        <w:gridCol w:w="958"/>
        <w:gridCol w:w="958"/>
        <w:gridCol w:w="958"/>
        <w:gridCol w:w="960"/>
      </w:tblGrid>
      <w:tr>
        <w:trPr>
          <w:trHeight w:val="1339"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8" w:right="23" w:hanging="135"/>
              <w:jc w:val="left"/>
              <w:rPr>
                <w:rFonts w:ascii="宋体" w:hAnsi="宋体" w:cs="宋体" w:eastAsia="宋体" w:hint="default"/>
                <w:sz w:val="18"/>
                <w:szCs w:val="18"/>
              </w:rPr>
            </w:pPr>
            <w:r>
              <w:rPr>
                <w:rFonts w:ascii="宋体" w:hAnsi="宋体" w:cs="宋体" w:eastAsia="宋体" w:hint="default"/>
                <w:sz w:val="18"/>
                <w:szCs w:val="18"/>
              </w:rPr>
              <w:t>本企业持股 比例</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 </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271.852997pt;margin-top:221.42598pt;width:71.55pt;height:78.05pt;mso-position-horizontal-relative:page;mso-position-vertical-relative:page;z-index:-779968" type="#_x0000_t202" filled="false" stroked="false">
            <v:textbox inset="0,0,0,0">
              <w:txbxContent>
                <w:p>
                  <w:pPr>
                    <w:pStyle w:val="BodyText"/>
                    <w:spacing w:line="203" w:lineRule="exact"/>
                    <w:ind w:left="0" w:right="0"/>
                    <w:jc w:val="left"/>
                  </w:pPr>
                  <w:r>
                    <w:rPr/>
                    <w:t>应用、</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80"/>
        <w:gridCol w:w="900"/>
        <w:gridCol w:w="889"/>
        <w:gridCol w:w="955"/>
        <w:gridCol w:w="955"/>
        <w:gridCol w:w="960"/>
        <w:gridCol w:w="958"/>
        <w:gridCol w:w="958"/>
        <w:gridCol w:w="958"/>
        <w:gridCol w:w="960"/>
      </w:tblGrid>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深圳市中委 农业投资有 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投资兴办实 业、国内商 业物资供销</w:t>
            </w: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z w:val="18"/>
              </w:rPr>
              <w:t>40%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889"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投资兴办实</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1560" w:lineRule="exact"/>
              <w:ind w:left="2"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47.45pt;height:78.05pt;mso-position-horizontal-relative:char;mso-position-vertical-relative:line" coordorigin="0,0" coordsize="949,1561">
                  <v:group style="position:absolute;left:0;top:0;width:949;height:1561" coordorigin="0,0" coordsize="949,1561">
                    <v:shape style="position:absolute;left:0;top:0;width:949;height:1561" coordorigin="0,0" coordsize="949,1561" path="m0,1560l948,1560,948,0,0,0,0,1560xe" filled="true" fillcolor="#ffffff" stroked="false">
                      <v:path arrowok="t"/>
                      <v:fill type="solid"/>
                    </v:shape>
                  </v:group>
                </v:group>
              </w:pict>
            </w:r>
            <w:r>
              <w:rPr>
                <w:rFonts w:ascii="宋体" w:hAnsi="宋体" w:cs="宋体" w:eastAsia="宋体" w:hint="default"/>
                <w:position w:val="-30"/>
                <w:sz w:val="20"/>
                <w:szCs w:val="20"/>
              </w:rPr>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国内商</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业、物资供</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销业；从事</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深圳市天极</w:t>
            </w: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高新技术产</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光电实业股</w:t>
            </w: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品的开发、</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4.37%</w:t>
            </w: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研究、</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生产和销</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w:t>
            </w:r>
            <w:r>
              <w:rPr>
                <w:rFonts w:ascii="宋体" w:hAnsi="宋体" w:cs="宋体" w:eastAsia="宋体" w:hint="default"/>
                <w:sz w:val="18"/>
                <w:szCs w:val="18"/>
              </w:rPr>
              <w:t>并提供</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相关的技术</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60" w:hRule="exact"/>
        </w:trPr>
        <w:tc>
          <w:tcPr>
            <w:tcW w:w="1080"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89"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60"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深圳市华宝 进出口有限 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货物及技术 进出口</w:t>
            </w: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10%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889"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计算机、网</w:t>
            </w:r>
          </w:p>
        </w:tc>
        <w:tc>
          <w:tcPr>
            <w:tcW w:w="960"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深圳泰丰宽</w:t>
            </w: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络通信以及</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带技术有限</w:t>
            </w: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电子技术产</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30%</w:t>
            </w: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品的开发和</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60" w:hRule="exact"/>
        </w:trPr>
        <w:tc>
          <w:tcPr>
            <w:tcW w:w="1080"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89"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60"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r>
        <w:trPr>
          <w:trHeight w:val="356"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深圳市泰丰</w:t>
            </w:r>
          </w:p>
        </w:tc>
        <w:tc>
          <w:tcPr>
            <w:tcW w:w="900" w:type="dxa"/>
            <w:vMerge w:val="restart"/>
            <w:tcBorders>
              <w:top w:val="single" w:sz="4" w:space="0" w:color="000000"/>
              <w:left w:val="single" w:sz="4" w:space="0" w:color="000000"/>
              <w:right w:val="single" w:sz="4" w:space="0" w:color="000000"/>
            </w:tcBorders>
          </w:tcPr>
          <w:p>
            <w:pPr/>
          </w:p>
        </w:tc>
        <w:tc>
          <w:tcPr>
            <w:tcW w:w="889"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无线电话机</w:t>
            </w:r>
          </w:p>
        </w:tc>
        <w:tc>
          <w:tcPr>
            <w:tcW w:w="960"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通讯电子有</w:t>
            </w:r>
          </w:p>
        </w:tc>
        <w:tc>
          <w:tcPr>
            <w:tcW w:w="900"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等的生产与</w:t>
            </w:r>
          </w:p>
        </w:tc>
        <w:tc>
          <w:tcPr>
            <w:tcW w:w="960"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10%</w:t>
            </w: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60"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00" w:type="dxa"/>
            <w:vMerge/>
            <w:tcBorders>
              <w:left w:val="single" w:sz="4" w:space="0" w:color="000000"/>
              <w:bottom w:val="single" w:sz="4" w:space="0" w:color="000000"/>
              <w:right w:val="single" w:sz="4" w:space="0" w:color="000000"/>
            </w:tcBorders>
          </w:tcPr>
          <w:p>
            <w:pPr/>
          </w:p>
        </w:tc>
        <w:tc>
          <w:tcPr>
            <w:tcW w:w="889"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60"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4</w:t>
      </w:r>
      <w:r>
        <w:rPr/>
        <w:t>、本企业的其他关联方情况</w:t>
      </w:r>
      <w:r>
        <w:rPr>
          <w:b w:val="0"/>
          <w:bCs w:val="0"/>
        </w:rPr>
      </w:r>
    </w:p>
    <w:p>
      <w:pPr>
        <w:spacing w:line="240" w:lineRule="auto" w:before="13"/>
        <w:rPr>
          <w:rFonts w:ascii="微软雅黑" w:hAnsi="微软雅黑" w:cs="微软雅黑" w:eastAsia="微软雅黑"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深圳市宝安区投资管理公司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重庆润江基础设施投资有限公司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华润深国投信托有限公司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本企业的其他关联方情况的说明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w:t>
      </w:r>
      <w:r>
        <w:rPr/>
        <w:t>、关联方交易</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）采购商品、接受劳务情况表</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1155"/>
        <w:gridCol w:w="1236"/>
        <w:gridCol w:w="1105"/>
        <w:gridCol w:w="1286"/>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4" w:right="0"/>
              <w:jc w:val="left"/>
              <w:rPr>
                <w:rFonts w:ascii="宋体" w:hAnsi="宋体" w:cs="宋体" w:eastAsia="宋体" w:hint="default"/>
                <w:sz w:val="18"/>
                <w:szCs w:val="18"/>
              </w:rPr>
            </w:pPr>
            <w:r>
              <w:rPr>
                <w:rFonts w:ascii="宋体" w:hAnsi="宋体" w:cs="宋体" w:eastAsia="宋体" w:hint="default"/>
                <w:sz w:val="18"/>
                <w:szCs w:val="18"/>
              </w:rPr>
              <w:t>占同类交易金</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8" w:right="0"/>
              <w:jc w:val="left"/>
              <w:rPr>
                <w:rFonts w:ascii="宋体" w:hAnsi="宋体" w:cs="宋体" w:eastAsia="宋体" w:hint="default"/>
                <w:sz w:val="18"/>
                <w:szCs w:val="18"/>
              </w:rPr>
            </w:pPr>
            <w:r>
              <w:rPr>
                <w:rFonts w:ascii="宋体" w:hAnsi="宋体" w:cs="宋体" w:eastAsia="宋体" w:hint="default"/>
                <w:sz w:val="18"/>
                <w:szCs w:val="18"/>
              </w:rPr>
              <w:t>占同类交易金</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1155"/>
        <w:gridCol w:w="1236"/>
        <w:gridCol w:w="1105"/>
        <w:gridCol w:w="1289"/>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额的比例（</w:t>
            </w:r>
            <w:r>
              <w:rPr>
                <w:rFonts w:ascii="宋体" w:hAnsi="宋体" w:cs="宋体" w:eastAsia="宋体" w:hint="default"/>
                <w:sz w:val="18"/>
                <w:szCs w:val="18"/>
              </w:rPr>
              <w:t>%</w:t>
            </w:r>
            <w:r>
              <w:rPr>
                <w:rFonts w:ascii="宋体" w:hAnsi="宋体" w:cs="宋体" w:eastAsia="宋体" w:hint="default"/>
                <w:sz w:val="18"/>
                <w:szCs w:val="18"/>
              </w:rPr>
              <w:t>）</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额的比例（</w:t>
            </w:r>
            <w:r>
              <w:rPr>
                <w:rFonts w:ascii="宋体" w:hAnsi="宋体" w:cs="宋体" w:eastAsia="宋体" w:hint="default"/>
                <w:sz w:val="18"/>
                <w:szCs w:val="18"/>
              </w:rPr>
              <w:t>%</w:t>
            </w:r>
            <w:r>
              <w:rPr>
                <w:rFonts w:ascii="宋体" w:hAnsi="宋体" w:cs="宋体" w:eastAsia="宋体" w:hint="default"/>
                <w:sz w:val="18"/>
                <w:szCs w:val="18"/>
              </w:rPr>
              <w:t>）</w:t>
            </w:r>
          </w:p>
        </w:tc>
      </w:tr>
    </w:tbl>
    <w:p>
      <w:pPr>
        <w:pStyle w:val="BodyText"/>
        <w:spacing w:line="240" w:lineRule="auto" w:before="49"/>
        <w:ind w:right="0"/>
        <w:jc w:val="left"/>
      </w:pPr>
      <w:r>
        <w:rPr/>
        <w:t>出售商品、提供劳务情况表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99"/>
        <w:gridCol w:w="1440"/>
        <w:gridCol w:w="1981"/>
        <w:gridCol w:w="1440"/>
        <w:gridCol w:w="1416"/>
        <w:gridCol w:w="925"/>
        <w:gridCol w:w="1466"/>
      </w:tblGrid>
      <w:tr>
        <w:trPr>
          <w:trHeight w:val="402" w:hRule="exact"/>
        </w:trPr>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715" w:right="82" w:hanging="630"/>
              <w:jc w:val="left"/>
              <w:rPr>
                <w:rFonts w:ascii="宋体" w:hAnsi="宋体" w:cs="宋体" w:eastAsia="宋体" w:hint="default"/>
                <w:sz w:val="18"/>
                <w:szCs w:val="18"/>
              </w:rPr>
            </w:pPr>
            <w:r>
              <w:rPr>
                <w:rFonts w:ascii="宋体" w:hAnsi="宋体" w:cs="宋体" w:eastAsia="宋体" w:hint="default"/>
                <w:sz w:val="18"/>
                <w:szCs w:val="18"/>
              </w:rPr>
              <w:t>关联交易定价方式及决 策程序</w:t>
            </w:r>
          </w:p>
        </w:tc>
        <w:tc>
          <w:tcPr>
            <w:tcW w:w="2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899"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1981"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8" w:right="71" w:hanging="135"/>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宋体" w:hAnsi="宋体" w:cs="宋体" w:eastAsia="宋体" w:hint="default"/>
                <w:sz w:val="18"/>
                <w:szCs w:val="18"/>
              </w:rPr>
              <w:t>%</w:t>
            </w:r>
            <w:r>
              <w:rPr>
                <w:rFonts w:ascii="宋体" w:hAnsi="宋体" w:cs="宋体" w:eastAsia="宋体" w:hint="default"/>
                <w:sz w:val="18"/>
                <w:szCs w:val="18"/>
              </w:rPr>
              <w:t>）</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96" w:hanging="135"/>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宋体" w:hAnsi="宋体" w:cs="宋体" w:eastAsia="宋体"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w w:val="100"/>
        </w:rPr>
        <w:t>（</w:t>
      </w:r>
      <w:r>
        <w:rPr>
          <w:rFonts w:ascii="Arial" w:hAnsi="Arial" w:cs="Arial" w:eastAsia="Arial" w:hint="default"/>
          <w:w w:val="90"/>
        </w:rPr>
        <w:t>2</w:t>
      </w:r>
      <w:r>
        <w:rPr>
          <w:w w:val="100"/>
        </w:rPr>
        <w:t>）关联托管</w:t>
      </w:r>
      <w:r>
        <w:rPr>
          <w:rFonts w:ascii="Arial" w:hAnsi="Arial" w:cs="Arial" w:eastAsia="Arial" w:hint="default"/>
          <w:w w:val="180"/>
        </w:rPr>
        <w:t>/</w:t>
      </w:r>
      <w:r>
        <w:rPr>
          <w:w w:val="100"/>
        </w:rPr>
        <w:t>承包情况</w:t>
      </w:r>
      <w:r>
        <w:rPr>
          <w:b w:val="0"/>
          <w:bCs w:val="0"/>
          <w:w w:val="10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公司受托管理</w:t>
      </w:r>
      <w:r>
        <w:rPr>
          <w:rFonts w:ascii="宋体" w:hAnsi="宋体" w:cs="宋体" w:eastAsia="宋体" w:hint="default"/>
        </w:rPr>
        <w:t>/</w:t>
      </w:r>
      <w:r>
        <w:rPr/>
        <w:t>承包情况表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8"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6" w:right="89" w:hanging="407"/>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9" w:right="92"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91" w:hanging="40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0" w:right="94" w:hanging="497"/>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0" w:right="91" w:hanging="497"/>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91" w:hanging="46"/>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宋体" w:hAnsi="宋体" w:cs="宋体" w:eastAsia="宋体" w:hint="default"/>
                <w:sz w:val="18"/>
                <w:szCs w:val="18"/>
              </w:rPr>
              <w:t>/</w:t>
            </w:r>
            <w:r>
              <w:rPr>
                <w:rFonts w:ascii="宋体" w:hAnsi="宋体" w:cs="宋体" w:eastAsia="宋体" w:hint="default"/>
                <w:sz w:val="18"/>
                <w:szCs w:val="18"/>
              </w:rPr>
              <w:t>承包 收益</w:t>
            </w:r>
          </w:p>
        </w:tc>
      </w:tr>
    </w:tbl>
    <w:p>
      <w:pPr>
        <w:pStyle w:val="BodyText"/>
        <w:spacing w:line="240" w:lineRule="auto" w:before="49"/>
        <w:ind w:right="0"/>
        <w:jc w:val="left"/>
      </w:pPr>
      <w:r>
        <w:rPr/>
        <w:t>公司委托管理</w:t>
      </w:r>
      <w:r>
        <w:rPr>
          <w:rFonts w:ascii="宋体" w:hAnsi="宋体" w:cs="宋体" w:eastAsia="宋体" w:hint="default"/>
        </w:rPr>
        <w:t>/</w:t>
      </w:r>
      <w:r>
        <w:rPr/>
        <w:t>出包情况表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6" w:right="89" w:hanging="407"/>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92"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1" w:right="91" w:hanging="40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94" w:hanging="497"/>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91" w:hanging="497"/>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93" w:hanging="226"/>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7" w:right="30" w:hanging="44"/>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宋体" w:hAnsi="宋体" w:cs="宋体" w:eastAsia="宋体"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关联托管</w:t>
      </w:r>
      <w:r>
        <w:rPr>
          <w:rFonts w:ascii="宋体" w:hAnsi="宋体" w:cs="宋体" w:eastAsia="宋体" w:hint="default"/>
        </w:rPr>
        <w:t>/</w:t>
      </w:r>
      <w:r>
        <w:rPr/>
        <w:t>承包情况说明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3</w:t>
      </w:r>
      <w:r>
        <w:rPr/>
        <w:t>）关联租赁情况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right="0"/>
        <w:jc w:val="left"/>
      </w:pPr>
      <w:r>
        <w:rPr/>
        <w:t>公司出租情况表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0"/>
        <w:ind w:right="0"/>
        <w:jc w:val="left"/>
      </w:pPr>
      <w:r>
        <w:rPr/>
        <w:t>公司承租情况表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49"/>
        <w:ind w:right="0"/>
        <w:jc w:val="left"/>
      </w:pPr>
      <w:r>
        <w:rPr/>
        <w:t>关联租赁情况说明</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4</w:t>
      </w:r>
      <w:r>
        <w:rPr/>
        <w:t>）关联担保情况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465"/>
        <w:gridCol w:w="1260"/>
        <w:gridCol w:w="1620"/>
        <w:gridCol w:w="1620"/>
        <w:gridCol w:w="2007"/>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深圳市深信泰丰（集</w:t>
            </w:r>
            <w:r>
              <w:rPr>
                <w:rFonts w:ascii="宋体" w:hAnsi="宋体" w:cs="宋体" w:eastAsia="宋体" w:hint="default"/>
                <w:sz w:val="18"/>
                <w:szCs w:val="18"/>
              </w:rPr>
              <w:t> 团）股份有限公司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惠州市华宝饲料 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11,277,355.83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spacing w:after="0" w:line="240" w:lineRule="auto"/>
        <w:jc w:val="left"/>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t>（</w:t>
      </w:r>
      <w:r>
        <w:rPr>
          <w:rFonts w:ascii="Arial" w:hAnsi="Arial" w:cs="Arial" w:eastAsia="Arial" w:hint="default"/>
        </w:rPr>
        <w:t>5</w:t>
      </w:r>
      <w:r>
        <w:rPr/>
        <w:t>）关联方资金拆借</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6</w:t>
      </w:r>
      <w:r>
        <w:rPr/>
        <w:t>）关联方资产转让、债务重组情况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99"/>
        <w:gridCol w:w="1260"/>
        <w:gridCol w:w="1261"/>
        <w:gridCol w:w="1632"/>
        <w:gridCol w:w="888"/>
        <w:gridCol w:w="1370"/>
        <w:gridCol w:w="970"/>
        <w:gridCol w:w="1289"/>
      </w:tblGrid>
      <w:tr>
        <w:trPr>
          <w:trHeight w:val="403" w:hRule="exact"/>
        </w:trPr>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899"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632" w:type="dxa"/>
            <w:vMerge/>
            <w:tcBorders>
              <w:left w:val="single" w:sz="4" w:space="0" w:color="000000"/>
              <w:bottom w:val="single" w:sz="4" w:space="0" w:color="000000"/>
              <w:right w:val="single" w:sz="4" w:space="0" w:color="000000"/>
            </w:tcBorders>
            <w:shd w:val="clear" w:color="auto" w:fill="D2D2D2"/>
          </w:tcPr>
          <w:p>
            <w:pP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4" w:right="48" w:hanging="135"/>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宋体" w:hAnsi="宋体" w:cs="宋体" w:eastAsia="宋体" w:hint="default"/>
                <w:sz w:val="18"/>
                <w:szCs w:val="18"/>
              </w:rPr>
              <w:t>%</w:t>
            </w:r>
            <w:r>
              <w:rPr>
                <w:rFonts w:ascii="宋体" w:hAnsi="宋体" w:cs="宋体" w:eastAsia="宋体"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3" w:firstLine="45"/>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宋体" w:hAnsi="宋体" w:cs="宋体" w:eastAsia="宋体"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7</w:t>
      </w:r>
      <w:r>
        <w:rPr/>
        <w:t>）其他关联交易</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6</w:t>
      </w:r>
      <w:r>
        <w:rPr>
          <w:rFonts w:ascii="微软雅黑" w:hAnsi="微软雅黑" w:cs="微软雅黑" w:eastAsia="微软雅黑" w:hint="default"/>
          <w:b/>
          <w:bCs/>
          <w:sz w:val="21"/>
          <w:szCs w:val="21"/>
        </w:rPr>
        <w:t>、关联方应收应付款项</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right="0"/>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9"/>
        <w:gridCol w:w="2465"/>
        <w:gridCol w:w="1462"/>
        <w:gridCol w:w="1463"/>
        <w:gridCol w:w="1459"/>
        <w:gridCol w:w="1459"/>
      </w:tblGrid>
      <w:tr>
        <w:trPr>
          <w:trHeight w:val="401" w:hRule="exact"/>
        </w:trPr>
        <w:tc>
          <w:tcPr>
            <w:tcW w:w="12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4" w:hRule="exact"/>
        </w:trPr>
        <w:tc>
          <w:tcPr>
            <w:tcW w:w="1259" w:type="dxa"/>
            <w:vMerge/>
            <w:tcBorders>
              <w:left w:val="single" w:sz="4" w:space="0" w:color="000000"/>
              <w:bottom w:val="single" w:sz="4" w:space="0" w:color="000000"/>
              <w:right w:val="single" w:sz="4" w:space="0" w:color="000000"/>
            </w:tcBorders>
            <w:shd w:val="clear" w:color="auto" w:fill="D2D2D2"/>
          </w:tcPr>
          <w:p>
            <w:pPr/>
          </w:p>
        </w:tc>
        <w:tc>
          <w:tcPr>
            <w:tcW w:w="2465"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7" w:right="0"/>
              <w:jc w:val="left"/>
              <w:rPr>
                <w:rFonts w:ascii="宋体" w:hAnsi="宋体" w:cs="宋体" w:eastAsia="宋体" w:hint="default"/>
                <w:sz w:val="18"/>
                <w:szCs w:val="18"/>
              </w:rPr>
            </w:pPr>
            <w:r>
              <w:rPr>
                <w:rFonts w:ascii="宋体"/>
                <w:sz w:val="18"/>
              </w:rPr>
              <w:t>1,841,912.35</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0" w:right="0"/>
              <w:jc w:val="left"/>
              <w:rPr>
                <w:rFonts w:ascii="宋体" w:hAnsi="宋体" w:cs="宋体" w:eastAsia="宋体" w:hint="default"/>
                <w:sz w:val="18"/>
                <w:szCs w:val="18"/>
              </w:rPr>
            </w:pPr>
            <w:r>
              <w:rPr>
                <w:rFonts w:ascii="宋体"/>
                <w:sz w:val="18"/>
              </w:rPr>
              <w:t>1,841,912.35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6" w:right="0"/>
              <w:jc w:val="left"/>
              <w:rPr>
                <w:rFonts w:ascii="宋体" w:hAnsi="宋体" w:cs="宋体" w:eastAsia="宋体" w:hint="default"/>
                <w:sz w:val="18"/>
                <w:szCs w:val="18"/>
              </w:rPr>
            </w:pPr>
            <w:r>
              <w:rPr>
                <w:rFonts w:ascii="宋体"/>
                <w:sz w:val="18"/>
              </w:rPr>
              <w:t>1,841,912.35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7" w:right="0"/>
              <w:jc w:val="left"/>
              <w:rPr>
                <w:rFonts w:ascii="宋体" w:hAnsi="宋体" w:cs="宋体" w:eastAsia="宋体" w:hint="default"/>
                <w:sz w:val="18"/>
                <w:szCs w:val="18"/>
              </w:rPr>
            </w:pPr>
            <w:r>
              <w:rPr>
                <w:rFonts w:ascii="宋体"/>
                <w:sz w:val="18"/>
              </w:rPr>
              <w:t>1,841,912.35</w:t>
            </w:r>
          </w:p>
        </w:tc>
      </w:tr>
    </w:tbl>
    <w:p>
      <w:pPr>
        <w:pStyle w:val="BodyText"/>
        <w:spacing w:line="240" w:lineRule="auto" w:before="49"/>
        <w:ind w:right="0"/>
        <w:jc w:val="left"/>
      </w:pPr>
      <w:r>
        <w:rPr/>
        <w:t>上市公司应付关联方款项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3"/>
        <w:gridCol w:w="2258"/>
        <w:gridCol w:w="2259"/>
        <w:gridCol w:w="2247"/>
      </w:tblGrid>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
        <w:rPr>
          <w:rFonts w:ascii="宋体" w:hAnsi="宋体" w:cs="宋体" w:eastAsia="宋体" w:hint="default"/>
          <w:sz w:val="18"/>
          <w:szCs w:val="18"/>
        </w:rPr>
      </w:pPr>
    </w:p>
    <w:p>
      <w:pPr>
        <w:pStyle w:val="Heading2"/>
        <w:spacing w:line="369" w:lineRule="exact"/>
        <w:ind w:right="0"/>
        <w:jc w:val="left"/>
        <w:rPr>
          <w:b w:val="0"/>
          <w:bCs w:val="0"/>
        </w:rPr>
      </w:pPr>
      <w:r>
        <w:rPr/>
        <w:t>十、股份支付</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、股份支付总体情况</w:t>
      </w:r>
      <w:r>
        <w:rPr>
          <w:b w:val="0"/>
          <w:bCs w:val="0"/>
        </w:rPr>
      </w:r>
    </w:p>
    <w:p>
      <w:pPr>
        <w:spacing w:line="240" w:lineRule="auto" w:before="12"/>
        <w:rPr>
          <w:rFonts w:ascii="微软雅黑" w:hAnsi="微软雅黑" w:cs="微软雅黑" w:eastAsia="微软雅黑" w:hint="default"/>
          <w:b/>
          <w:bCs/>
          <w:sz w:val="16"/>
          <w:szCs w:val="16"/>
        </w:rPr>
      </w:pPr>
    </w:p>
    <w:p>
      <w:pPr>
        <w:spacing w:after="0" w:line="240" w:lineRule="auto"/>
        <w:rPr>
          <w:rFonts w:ascii="微软雅黑" w:hAnsi="微软雅黑" w:cs="微软雅黑" w:eastAsia="微软雅黑" w:hint="default"/>
          <w:sz w:val="16"/>
          <w:szCs w:val="16"/>
        </w:rPr>
        <w:sectPr>
          <w:pgSz w:w="11910" w:h="16840"/>
          <w:pgMar w:header="745" w:footer="1340" w:top="1060" w:bottom="1540" w:left="980" w:right="0"/>
        </w:sectPr>
      </w:pPr>
    </w:p>
    <w:p>
      <w:pPr>
        <w:spacing w:line="240" w:lineRule="auto" w:before="1"/>
        <w:rPr>
          <w:rFonts w:ascii="微软雅黑" w:hAnsi="微软雅黑" w:cs="微软雅黑" w:eastAsia="微软雅黑" w:hint="default"/>
          <w:b/>
          <w:bCs/>
          <w:sz w:val="23"/>
          <w:szCs w:val="23"/>
        </w:rPr>
      </w:pPr>
    </w:p>
    <w:p>
      <w:pPr>
        <w:pStyle w:val="BodyText"/>
        <w:spacing w:line="240" w:lineRule="auto"/>
        <w:ind w:right="-20"/>
        <w:jc w:val="left"/>
      </w:pPr>
      <w:r>
        <w:rPr/>
        <w:t>股份支付情况的说明</w:t>
      </w:r>
    </w:p>
    <w:p>
      <w:pPr>
        <w:spacing w:line="240" w:lineRule="auto" w:before="3"/>
        <w:rPr>
          <w:rFonts w:ascii="宋体" w:hAnsi="宋体" w:cs="宋体" w:eastAsia="宋体" w:hint="default"/>
          <w:sz w:val="22"/>
          <w:szCs w:val="22"/>
        </w:rPr>
      </w:pPr>
    </w:p>
    <w:p>
      <w:pPr>
        <w:pStyle w:val="Heading3"/>
        <w:spacing w:line="240" w:lineRule="auto"/>
        <w:ind w:right="-20"/>
        <w:jc w:val="left"/>
        <w:rPr>
          <w:b w:val="0"/>
          <w:bCs w:val="0"/>
        </w:rPr>
      </w:pPr>
      <w:r>
        <w:rPr>
          <w:rFonts w:ascii="Arial" w:hAnsi="Arial" w:cs="Arial" w:eastAsia="Arial" w:hint="default"/>
        </w:rPr>
        <w:t>2</w:t>
      </w:r>
      <w:r>
        <w:rPr/>
        <w:t>、以权益结算的股份支付情况</w:t>
      </w:r>
      <w:r>
        <w:rPr>
          <w:b w:val="0"/>
          <w:bCs w:val="0"/>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3000" w:space="5829"/>
            <w:col w:w="2101"/>
          </w:cols>
        </w:sectPr>
      </w:pPr>
    </w:p>
    <w:p>
      <w:pPr>
        <w:spacing w:line="240" w:lineRule="auto" w:before="2"/>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pStyle w:val="BodyText"/>
        <w:spacing w:line="240" w:lineRule="auto" w:before="117"/>
        <w:ind w:right="0"/>
        <w:jc w:val="left"/>
      </w:pPr>
      <w:r>
        <w:rPr/>
        <w:t>以权益结算的股份支付的说明</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3</w:t>
      </w:r>
      <w:r>
        <w:rPr/>
        <w:t>、以现金结算的股份支付情况</w:t>
      </w:r>
      <w:r>
        <w:rPr>
          <w:b w:val="0"/>
          <w:bCs w:val="0"/>
        </w:rPr>
      </w:r>
    </w:p>
    <w:p>
      <w:pPr>
        <w:spacing w:line="240" w:lineRule="auto" w:before="14"/>
        <w:rPr>
          <w:rFonts w:ascii="微软雅黑" w:hAnsi="微软雅黑" w:cs="微软雅黑" w:eastAsia="微软雅黑" w:hint="default"/>
          <w:b/>
          <w:bCs/>
          <w:sz w:val="16"/>
          <w:szCs w:val="16"/>
        </w:rPr>
      </w:pPr>
    </w:p>
    <w:p>
      <w:pPr>
        <w:spacing w:after="0" w:line="240" w:lineRule="auto"/>
        <w:rPr>
          <w:rFonts w:ascii="微软雅黑" w:hAnsi="微软雅黑" w:cs="微软雅黑" w:eastAsia="微软雅黑" w:hint="default"/>
          <w:sz w:val="16"/>
          <w:szCs w:val="16"/>
        </w:rPr>
        <w:sectPr>
          <w:pgSz w:w="11910" w:h="16840"/>
          <w:pgMar w:header="745" w:footer="1340" w:top="1060" w:bottom="1540" w:left="980" w:right="0"/>
        </w:sectPr>
      </w:pPr>
    </w:p>
    <w:p>
      <w:pPr>
        <w:spacing w:line="240" w:lineRule="auto" w:before="15"/>
        <w:rPr>
          <w:rFonts w:ascii="微软雅黑" w:hAnsi="微软雅黑" w:cs="微软雅黑" w:eastAsia="微软雅黑" w:hint="default"/>
          <w:b/>
          <w:bCs/>
          <w:sz w:val="22"/>
          <w:szCs w:val="22"/>
        </w:rPr>
      </w:pPr>
    </w:p>
    <w:p>
      <w:pPr>
        <w:pStyle w:val="BodyText"/>
        <w:spacing w:line="240" w:lineRule="auto"/>
        <w:ind w:right="-20"/>
        <w:jc w:val="left"/>
      </w:pPr>
      <w:r>
        <w:rPr/>
        <w:t>以现金结算的股份支付的说明</w:t>
      </w:r>
    </w:p>
    <w:p>
      <w:pPr>
        <w:spacing w:line="240" w:lineRule="auto" w:before="5"/>
        <w:rPr>
          <w:rFonts w:ascii="宋体" w:hAnsi="宋体" w:cs="宋体" w:eastAsia="宋体" w:hint="default"/>
          <w:sz w:val="22"/>
          <w:szCs w:val="22"/>
        </w:rPr>
      </w:pPr>
    </w:p>
    <w:p>
      <w:pPr>
        <w:pStyle w:val="Heading3"/>
        <w:spacing w:line="240" w:lineRule="auto"/>
        <w:ind w:right="-20"/>
        <w:jc w:val="left"/>
        <w:rPr>
          <w:b w:val="0"/>
          <w:bCs w:val="0"/>
        </w:rPr>
      </w:pPr>
      <w:r>
        <w:rPr>
          <w:rFonts w:ascii="Arial" w:hAnsi="Arial" w:cs="Arial" w:eastAsia="Arial" w:hint="default"/>
        </w:rPr>
        <w:t>4</w:t>
      </w:r>
      <w:r>
        <w:rPr/>
        <w:t>、以股份支付服务情况</w:t>
      </w:r>
      <w:r>
        <w:rPr>
          <w:b w:val="0"/>
          <w:bCs w:val="0"/>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2493" w:space="6336"/>
            <w:col w:w="2101"/>
          </w:cols>
        </w:sectPr>
      </w:pPr>
    </w:p>
    <w:p>
      <w:pPr>
        <w:spacing w:line="240" w:lineRule="auto" w:before="2"/>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5</w:t>
      </w:r>
      <w:r>
        <w:rPr/>
        <w:t>、股份支付的修改、终止情况</w:t>
      </w:r>
      <w:r>
        <w:rPr>
          <w:b w:val="0"/>
          <w:bCs w:val="0"/>
        </w:rPr>
      </w:r>
    </w:p>
    <w:p>
      <w:pPr>
        <w:spacing w:line="240" w:lineRule="auto" w:before="10"/>
        <w:rPr>
          <w:rFonts w:ascii="微软雅黑" w:hAnsi="微软雅黑" w:cs="微软雅黑" w:eastAsia="微软雅黑" w:hint="default"/>
          <w:b/>
          <w:bCs/>
          <w:sz w:val="12"/>
          <w:szCs w:val="12"/>
        </w:rPr>
      </w:pPr>
    </w:p>
    <w:p>
      <w:pPr>
        <w:spacing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十一、或有事项</w:t>
      </w:r>
      <w:r>
        <w:rPr>
          <w:rFonts w:ascii="微软雅黑" w:hAnsi="微软雅黑" w:cs="微软雅黑" w:eastAsia="微软雅黑" w:hint="default"/>
          <w:sz w:val="24"/>
          <w:szCs w:val="24"/>
        </w:rPr>
      </w:r>
    </w:p>
    <w:p>
      <w:pPr>
        <w:spacing w:line="240" w:lineRule="auto" w:before="10"/>
        <w:rPr>
          <w:rFonts w:ascii="微软雅黑" w:hAnsi="微软雅黑" w:cs="微软雅黑" w:eastAsia="微软雅黑" w:hint="default"/>
          <w:b/>
          <w:bCs/>
          <w:sz w:val="13"/>
          <w:szCs w:val="13"/>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1</w:t>
      </w:r>
      <w:r>
        <w:rPr>
          <w:rFonts w:ascii="微软雅黑" w:hAnsi="微软雅黑" w:cs="微软雅黑" w:eastAsia="微软雅黑" w:hint="default"/>
          <w:b/>
          <w:bCs/>
          <w:sz w:val="21"/>
          <w:szCs w:val="21"/>
        </w:rPr>
        <w:t>、未决诉讼或仲裁形成的或有负债及其财务影响</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Arial" w:hAnsi="Arial" w:cs="Arial" w:eastAsia="Arial" w:hint="default"/>
          <w:b/>
          <w:bCs/>
          <w:sz w:val="21"/>
          <w:szCs w:val="21"/>
        </w:rPr>
        <w:t>2</w:t>
      </w:r>
      <w:r>
        <w:rPr>
          <w:rFonts w:ascii="微软雅黑" w:hAnsi="微软雅黑" w:cs="微软雅黑" w:eastAsia="微软雅黑" w:hint="default"/>
          <w:b/>
          <w:bCs/>
          <w:sz w:val="21"/>
          <w:szCs w:val="21"/>
        </w:rPr>
        <w:t>、为其他单位提供债务担保形成的或有负债及其财务影响</w:t>
      </w:r>
      <w:r>
        <w:rPr>
          <w:rFonts w:ascii="微软雅黑" w:hAnsi="微软雅黑" w:cs="微软雅黑" w:eastAsia="微软雅黑" w:hint="default"/>
          <w:sz w:val="21"/>
          <w:szCs w:val="21"/>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其他或有负债及其财务影响</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十二、承诺事项</w:t>
      </w:r>
      <w:r>
        <w:rPr>
          <w:b w:val="0"/>
          <w:bCs w:val="0"/>
        </w:rPr>
      </w:r>
    </w:p>
    <w:p>
      <w:pPr>
        <w:spacing w:line="240" w:lineRule="auto" w:before="7"/>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、重大承诺事项</w:t>
      </w:r>
      <w:r>
        <w:rPr>
          <w:b w:val="0"/>
          <w:bCs w:val="0"/>
        </w:rPr>
      </w:r>
    </w:p>
    <w:p>
      <w:pPr>
        <w:spacing w:line="240" w:lineRule="auto" w:before="10"/>
        <w:rPr>
          <w:rFonts w:ascii="微软雅黑" w:hAnsi="微软雅黑" w:cs="微软雅黑" w:eastAsia="微软雅黑" w:hint="default"/>
          <w:b/>
          <w:bCs/>
          <w:sz w:val="14"/>
          <w:szCs w:val="14"/>
        </w:rPr>
      </w:pPr>
    </w:p>
    <w:p>
      <w:pPr>
        <w:spacing w:line="379" w:lineRule="auto" w:before="0"/>
        <w:ind w:left="152" w:right="7487" w:firstLine="0"/>
        <w:jc w:val="left"/>
        <w:rPr>
          <w:rFonts w:ascii="微软雅黑" w:hAnsi="微软雅黑" w:cs="微软雅黑" w:eastAsia="微软雅黑" w:hint="default"/>
          <w:sz w:val="21"/>
          <w:szCs w:val="21"/>
        </w:rPr>
      </w:pPr>
      <w:r>
        <w:rPr>
          <w:rFonts w:ascii="Arial" w:hAnsi="Arial" w:cs="Arial" w:eastAsia="Arial" w:hint="default"/>
          <w:b/>
          <w:bCs/>
          <w:sz w:val="21"/>
          <w:szCs w:val="21"/>
        </w:rPr>
        <w:t>2</w:t>
      </w:r>
      <w:r>
        <w:rPr>
          <w:rFonts w:ascii="微软雅黑" w:hAnsi="微软雅黑" w:cs="微软雅黑" w:eastAsia="微软雅黑" w:hint="default"/>
          <w:b/>
          <w:bCs/>
          <w:sz w:val="21"/>
          <w:szCs w:val="21"/>
        </w:rPr>
        <w:t>、前期承诺履行情况</w:t>
      </w:r>
      <w:r>
        <w:rPr>
          <w:rFonts w:ascii="微软雅黑" w:hAnsi="微软雅黑" w:cs="微软雅黑" w:eastAsia="微软雅黑" w:hint="default"/>
          <w:b/>
          <w:bCs/>
          <w:w w:val="100"/>
          <w:sz w:val="21"/>
          <w:szCs w:val="21"/>
        </w:rPr>
        <w:t> </w:t>
      </w:r>
      <w:r>
        <w:rPr>
          <w:rFonts w:ascii="微软雅黑" w:hAnsi="微软雅黑" w:cs="微软雅黑" w:eastAsia="微软雅黑" w:hint="default"/>
          <w:b/>
          <w:bCs/>
          <w:sz w:val="24"/>
          <w:szCs w:val="24"/>
        </w:rPr>
        <w:t>十三、资产负债表日后事项</w:t>
      </w:r>
      <w:r>
        <w:rPr>
          <w:rFonts w:ascii="微软雅黑" w:hAnsi="微软雅黑" w:cs="微软雅黑" w:eastAsia="微软雅黑" w:hint="default"/>
          <w:b/>
          <w:bCs/>
          <w:spacing w:val="-62"/>
          <w:sz w:val="24"/>
          <w:szCs w:val="24"/>
        </w:rPr>
        <w:t> </w:t>
      </w:r>
      <w:r>
        <w:rPr>
          <w:rFonts w:ascii="微软雅黑" w:hAnsi="微软雅黑" w:cs="微软雅黑" w:eastAsia="微软雅黑" w:hint="default"/>
          <w:b/>
          <w:bCs/>
          <w:spacing w:val="-62"/>
          <w:sz w:val="24"/>
          <w:szCs w:val="24"/>
        </w:rPr>
      </w:r>
      <w:r>
        <w:rPr>
          <w:rFonts w:ascii="Arial" w:hAnsi="Arial" w:cs="Arial" w:eastAsia="Arial" w:hint="default"/>
          <w:b/>
          <w:bCs/>
          <w:sz w:val="21"/>
          <w:szCs w:val="21"/>
        </w:rPr>
        <w:t>1</w:t>
      </w:r>
      <w:r>
        <w:rPr>
          <w:rFonts w:ascii="微软雅黑" w:hAnsi="微软雅黑" w:cs="微软雅黑" w:eastAsia="微软雅黑" w:hint="default"/>
          <w:b/>
          <w:bCs/>
          <w:sz w:val="21"/>
          <w:szCs w:val="21"/>
        </w:rPr>
        <w:t>、重要的资产负债表日后事项说明</w:t>
      </w:r>
      <w:r>
        <w:rPr>
          <w:rFonts w:ascii="微软雅黑" w:hAnsi="微软雅黑" w:cs="微软雅黑" w:eastAsia="微软雅黑" w:hint="default"/>
          <w:sz w:val="21"/>
          <w:szCs w:val="21"/>
        </w:rPr>
      </w:r>
    </w:p>
    <w:p>
      <w:pPr>
        <w:spacing w:line="240" w:lineRule="auto" w:before="9"/>
        <w:rPr>
          <w:rFonts w:ascii="微软雅黑" w:hAnsi="微软雅黑" w:cs="微软雅黑" w:eastAsia="微软雅黑" w:hint="default"/>
          <w:b/>
          <w:bCs/>
          <w:sz w:val="7"/>
          <w:szCs w:val="7"/>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2</w:t>
      </w:r>
      <w:r>
        <w:rPr/>
        <w:t>、资产负债表日后利润分配情况说明</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3</w:t>
      </w:r>
      <w:r>
        <w:rPr/>
        <w:t>、其他资产负债表日后事项说明</w:t>
      </w:r>
      <w:r>
        <w:rPr>
          <w:b w:val="0"/>
          <w:bCs w:val="0"/>
        </w:rPr>
      </w:r>
    </w:p>
    <w:p>
      <w:pPr>
        <w:spacing w:line="240" w:lineRule="auto" w:before="17"/>
        <w:rPr>
          <w:rFonts w:ascii="微软雅黑" w:hAnsi="微软雅黑" w:cs="微软雅黑" w:eastAsia="微软雅黑" w:hint="default"/>
          <w:b/>
          <w:bCs/>
          <w:sz w:val="28"/>
          <w:szCs w:val="28"/>
        </w:rPr>
      </w:pPr>
    </w:p>
    <w:p>
      <w:pPr>
        <w:pStyle w:val="BodyText"/>
        <w:spacing w:line="240" w:lineRule="auto"/>
        <w:ind w:left="633" w:right="0"/>
        <w:jc w:val="left"/>
      </w:pPr>
      <w:r>
        <w:rPr/>
        <w:t>本公司于</w:t>
      </w:r>
      <w:r>
        <w:rPr>
          <w:rFonts w:ascii="宋体" w:hAnsi="宋体" w:cs="宋体" w:eastAsia="宋体" w:hint="default"/>
        </w:rPr>
        <w:t>1985</w:t>
      </w:r>
      <w:r>
        <w:rPr/>
        <w:t>年至</w:t>
      </w:r>
      <w:r>
        <w:rPr>
          <w:rFonts w:ascii="宋体" w:hAnsi="宋体" w:cs="宋体" w:eastAsia="宋体" w:hint="default"/>
        </w:rPr>
        <w:t>1989</w:t>
      </w:r>
      <w:r>
        <w:rPr/>
        <w:t>年向深圳市龙岗区平湖街道山厦社区居委会（原宝安县平湖镇辅城坳一村）和深圳市公明将石</w:t>
      </w:r>
    </w:p>
    <w:p>
      <w:pPr>
        <w:spacing w:after="0" w:line="240" w:lineRule="auto"/>
        <w:jc w:val="left"/>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489" w:lineRule="auto" w:before="44"/>
        <w:ind w:right="1128"/>
        <w:jc w:val="both"/>
      </w:pPr>
      <w:r>
        <w:rPr>
          <w:spacing w:val="-2"/>
        </w:rPr>
        <w:t>股份合作公司（原宝安县公明镇将石村民委员会）分别租赁水田、旱地及山地（下称‚山地‛）用作经营养殖业（下称‚平</w:t>
      </w:r>
      <w:r>
        <w:rPr>
          <w:spacing w:val="22"/>
        </w:rPr>
        <w:t> </w:t>
      </w:r>
      <w:r>
        <w:rPr>
          <w:spacing w:val="22"/>
        </w:rPr>
      </w:r>
      <w:r>
        <w:rPr>
          <w:spacing w:val="-2"/>
        </w:rPr>
        <w:t>湖山地‛和‚公明山地‛），原约定租约最长至</w:t>
      </w:r>
      <w:r>
        <w:rPr>
          <w:rFonts w:ascii="宋体" w:hAnsi="宋体" w:cs="宋体" w:eastAsia="宋体" w:hint="default"/>
          <w:spacing w:val="-2"/>
        </w:rPr>
        <w:t>2039</w:t>
      </w:r>
      <w:r>
        <w:rPr>
          <w:spacing w:val="-2"/>
        </w:rPr>
        <w:t>年。</w:t>
      </w:r>
      <w:r>
        <w:rPr>
          <w:rFonts w:ascii="宋体" w:hAnsi="宋体" w:cs="宋体" w:eastAsia="宋体" w:hint="default"/>
          <w:spacing w:val="-2"/>
        </w:rPr>
        <w:t>2005</w:t>
      </w:r>
      <w:r>
        <w:rPr>
          <w:spacing w:val="-2"/>
        </w:rPr>
        <w:t>年至</w:t>
      </w:r>
      <w:r>
        <w:rPr>
          <w:rFonts w:ascii="宋体" w:hAnsi="宋体" w:cs="宋体" w:eastAsia="宋体" w:hint="default"/>
          <w:spacing w:val="-2"/>
        </w:rPr>
        <w:t>2006</w:t>
      </w:r>
      <w:r>
        <w:rPr>
          <w:spacing w:val="-2"/>
        </w:rPr>
        <w:t>年由于国家用地规划原因，该等山地纳入城市化转地</w:t>
      </w:r>
      <w:r>
        <w:rPr>
          <w:spacing w:val="31"/>
        </w:rPr>
        <w:t> </w:t>
      </w:r>
      <w:r>
        <w:rPr>
          <w:spacing w:val="31"/>
        </w:rPr>
      </w:r>
      <w:r>
        <w:rPr>
          <w:spacing w:val="-2"/>
        </w:rPr>
        <w:t>范围，山地出租方提前终止与本公司的租赁约定，并将从政府取得的城市化转地补偿收入中的青苗补偿费与地上附着物补偿</w:t>
      </w:r>
      <w:r>
        <w:rPr>
          <w:spacing w:val="-64"/>
        </w:rPr>
        <w:t> </w:t>
      </w:r>
      <w:r>
        <w:rPr>
          <w:spacing w:val="-64"/>
        </w:rPr>
      </w:r>
      <w:r>
        <w:rPr/>
        <w:t>费向本公司作出赔偿。相关部门已于</w:t>
      </w:r>
      <w:r>
        <w:rPr>
          <w:rFonts w:ascii="宋体" w:hAnsi="宋体" w:cs="宋体" w:eastAsia="宋体" w:hint="default"/>
        </w:rPr>
        <w:t>2006</w:t>
      </w:r>
      <w:r>
        <w:rPr/>
        <w:t>年向本公司发出要求</w:t>
      </w:r>
      <w:r>
        <w:rPr>
          <w:rFonts w:ascii="宋体" w:hAnsi="宋体" w:cs="宋体" w:eastAsia="宋体" w:hint="default"/>
        </w:rPr>
        <w:t>2006</w:t>
      </w:r>
      <w:r>
        <w:rPr/>
        <w:t>年</w:t>
      </w:r>
      <w:r>
        <w:rPr>
          <w:rFonts w:ascii="宋体" w:hAnsi="宋体" w:cs="宋体" w:eastAsia="宋体" w:hint="default"/>
        </w:rPr>
        <w:t>12</w:t>
      </w:r>
      <w:r>
        <w:rPr/>
        <w:t>月</w:t>
      </w:r>
      <w:r>
        <w:rPr>
          <w:rFonts w:ascii="宋体" w:hAnsi="宋体" w:cs="宋体" w:eastAsia="宋体" w:hint="default"/>
        </w:rPr>
        <w:t>30</w:t>
      </w:r>
      <w:r>
        <w:rPr/>
        <w:t>日前搬迁的通知。</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w:t>
      </w:r>
      <w:r>
        <w:rPr/>
        <w:t>日，公明征地拆 </w:t>
      </w:r>
      <w:r>
        <w:rPr>
          <w:spacing w:val="-2"/>
        </w:rPr>
        <w:t>迁办、公明农林水办以及公明国土后续管理办联合再次向本公司发出要求</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5</w:t>
      </w:r>
      <w:r>
        <w:rPr>
          <w:spacing w:val="-2"/>
        </w:rPr>
        <w:t>日之前搬迁的通知。截止</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rFonts w:ascii="宋体" w:hAnsi="宋体" w:cs="宋体" w:eastAsia="宋体" w:hint="default"/>
          <w:spacing w:val="-55"/>
        </w:rPr>
        <w:t> </w:t>
      </w:r>
      <w:r>
        <w:rPr/>
        <w:t>日，公明山地上的养殖业正常经营。</w:t>
      </w:r>
    </w:p>
    <w:p>
      <w:pPr>
        <w:pStyle w:val="Heading2"/>
        <w:spacing w:line="240" w:lineRule="auto" w:before="76"/>
        <w:ind w:right="0"/>
        <w:jc w:val="both"/>
        <w:rPr>
          <w:b w:val="0"/>
          <w:bCs w:val="0"/>
        </w:rPr>
      </w:pPr>
      <w:r>
        <w:rPr/>
        <w:t>十四、其他重要事项</w:t>
      </w:r>
      <w:r>
        <w:rPr>
          <w:b w:val="0"/>
          <w:bCs w:val="0"/>
        </w:rPr>
      </w:r>
    </w:p>
    <w:p>
      <w:pPr>
        <w:spacing w:line="240" w:lineRule="auto" w:before="10"/>
        <w:rPr>
          <w:rFonts w:ascii="微软雅黑" w:hAnsi="微软雅黑" w:cs="微软雅黑" w:eastAsia="微软雅黑" w:hint="default"/>
          <w:b/>
          <w:bCs/>
          <w:sz w:val="13"/>
          <w:szCs w:val="13"/>
        </w:rPr>
      </w:pPr>
    </w:p>
    <w:p>
      <w:pPr>
        <w:pStyle w:val="Heading3"/>
        <w:spacing w:line="240" w:lineRule="auto"/>
        <w:ind w:right="0"/>
        <w:jc w:val="both"/>
        <w:rPr>
          <w:b w:val="0"/>
          <w:bCs w:val="0"/>
        </w:rPr>
      </w:pPr>
      <w:r>
        <w:rPr>
          <w:rFonts w:ascii="Arial" w:hAnsi="Arial" w:cs="Arial" w:eastAsia="Arial" w:hint="default"/>
        </w:rPr>
        <w:t>1</w:t>
      </w:r>
      <w:r>
        <w:rPr/>
        <w:t>、非货币性资产交换</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both"/>
        <w:rPr>
          <w:rFonts w:ascii="微软雅黑" w:hAnsi="微软雅黑" w:cs="微软雅黑" w:eastAsia="微软雅黑" w:hint="default"/>
          <w:sz w:val="21"/>
          <w:szCs w:val="21"/>
        </w:rPr>
      </w:pPr>
      <w:r>
        <w:rPr>
          <w:rFonts w:ascii="Arial" w:hAnsi="Arial" w:cs="Arial" w:eastAsia="Arial" w:hint="default"/>
          <w:b/>
          <w:bCs/>
          <w:sz w:val="21"/>
          <w:szCs w:val="21"/>
        </w:rPr>
        <w:t>2</w:t>
      </w:r>
      <w:r>
        <w:rPr>
          <w:rFonts w:ascii="微软雅黑" w:hAnsi="微软雅黑" w:cs="微软雅黑" w:eastAsia="微软雅黑" w:hint="default"/>
          <w:b/>
          <w:bCs/>
          <w:sz w:val="21"/>
          <w:szCs w:val="21"/>
        </w:rPr>
        <w:t>、债务重组</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before="0"/>
        <w:ind w:left="152" w:right="0" w:firstLine="0"/>
        <w:jc w:val="both"/>
        <w:rPr>
          <w:rFonts w:ascii="微软雅黑" w:hAnsi="微软雅黑" w:cs="微软雅黑" w:eastAsia="微软雅黑" w:hint="default"/>
          <w:sz w:val="21"/>
          <w:szCs w:val="21"/>
        </w:rPr>
      </w:pPr>
      <w:r>
        <w:rPr>
          <w:rFonts w:ascii="Arial" w:hAnsi="Arial" w:cs="Arial" w:eastAsia="Arial" w:hint="default"/>
          <w:b/>
          <w:bCs/>
          <w:sz w:val="21"/>
          <w:szCs w:val="21"/>
        </w:rPr>
        <w:t>3</w:t>
      </w:r>
      <w:r>
        <w:rPr>
          <w:rFonts w:ascii="微软雅黑" w:hAnsi="微软雅黑" w:cs="微软雅黑" w:eastAsia="微软雅黑" w:hint="default"/>
          <w:b/>
          <w:bCs/>
          <w:sz w:val="21"/>
          <w:szCs w:val="21"/>
        </w:rPr>
        <w:t>、企业合并</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both"/>
        <w:rPr>
          <w:rFonts w:ascii="微软雅黑" w:hAnsi="微软雅黑" w:cs="微软雅黑" w:eastAsia="微软雅黑" w:hint="default"/>
          <w:sz w:val="21"/>
          <w:szCs w:val="21"/>
        </w:rPr>
      </w:pPr>
      <w:r>
        <w:rPr>
          <w:rFonts w:ascii="Arial" w:hAnsi="Arial" w:cs="Arial" w:eastAsia="Arial" w:hint="default"/>
          <w:b/>
          <w:bCs/>
          <w:sz w:val="21"/>
          <w:szCs w:val="21"/>
        </w:rPr>
        <w:t>4</w:t>
      </w:r>
      <w:r>
        <w:rPr>
          <w:rFonts w:ascii="微软雅黑" w:hAnsi="微软雅黑" w:cs="微软雅黑" w:eastAsia="微软雅黑" w:hint="default"/>
          <w:b/>
          <w:bCs/>
          <w:sz w:val="21"/>
          <w:szCs w:val="21"/>
        </w:rPr>
        <w:t>、租赁</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4"/>
          <w:szCs w:val="14"/>
        </w:rPr>
      </w:pPr>
    </w:p>
    <w:p>
      <w:pPr>
        <w:spacing w:before="0"/>
        <w:ind w:left="152" w:right="0" w:firstLine="0"/>
        <w:jc w:val="both"/>
        <w:rPr>
          <w:rFonts w:ascii="微软雅黑" w:hAnsi="微软雅黑" w:cs="微软雅黑" w:eastAsia="微软雅黑" w:hint="default"/>
          <w:sz w:val="21"/>
          <w:szCs w:val="21"/>
        </w:rPr>
      </w:pPr>
      <w:r>
        <w:rPr>
          <w:rFonts w:ascii="Arial" w:hAnsi="Arial" w:cs="Arial" w:eastAsia="Arial" w:hint="default"/>
          <w:b/>
          <w:bCs/>
          <w:sz w:val="21"/>
          <w:szCs w:val="21"/>
        </w:rPr>
        <w:t>5</w:t>
      </w:r>
      <w:r>
        <w:rPr>
          <w:rFonts w:ascii="微软雅黑" w:hAnsi="微软雅黑" w:cs="微软雅黑" w:eastAsia="微软雅黑" w:hint="default"/>
          <w:b/>
          <w:bCs/>
          <w:sz w:val="21"/>
          <w:szCs w:val="21"/>
        </w:rPr>
        <w:t>、期末发行在外的、可转换为股份的金融工具</w:t>
      </w:r>
      <w:r>
        <w:rPr>
          <w:rFonts w:ascii="微软雅黑" w:hAnsi="微软雅黑" w:cs="微软雅黑" w:eastAsia="微软雅黑" w:hint="default"/>
          <w:sz w:val="21"/>
          <w:szCs w:val="21"/>
        </w:rPr>
      </w:r>
    </w:p>
    <w:p>
      <w:pPr>
        <w:spacing w:line="240" w:lineRule="auto" w:before="8"/>
        <w:rPr>
          <w:rFonts w:ascii="微软雅黑" w:hAnsi="微软雅黑" w:cs="微软雅黑" w:eastAsia="微软雅黑" w:hint="default"/>
          <w:b/>
          <w:bCs/>
          <w:sz w:val="14"/>
          <w:szCs w:val="14"/>
        </w:rPr>
      </w:pPr>
    </w:p>
    <w:p>
      <w:pPr>
        <w:spacing w:before="0"/>
        <w:ind w:left="152" w:right="0" w:firstLine="0"/>
        <w:jc w:val="both"/>
        <w:rPr>
          <w:rFonts w:ascii="微软雅黑" w:hAnsi="微软雅黑" w:cs="微软雅黑" w:eastAsia="微软雅黑" w:hint="default"/>
          <w:sz w:val="21"/>
          <w:szCs w:val="21"/>
        </w:rPr>
      </w:pPr>
      <w:r>
        <w:rPr>
          <w:rFonts w:ascii="Arial" w:hAnsi="Arial" w:cs="Arial" w:eastAsia="Arial" w:hint="default"/>
          <w:b/>
          <w:bCs/>
          <w:sz w:val="21"/>
          <w:szCs w:val="21"/>
        </w:rPr>
        <w:t>6</w:t>
      </w:r>
      <w:r>
        <w:rPr>
          <w:rFonts w:ascii="微软雅黑" w:hAnsi="微软雅黑" w:cs="微软雅黑" w:eastAsia="微软雅黑" w:hint="default"/>
          <w:b/>
          <w:bCs/>
          <w:sz w:val="21"/>
          <w:szCs w:val="21"/>
        </w:rPr>
        <w:t>、以公允价值计量的资产和负债</w:t>
      </w:r>
      <w:r>
        <w:rPr>
          <w:rFonts w:ascii="微软雅黑" w:hAnsi="微软雅黑" w:cs="微软雅黑" w:eastAsia="微软雅黑" w:hint="default"/>
          <w:sz w:val="21"/>
          <w:szCs w:val="21"/>
        </w:rPr>
      </w:r>
    </w:p>
    <w:p>
      <w:pPr>
        <w:spacing w:line="240" w:lineRule="auto" w:before="7"/>
        <w:rPr>
          <w:rFonts w:ascii="微软雅黑" w:hAnsi="微软雅黑" w:cs="微软雅黑" w:eastAsia="微软雅黑"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60"/>
        <w:gridCol w:w="1520"/>
        <w:gridCol w:w="1524"/>
        <w:gridCol w:w="1522"/>
        <w:gridCol w:w="1522"/>
        <w:gridCol w:w="1522"/>
      </w:tblGrid>
      <w:tr>
        <w:trPr>
          <w:trHeight w:val="714"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78"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4"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line="240" w:lineRule="auto" w:before="4"/>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7</w:t>
      </w:r>
      <w:r>
        <w:rPr/>
        <w:t>、外币金融资产和外币金融负债</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71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5"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4"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336" w:lineRule="exact"/>
        <w:ind w:right="0"/>
        <w:jc w:val="left"/>
        <w:rPr>
          <w:b w:val="0"/>
          <w:bCs w:val="0"/>
        </w:rPr>
      </w:pPr>
      <w:r>
        <w:rPr>
          <w:rFonts w:ascii="Arial" w:hAnsi="Arial" w:cs="Arial" w:eastAsia="Arial" w:hint="default"/>
        </w:rPr>
        <w:t>8</w:t>
      </w:r>
      <w:r>
        <w:rPr/>
        <w:t>、年金计划主要内容及重大变化</w:t>
      </w:r>
      <w:r>
        <w:rPr>
          <w:b w:val="0"/>
          <w:bCs w:val="0"/>
        </w:rPr>
      </w:r>
    </w:p>
    <w:p>
      <w:pPr>
        <w:spacing w:line="240" w:lineRule="auto" w:before="10"/>
        <w:rPr>
          <w:rFonts w:ascii="微软雅黑" w:hAnsi="微软雅黑" w:cs="微软雅黑" w:eastAsia="微软雅黑" w:hint="default"/>
          <w:b/>
          <w:bCs/>
          <w:sz w:val="14"/>
          <w:szCs w:val="14"/>
        </w:rPr>
      </w:pPr>
    </w:p>
    <w:p>
      <w:pPr>
        <w:spacing w:line="379" w:lineRule="auto" w:before="0"/>
        <w:ind w:left="152" w:right="6914" w:firstLine="0"/>
        <w:jc w:val="left"/>
        <w:rPr>
          <w:rFonts w:ascii="微软雅黑" w:hAnsi="微软雅黑" w:cs="微软雅黑" w:eastAsia="微软雅黑" w:hint="default"/>
          <w:sz w:val="21"/>
          <w:szCs w:val="21"/>
        </w:rPr>
      </w:pPr>
      <w:r>
        <w:rPr>
          <w:rFonts w:ascii="Arial" w:hAnsi="Arial" w:cs="Arial" w:eastAsia="Arial" w:hint="default"/>
          <w:b/>
          <w:bCs/>
          <w:sz w:val="21"/>
          <w:szCs w:val="21"/>
        </w:rPr>
        <w:t>9</w:t>
      </w:r>
      <w:r>
        <w:rPr>
          <w:rFonts w:ascii="微软雅黑" w:hAnsi="微软雅黑" w:cs="微软雅黑" w:eastAsia="微软雅黑" w:hint="default"/>
          <w:b/>
          <w:bCs/>
          <w:sz w:val="21"/>
          <w:szCs w:val="21"/>
        </w:rPr>
        <w:t>、其他</w:t>
      </w:r>
      <w:r>
        <w:rPr>
          <w:rFonts w:ascii="微软雅黑" w:hAnsi="微软雅黑" w:cs="微软雅黑" w:eastAsia="微软雅黑" w:hint="default"/>
          <w:b/>
          <w:bCs/>
          <w:w w:val="100"/>
          <w:sz w:val="21"/>
          <w:szCs w:val="21"/>
        </w:rPr>
        <w:t> </w:t>
      </w:r>
      <w:r>
        <w:rPr>
          <w:rFonts w:ascii="微软雅黑" w:hAnsi="微软雅黑" w:cs="微软雅黑" w:eastAsia="微软雅黑" w:hint="default"/>
          <w:b/>
          <w:bCs/>
          <w:sz w:val="24"/>
          <w:szCs w:val="24"/>
        </w:rPr>
        <w:t>十五、母公司财务报表主要项目注释</w:t>
      </w:r>
      <w:r>
        <w:rPr>
          <w:rFonts w:ascii="微软雅黑" w:hAnsi="微软雅黑" w:cs="微软雅黑" w:eastAsia="微软雅黑" w:hint="default"/>
          <w:b/>
          <w:bCs/>
          <w:spacing w:val="-60"/>
          <w:sz w:val="24"/>
          <w:szCs w:val="24"/>
        </w:rPr>
        <w:t> </w:t>
      </w:r>
      <w:r>
        <w:rPr>
          <w:rFonts w:ascii="微软雅黑" w:hAnsi="微软雅黑" w:cs="微软雅黑" w:eastAsia="微软雅黑" w:hint="default"/>
          <w:b/>
          <w:bCs/>
          <w:spacing w:val="-60"/>
          <w:sz w:val="24"/>
          <w:szCs w:val="24"/>
        </w:rPr>
      </w:r>
      <w:r>
        <w:rPr>
          <w:rFonts w:ascii="Arial" w:hAnsi="Arial" w:cs="Arial" w:eastAsia="Arial" w:hint="default"/>
          <w:b/>
          <w:bCs/>
          <w:sz w:val="21"/>
          <w:szCs w:val="21"/>
        </w:rPr>
        <w:t>1</w:t>
      </w:r>
      <w:r>
        <w:rPr>
          <w:rFonts w:ascii="微软雅黑" w:hAnsi="微软雅黑" w:cs="微软雅黑" w:eastAsia="微软雅黑" w:hint="default"/>
          <w:b/>
          <w:bCs/>
          <w:sz w:val="21"/>
          <w:szCs w:val="21"/>
        </w:rPr>
        <w:t>、应收账款</w:t>
      </w:r>
      <w:r>
        <w:rPr>
          <w:rFonts w:ascii="微软雅黑" w:hAnsi="微软雅黑" w:cs="微软雅黑" w:eastAsia="微软雅黑" w:hint="default"/>
          <w:sz w:val="21"/>
          <w:szCs w:val="21"/>
        </w:rPr>
      </w:r>
    </w:p>
    <w:p>
      <w:pPr>
        <w:pStyle w:val="Heading3"/>
        <w:spacing w:line="240" w:lineRule="auto" w:before="88"/>
        <w:ind w:right="0"/>
        <w:jc w:val="left"/>
        <w:rPr>
          <w:b w:val="0"/>
          <w:bCs w:val="0"/>
        </w:rPr>
      </w:pPr>
      <w:r>
        <w:rPr/>
        <w:t>（</w:t>
      </w:r>
      <w:r>
        <w:rPr>
          <w:rFonts w:ascii="Arial" w:hAnsi="Arial" w:cs="Arial" w:eastAsia="Arial" w:hint="default"/>
        </w:rPr>
        <w:t>1</w:t>
      </w:r>
      <w:r>
        <w:rPr/>
        <w:t>）应收账款</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27"/>
        <w:gridCol w:w="1333"/>
        <w:gridCol w:w="666"/>
        <w:gridCol w:w="1195"/>
        <w:gridCol w:w="665"/>
        <w:gridCol w:w="1328"/>
        <w:gridCol w:w="665"/>
      </w:tblGrid>
      <w:tr>
        <w:trPr>
          <w:trHeight w:val="398"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7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0" w:type="dxa"/>
            <w:gridSpan w:val="2"/>
            <w:vMerge/>
            <w:tcBorders>
              <w:left w:val="single" w:sz="4" w:space="0" w:color="000000"/>
              <w:bottom w:val="single" w:sz="4" w:space="0" w:color="000000"/>
              <w:right w:val="single" w:sz="4" w:space="0" w:color="000000"/>
            </w:tcBorders>
            <w:shd w:val="clear" w:color="auto" w:fill="D2D2D2"/>
          </w:tcPr>
          <w:p>
            <w:pPr/>
          </w:p>
        </w:tc>
        <w:tc>
          <w:tcPr>
            <w:tcW w:w="1999" w:type="dxa"/>
            <w:gridSpan w:val="2"/>
            <w:vMerge/>
            <w:tcBorders>
              <w:left w:val="single" w:sz="4" w:space="0" w:color="000000"/>
              <w:bottom w:val="single" w:sz="4" w:space="0" w:color="000000"/>
              <w:right w:val="single" w:sz="4" w:space="0" w:color="000000"/>
            </w:tcBorders>
            <w:shd w:val="clear" w:color="auto" w:fill="D2D2D2"/>
          </w:tcPr>
          <w:p>
            <w:pPr/>
          </w:p>
        </w:tc>
        <w:tc>
          <w:tcPr>
            <w:tcW w:w="1859"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7"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92" w:right="14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91"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91"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393" w:hRule="exact"/>
        </w:trPr>
        <w:tc>
          <w:tcPr>
            <w:tcW w:w="2000" w:type="dxa"/>
            <w:vMerge w:val="restart"/>
            <w:tcBorders>
              <w:top w:val="nil" w:sz="6" w:space="0" w:color="auto"/>
              <w:left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vMerge/>
            <w:tcBorders>
              <w:left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3" w:type="dxa"/>
            <w:tcBorders>
              <w:top w:val="single" w:sz="4" w:space="0" w:color="000000"/>
              <w:left w:val="single" w:sz="9" w:space="0" w:color="D2D2D2"/>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13" w:space="0" w:color="D2D2D2"/>
            </w:tcBorders>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49"/>
        <w:ind w:right="6794"/>
        <w:jc w:val="left"/>
      </w:pPr>
      <w:r>
        <w:rPr/>
        <w:t>应收账款种类的说明 期末单项金额重大并单项计提坏账准备的应收账款</w:t>
      </w:r>
    </w:p>
    <w:p>
      <w:pPr>
        <w:pStyle w:val="BodyText"/>
        <w:spacing w:line="357" w:lineRule="auto" w:before="29"/>
        <w:ind w:right="6794"/>
        <w:jc w:val="left"/>
      </w:pPr>
      <w:r>
        <w:rPr/>
        <w:t>□ 适用 √ 不适用 组合中，采用账龄分析法计提坏账准备的应收账款</w:t>
      </w:r>
    </w:p>
    <w:p>
      <w:pPr>
        <w:pStyle w:val="BodyText"/>
        <w:spacing w:line="360" w:lineRule="auto" w:before="29"/>
        <w:ind w:right="6614"/>
        <w:jc w:val="left"/>
      </w:pPr>
      <w:r>
        <w:rPr/>
        <w:t>□ 适用 √ 不适用 组合中，采用余额百分比法计提坏账准备的应收账款</w:t>
      </w:r>
    </w:p>
    <w:p>
      <w:pPr>
        <w:pStyle w:val="BodyText"/>
        <w:spacing w:line="360" w:lineRule="auto" w:before="25"/>
        <w:ind w:right="6974"/>
        <w:jc w:val="left"/>
      </w:pPr>
      <w:r>
        <w:rPr/>
        <w:t>□ 适用 √ 不适用 组合中，采用其他方法计提坏账准备的应收账款</w:t>
      </w:r>
    </w:p>
    <w:p>
      <w:pPr>
        <w:pStyle w:val="BodyText"/>
        <w:spacing w:line="357" w:lineRule="auto" w:before="27"/>
        <w:ind w:right="6434"/>
        <w:jc w:val="left"/>
      </w:pPr>
      <w:r>
        <w:rPr/>
        <w:t>□ 适用 √ 不适用 期末单项金额虽不重大但单项计提坏账准备的应收账款</w:t>
      </w:r>
    </w:p>
    <w:p>
      <w:pPr>
        <w:pStyle w:val="BodyText"/>
        <w:spacing w:line="240" w:lineRule="auto" w:before="29"/>
        <w:ind w:right="0"/>
        <w:jc w:val="left"/>
      </w:pPr>
      <w:r>
        <w:rPr/>
        <w:t>□ 适用 √ 不适用</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2</w:t>
      </w:r>
      <w:r>
        <w:rPr/>
        <w:t>）本报告期转回或收回的应收账款情况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单项金额不重大但按信用风险特征组合后该组合的风险较大的应收账款的说明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3</w:t>
      </w:r>
      <w:r>
        <w:rPr/>
        <w:t>）本报告期实际核销的应收账款情况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0"/>
        <w:jc w:val="left"/>
      </w:pPr>
      <w:r>
        <w:rPr/>
        <w:t>应收账款核销说明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4</w:t>
      </w:r>
      <w:r>
        <w:rPr/>
        <w:t>）本报告期应收账款中持有公司 </w:t>
      </w:r>
      <w:r>
        <w:rPr>
          <w:rFonts w:ascii="Arial" w:hAnsi="Arial" w:cs="Arial" w:eastAsia="Arial" w:hint="default"/>
        </w:rPr>
        <w:t>5</w:t>
      </w:r>
      <w:r>
        <w:rPr/>
        <w:t>％（含</w:t>
      </w:r>
      <w:r>
        <w:rPr>
          <w:spacing w:val="-28"/>
        </w:rPr>
        <w:t> </w:t>
      </w:r>
      <w:r>
        <w:rPr>
          <w:rFonts w:ascii="Arial" w:hAnsi="Arial" w:cs="Arial" w:eastAsia="Arial" w:hint="default"/>
        </w:rPr>
        <w:t>5</w:t>
      </w:r>
      <w:r>
        <w:rPr/>
        <w:t>％）以上表决权股份的股东单位情况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5</w:t>
      </w:r>
      <w:r>
        <w:rPr/>
        <w:t>）金额较大的其他的应收账款的性质或内容</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6</w:t>
      </w:r>
      <w:r>
        <w:rPr>
          <w:rFonts w:ascii="微软雅黑" w:hAnsi="微软雅黑" w:cs="微软雅黑" w:eastAsia="微软雅黑" w:hint="default"/>
          <w:b/>
          <w:bCs/>
          <w:sz w:val="21"/>
          <w:szCs w:val="21"/>
        </w:rPr>
        <w:t>）应收账款中金额前五名单位情况</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16" w:right="50" w:hanging="764"/>
              <w:jc w:val="left"/>
              <w:rPr>
                <w:rFonts w:ascii="宋体" w:hAnsi="宋体" w:cs="宋体" w:eastAsia="宋体" w:hint="default"/>
                <w:sz w:val="18"/>
                <w:szCs w:val="18"/>
              </w:rPr>
            </w:pPr>
            <w:r>
              <w:rPr>
                <w:rFonts w:ascii="宋体" w:hAnsi="宋体" w:cs="宋体" w:eastAsia="宋体" w:hint="default"/>
                <w:sz w:val="18"/>
                <w:szCs w:val="18"/>
              </w:rPr>
              <w:t>占应收账款总额的比例 </w:t>
            </w:r>
            <w:r>
              <w:rPr>
                <w:rFonts w:ascii="宋体" w:hAnsi="宋体" w:cs="宋体" w:eastAsia="宋体" w:hint="default"/>
                <w:sz w:val="18"/>
                <w:szCs w:val="18"/>
              </w:rPr>
              <w:t>(%)</w:t>
            </w:r>
          </w:p>
        </w:tc>
      </w:tr>
    </w:tbl>
    <w:p>
      <w:pPr>
        <w:spacing w:line="240" w:lineRule="auto" w:before="4"/>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7</w:t>
      </w:r>
      <w:r>
        <w:rPr/>
        <w:t>）应收关联方账款情况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8</w:t>
      </w:r>
      <w:r>
        <w:rPr/>
        <w:t>）</w:t>
      </w:r>
      <w:r>
        <w:rPr>
          <w:b w:val="0"/>
          <w:bCs w:val="0"/>
        </w:rPr>
      </w:r>
    </w:p>
    <w:p>
      <w:pPr>
        <w:spacing w:line="240" w:lineRule="auto" w:before="4"/>
        <w:rPr>
          <w:rFonts w:ascii="微软雅黑" w:hAnsi="微软雅黑" w:cs="微软雅黑" w:eastAsia="微软雅黑" w:hint="default"/>
          <w:b/>
          <w:bCs/>
          <w:sz w:val="19"/>
          <w:szCs w:val="19"/>
        </w:rPr>
      </w:pPr>
    </w:p>
    <w:p>
      <w:pPr>
        <w:pStyle w:val="BodyText"/>
        <w:spacing w:line="240" w:lineRule="auto"/>
        <w:ind w:right="0"/>
        <w:jc w:val="left"/>
      </w:pPr>
      <w:r>
        <w:rPr/>
        <w:t>不符合终止确认条件的应收账款的转移金额为元。</w:t>
      </w:r>
    </w:p>
    <w:p>
      <w:pPr>
        <w:spacing w:line="240" w:lineRule="auto" w:before="6"/>
        <w:rPr>
          <w:rFonts w:ascii="宋体" w:hAnsi="宋体" w:cs="宋体" w:eastAsia="宋体" w:hint="default"/>
          <w:sz w:val="22"/>
          <w:szCs w:val="22"/>
        </w:rPr>
      </w:pPr>
    </w:p>
    <w:p>
      <w:pPr>
        <w:pStyle w:val="Heading3"/>
        <w:spacing w:line="405" w:lineRule="auto"/>
        <w:ind w:right="3917"/>
        <w:jc w:val="left"/>
        <w:rPr>
          <w:b w:val="0"/>
          <w:bCs w:val="0"/>
        </w:rPr>
      </w:pPr>
      <w:r>
        <w:rPr/>
        <w:t>（</w:t>
      </w:r>
      <w:r>
        <w:rPr>
          <w:rFonts w:ascii="Arial" w:hAnsi="Arial" w:cs="Arial" w:eastAsia="Arial" w:hint="default"/>
        </w:rPr>
        <w:t>9</w:t>
      </w:r>
      <w:r>
        <w:rPr/>
        <w:t>）以应收款项为标的资产进行资产证券化的，需简要说明相关交易安排</w:t>
      </w:r>
      <w:r>
        <w:rPr>
          <w:spacing w:val="-51"/>
        </w:rPr>
        <w:t> </w:t>
      </w:r>
      <w:r>
        <w:rPr>
          <w:spacing w:val="-51"/>
        </w:rPr>
      </w:r>
      <w:r>
        <w:rPr>
          <w:rFonts w:ascii="Arial" w:hAnsi="Arial" w:cs="Arial" w:eastAsia="Arial" w:hint="default"/>
        </w:rPr>
        <w:t>2</w:t>
      </w:r>
      <w:r>
        <w:rPr/>
        <w:t>、其他应收款</w:t>
      </w:r>
      <w:r>
        <w:rPr>
          <w:b w:val="0"/>
          <w:bCs w:val="0"/>
        </w:rPr>
      </w:r>
    </w:p>
    <w:p>
      <w:pPr>
        <w:spacing w:before="58"/>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）其他应收款</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3781"/>
        <w:gridCol w:w="3950"/>
      </w:tblGrid>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1441"/>
        <w:gridCol w:w="540"/>
        <w:gridCol w:w="1260"/>
        <w:gridCol w:w="540"/>
        <w:gridCol w:w="1260"/>
        <w:gridCol w:w="721"/>
        <w:gridCol w:w="1423"/>
        <w:gridCol w:w="557"/>
      </w:tblGrid>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2D2D2"/>
          </w:tcPr>
          <w:p>
            <w:pP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80"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31" w:right="0"/>
              <w:jc w:val="lef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31" w:right="0"/>
              <w:jc w:val="lef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48"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72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43,076,141.18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95.9%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15,677,568.37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37,789,932.04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
              <w:jc w:val="right"/>
              <w:rPr>
                <w:rFonts w:ascii="Times New Roman" w:hAnsi="Times New Roman" w:cs="Times New Roman" w:eastAsia="Times New Roman" w:hint="default"/>
                <w:sz w:val="18"/>
                <w:szCs w:val="18"/>
              </w:rPr>
            </w:pPr>
            <w:r>
              <w:rPr>
                <w:rFonts w:ascii="Times New Roman"/>
                <w:spacing w:val="-1"/>
                <w:sz w:val="18"/>
              </w:rPr>
              <w:t>11,187,038.10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43,076,141.18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15,677,568.37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37,789,932.04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pacing w:val="-1"/>
                <w:sz w:val="18"/>
              </w:rPr>
              <w:t>11,187,038.10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w:t>
            </w:r>
          </w:p>
        </w:tc>
      </w:tr>
      <w:tr>
        <w:trPr>
          <w:trHeight w:val="1027"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1,841,912.35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1,841,912.35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1,841,912.35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1,841,912.35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44,918,053.53</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17,519,480.72</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39,631,844.39</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pacing w:val="-1"/>
                <w:sz w:val="18"/>
              </w:rPr>
              <w:t>13,028,950.45</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340" w:top="1060" w:bottom="1540" w:left="98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57" w:lineRule="auto" w:before="29"/>
        <w:ind w:right="-20"/>
        <w:jc w:val="left"/>
      </w:pPr>
      <w:r>
        <w:rPr/>
        <w:t>□ 适用 √ 不适用 组合中，采用账龄分析法计提坏账准备的其他应收款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6,392,829.52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11,688,064.10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30.93%</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11,828,712.61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591,435.63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76,119.00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3,805.95</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18,221,542.13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591,435.63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11,764,183.10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31.13%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3,805.95</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258,850.11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25,885.01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290,333.33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29,033.33</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290,333.33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11,371,312.00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30.09%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3,411,393.60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24,305,415.61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14,973,147.73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14,364,103.61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38.01%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7,742,805.22</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11,371,312.00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5,685,656.00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12,728,432.59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33.68%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6,364,216.30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12,155,372.92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8,508,761.04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856,940.33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599,858.23</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778,730.69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778,730.69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778,730.69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778,730.69</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43,076,141.18</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15,677,568.37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37,789,932.04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11,187,038.10</w:t>
            </w:r>
          </w:p>
        </w:tc>
      </w:tr>
    </w:tbl>
    <w:p>
      <w:pPr>
        <w:pStyle w:val="BodyText"/>
        <w:spacing w:line="240" w:lineRule="auto" w:before="49"/>
        <w:ind w:right="0"/>
        <w:jc w:val="left"/>
      </w:pPr>
      <w:r>
        <w:rPr/>
        <w:t>组合中，采用余额百分比法计提坏账准备的其他应收款</w:t>
      </w:r>
    </w:p>
    <w:p>
      <w:pPr>
        <w:pStyle w:val="BodyText"/>
        <w:spacing w:line="360" w:lineRule="auto" w:before="115"/>
        <w:ind w:right="6794"/>
        <w:jc w:val="left"/>
      </w:pPr>
      <w:r>
        <w:rPr/>
        <w:t>□ 适用 √ 不适用 组合中，采用其他方法计提坏账准备的其他应收款</w:t>
      </w:r>
    </w:p>
    <w:p>
      <w:pPr>
        <w:pStyle w:val="BodyText"/>
        <w:spacing w:line="240" w:lineRule="auto" w:before="27"/>
        <w:ind w:right="0"/>
        <w:jc w:val="left"/>
      </w:pPr>
      <w:r>
        <w:rPr/>
        <w:t>□ 适用 √ 不适用</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1340" w:top="1060" w:bottom="1540" w:left="980" w:right="0"/>
        </w:sectPr>
      </w:pPr>
    </w:p>
    <w:p>
      <w:pPr>
        <w:pStyle w:val="BodyText"/>
        <w:spacing w:line="240" w:lineRule="auto" w:before="44"/>
        <w:ind w:right="-20"/>
        <w:jc w:val="left"/>
      </w:pPr>
      <w:r>
        <w:rPr/>
        <w:t>期末单项金额虽不重大但单项计提坏账准备的其他应收款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1,841,912.35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1,841,912.35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债务人已停止经营</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1,841,912.35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1,841,912.35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）本报告期转回或收回的其他应收款情况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0"/>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3</w:t>
      </w:r>
      <w:r>
        <w:rPr/>
        <w:t>）本报告期实际核销的其他应收款情况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4</w:t>
      </w:r>
      <w:r>
        <w:rPr/>
        <w:t>）本报告期其他应收款中持有公司 </w:t>
      </w:r>
      <w:r>
        <w:rPr>
          <w:rFonts w:ascii="Arial" w:hAnsi="Arial" w:cs="Arial" w:eastAsia="Arial" w:hint="default"/>
        </w:rPr>
        <w:t>5</w:t>
      </w:r>
      <w:r>
        <w:rPr/>
        <w:t>％（含</w:t>
      </w:r>
      <w:r>
        <w:rPr>
          <w:spacing w:val="-27"/>
        </w:rPr>
        <w:t> </w:t>
      </w:r>
      <w:r>
        <w:rPr>
          <w:rFonts w:ascii="Arial" w:hAnsi="Arial" w:cs="Arial" w:eastAsia="Arial" w:hint="default"/>
        </w:rPr>
        <w:t>5</w:t>
      </w:r>
      <w:r>
        <w:rPr/>
        <w:t>％）以上表决权股份的股东单位情况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5</w:t>
      </w:r>
      <w:r>
        <w:rPr/>
        <w:t>）金额较大的其他应收款的性质或内容</w:t>
      </w:r>
      <w:r>
        <w:rPr>
          <w:b w:val="0"/>
          <w:bCs w:val="0"/>
        </w:rPr>
      </w:r>
    </w:p>
    <w:p>
      <w:pPr>
        <w:spacing w:line="240" w:lineRule="auto" w:before="8"/>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6</w:t>
      </w:r>
      <w:r>
        <w:rPr>
          <w:rFonts w:ascii="微软雅黑" w:hAnsi="微软雅黑" w:cs="微软雅黑" w:eastAsia="微软雅黑" w:hint="default"/>
          <w:b/>
          <w:bCs/>
          <w:sz w:val="21"/>
          <w:szCs w:val="21"/>
        </w:rPr>
        <w:t>）其他应收款金额前五名单位情况</w:t>
      </w:r>
      <w:r>
        <w:rPr>
          <w:rFonts w:ascii="微软雅黑" w:hAnsi="微软雅黑" w:cs="微软雅黑" w:eastAsia="微软雅黑" w:hint="default"/>
          <w:sz w:val="21"/>
          <w:szCs w:val="21"/>
        </w:rPr>
      </w:r>
    </w:p>
    <w:p>
      <w:pPr>
        <w:spacing w:line="240" w:lineRule="auto" w:before="15"/>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1260"/>
        <w:gridCol w:w="1424"/>
        <w:gridCol w:w="1277"/>
        <w:gridCol w:w="2521"/>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23,934,148.84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53.28%</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深圳市华宝（集团）饲料有限公司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11,954,859.38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26.61%</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深圳市深信西部房地产有限公司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4,097,864.45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9.12%</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深圳市宝安华宝实业有限公司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2,057,355.55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4.58%</w:t>
            </w:r>
          </w:p>
        </w:tc>
      </w:tr>
    </w:tbl>
    <w:p>
      <w:pPr>
        <w:spacing w:after="0" w:line="240" w:lineRule="auto"/>
        <w:jc w:val="righ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61"/>
        <w:gridCol w:w="1260"/>
        <w:gridCol w:w="1424"/>
        <w:gridCol w:w="1277"/>
        <w:gridCol w:w="2521"/>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4"/>
              <w:jc w:val="right"/>
              <w:rPr>
                <w:rFonts w:ascii="宋体" w:hAnsi="宋体" w:cs="宋体" w:eastAsia="宋体" w:hint="default"/>
                <w:sz w:val="18"/>
                <w:szCs w:val="18"/>
              </w:rPr>
            </w:pPr>
            <w:r>
              <w:rPr>
                <w:rFonts w:ascii="宋体" w:hAnsi="宋体" w:cs="宋体" w:eastAsia="宋体" w:hint="default"/>
                <w:sz w:val="18"/>
                <w:szCs w:val="18"/>
              </w:rPr>
              <w:t>联营公司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1,841,912.35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4.1%</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0"/>
              <w:jc w:val="right"/>
              <w:rPr>
                <w:rFonts w:ascii="宋体" w:hAnsi="宋体" w:cs="宋体" w:eastAsia="宋体" w:hint="default"/>
                <w:sz w:val="18"/>
                <w:szCs w:val="18"/>
              </w:rPr>
            </w:pPr>
            <w:r>
              <w:rPr>
                <w:rFonts w:ascii="宋体"/>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43,886,140.57</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9"/>
              <w:jc w:val="right"/>
              <w:rPr>
                <w:rFonts w:ascii="宋体" w:hAnsi="宋体" w:cs="宋体" w:eastAsia="宋体" w:hint="default"/>
                <w:sz w:val="18"/>
                <w:szCs w:val="18"/>
              </w:rPr>
            </w:pPr>
            <w:r>
              <w:rPr>
                <w:rFonts w:ascii="宋体"/>
                <w:sz w:val="18"/>
              </w:rPr>
              <w:t>--</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97.7%</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7</w:t>
      </w:r>
      <w:r>
        <w:rPr/>
        <w:t>）其他应收关联方账款情况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39"/>
        <w:gridCol w:w="2369"/>
        <w:gridCol w:w="2429"/>
        <w:gridCol w:w="2432"/>
      </w:tblGrid>
      <w:tr>
        <w:trPr>
          <w:trHeight w:val="402"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401"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1,841,912.35</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4.1%</w:t>
            </w:r>
          </w:p>
        </w:tc>
      </w:tr>
      <w:tr>
        <w:trPr>
          <w:trHeight w:val="403"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24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1,841,912.35</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8</w:t>
      </w:r>
      <w:r>
        <w:rPr/>
        <w:t>）</w:t>
      </w:r>
      <w:r>
        <w:rPr>
          <w:b w:val="0"/>
          <w:bCs w:val="0"/>
        </w:rPr>
      </w:r>
    </w:p>
    <w:p>
      <w:pPr>
        <w:spacing w:line="240" w:lineRule="auto" w:before="7"/>
        <w:rPr>
          <w:rFonts w:ascii="微软雅黑" w:hAnsi="微软雅黑" w:cs="微软雅黑" w:eastAsia="微软雅黑" w:hint="default"/>
          <w:b/>
          <w:bCs/>
          <w:sz w:val="19"/>
          <w:szCs w:val="19"/>
        </w:rPr>
      </w:pPr>
    </w:p>
    <w:p>
      <w:pPr>
        <w:pStyle w:val="BodyText"/>
        <w:spacing w:line="240" w:lineRule="auto"/>
        <w:ind w:right="0"/>
        <w:jc w:val="left"/>
      </w:pPr>
      <w:r>
        <w:rPr/>
        <w:t>不符合终止确认条件的其他应收款项的转移金额为</w:t>
      </w:r>
      <w:r>
        <w:rPr>
          <w:spacing w:val="-44"/>
        </w:rPr>
        <w:t> </w:t>
      </w:r>
      <w:r>
        <w:rPr>
          <w:rFonts w:ascii="宋体" w:hAnsi="宋体" w:cs="宋体" w:eastAsia="宋体" w:hint="default"/>
          <w:spacing w:val="-44"/>
        </w:rPr>
      </w:r>
      <w:r>
        <w:rPr>
          <w:rFonts w:ascii="宋体" w:hAnsi="宋体" w:cs="宋体" w:eastAsia="宋体" w:hint="default"/>
          <w:u w:val="single" w:color="000000"/>
        </w:rPr>
        <w:t>0</w:t>
      </w:r>
      <w:r>
        <w:rPr>
          <w:rFonts w:ascii="宋体" w:hAnsi="宋体" w:cs="宋体" w:eastAsia="宋体" w:hint="default"/>
          <w:spacing w:val="-46"/>
          <w:u w:val="single" w:color="000000"/>
        </w:rPr>
        <w:t> </w:t>
      </w:r>
      <w:r>
        <w:rPr>
          <w:rFonts w:ascii="宋体" w:hAnsi="宋体" w:cs="宋体" w:eastAsia="宋体" w:hint="default"/>
          <w:spacing w:val="-46"/>
        </w:rPr>
      </w:r>
      <w:r>
        <w:rPr/>
        <w:t>元。</w:t>
      </w:r>
    </w:p>
    <w:p>
      <w:pPr>
        <w:spacing w:line="240" w:lineRule="auto" w:before="3"/>
        <w:rPr>
          <w:rFonts w:ascii="宋体" w:hAnsi="宋体" w:cs="宋体" w:eastAsia="宋体" w:hint="default"/>
          <w:sz w:val="22"/>
          <w:szCs w:val="22"/>
        </w:rPr>
      </w:pPr>
    </w:p>
    <w:p>
      <w:pPr>
        <w:pStyle w:val="Heading3"/>
        <w:spacing w:line="405" w:lineRule="auto"/>
        <w:ind w:right="2473"/>
        <w:jc w:val="left"/>
        <w:rPr>
          <w:b w:val="0"/>
          <w:bCs w:val="0"/>
        </w:rPr>
      </w:pPr>
      <w:r>
        <w:rPr>
          <w:spacing w:val="-1"/>
        </w:rPr>
        <w:t>（</w:t>
      </w:r>
      <w:r>
        <w:rPr>
          <w:rFonts w:ascii="Arial" w:hAnsi="Arial" w:cs="Arial" w:eastAsia="Arial" w:hint="default"/>
          <w:spacing w:val="-1"/>
        </w:rPr>
        <w:t>9</w:t>
      </w:r>
      <w:r>
        <w:rPr>
          <w:spacing w:val="-1"/>
        </w:rPr>
        <w:t>）以其他应收款项为标的资产进行资产证券化的，需简要说明相关交易安排</w:t>
      </w:r>
      <w:r>
        <w:rPr>
          <w:spacing w:val="-16"/>
        </w:rPr>
        <w:t> </w:t>
      </w:r>
      <w:r>
        <w:rPr>
          <w:spacing w:val="-16"/>
        </w:rPr>
      </w:r>
      <w:r>
        <w:rPr>
          <w:rFonts w:ascii="Arial" w:hAnsi="Arial" w:cs="Arial" w:eastAsia="Arial" w:hint="default"/>
        </w:rPr>
        <w:t>3</w:t>
      </w:r>
      <w:r>
        <w:rPr/>
        <w:t>、长期股权投资</w:t>
      </w:r>
      <w:r>
        <w:rPr>
          <w:b w:val="0"/>
          <w:bCs w:val="0"/>
        </w:rPr>
      </w:r>
    </w:p>
    <w:p>
      <w:pPr>
        <w:pStyle w:val="BodyText"/>
        <w:spacing w:line="240" w:lineRule="auto" w:before="14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646"/>
        <w:gridCol w:w="1261"/>
        <w:gridCol w:w="1260"/>
        <w:gridCol w:w="360"/>
        <w:gridCol w:w="1260"/>
        <w:gridCol w:w="540"/>
        <w:gridCol w:w="540"/>
        <w:gridCol w:w="900"/>
        <w:gridCol w:w="1261"/>
        <w:gridCol w:w="454"/>
        <w:gridCol w:w="394"/>
      </w:tblGrid>
      <w:tr>
        <w:trPr>
          <w:trHeight w:val="1964"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27" w:right="45"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增 减 变 动</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在被 投资 单位 持股 比例</w:t>
            </w:r>
          </w:p>
          <w:p>
            <w:pPr>
              <w:pStyle w:val="TableParagraph"/>
              <w:spacing w:line="240" w:lineRule="auto" w:before="59"/>
              <w:ind w:left="131" w:right="0"/>
              <w:jc w:val="both"/>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 投资 单位 表决 权比 例</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 w:right="38"/>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1"/>
              <w:jc w:val="both"/>
              <w:rPr>
                <w:rFonts w:ascii="宋体" w:hAnsi="宋体" w:cs="宋体" w:eastAsia="宋体" w:hint="default"/>
                <w:sz w:val="18"/>
                <w:szCs w:val="18"/>
              </w:rPr>
            </w:pPr>
            <w:r>
              <w:rPr>
                <w:rFonts w:ascii="宋体" w:hAnsi="宋体" w:cs="宋体" w:eastAsia="宋体" w:hint="default"/>
                <w:sz w:val="18"/>
                <w:szCs w:val="18"/>
              </w:rPr>
              <w:t>本 期 现 金 红 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深圳市天 极光电实 业股份有 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20,250,000.00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4.4%</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20,250,000.00</w:t>
            </w: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深圳市中 委农业投 资有限公 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27,938,510.30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27,938,510.30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40%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27,938,510.30</w:t>
            </w: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深圳市深 信西部房 地产有限 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118,300,000.00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118,300,000.00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106,470,000.00</w:t>
            </w: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深圳市深 信泰丰投 资发展有 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45,000,000.00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90%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646"/>
        <w:gridCol w:w="1261"/>
        <w:gridCol w:w="1260"/>
        <w:gridCol w:w="360"/>
        <w:gridCol w:w="1260"/>
        <w:gridCol w:w="540"/>
        <w:gridCol w:w="540"/>
        <w:gridCol w:w="900"/>
        <w:gridCol w:w="1261"/>
        <w:gridCol w:w="454"/>
        <w:gridCol w:w="394"/>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深圳市华 </w:t>
            </w:r>
            <w:r>
              <w:rPr>
                <w:rFonts w:ascii="宋体" w:hAnsi="宋体" w:cs="宋体" w:eastAsia="宋体" w:hint="default"/>
                <w:spacing w:val="-18"/>
                <w:sz w:val="18"/>
                <w:szCs w:val="18"/>
              </w:rPr>
              <w:t>宝（集团</w:t>
            </w:r>
            <w:r>
              <w:rPr>
                <w:rFonts w:ascii="宋体" w:hAnsi="宋体" w:cs="宋体" w:eastAsia="宋体" w:hint="default"/>
                <w:sz w:val="18"/>
                <w:szCs w:val="18"/>
              </w:rPr>
              <w:t> 饲料有限 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6"/>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成本法</w:t>
            </w:r>
          </w:p>
          <w:p>
            <w:pPr>
              <w:pStyle w:val="TableParagraph"/>
              <w:spacing w:line="871" w:lineRule="exact"/>
              <w:ind w:right="-37"/>
              <w:jc w:val="left"/>
              <w:rPr>
                <w:rFonts w:ascii="宋体" w:hAnsi="宋体" w:cs="宋体" w:eastAsia="宋体" w:hint="default"/>
                <w:sz w:val="20"/>
                <w:szCs w:val="20"/>
              </w:rPr>
            </w:pPr>
            <w:r>
              <w:rPr>
                <w:rFonts w:ascii="宋体" w:hAnsi="宋体" w:cs="宋体" w:eastAsia="宋体" w:hint="default"/>
                <w:position w:val="-16"/>
                <w:sz w:val="20"/>
                <w:szCs w:val="20"/>
              </w:rPr>
              <w:pict>
                <v:group style="width:31.8pt;height:43.6pt;mso-position-horizontal-relative:char;mso-position-vertical-relative:line" coordorigin="0,0" coordsize="636,872">
                  <v:group style="position:absolute;left:0;top:0;width:636;height:469" coordorigin="0,0" coordsize="636,469">
                    <v:shape style="position:absolute;left:0;top:0;width:636;height:469" coordorigin="0,0" coordsize="636,469" path="m0,468l636,468,636,0,0,0,0,468xe" filled="true" fillcolor="#ffffff" stroked="false">
                      <v:path arrowok="t"/>
                      <v:fill type="solid"/>
                    </v:shape>
                  </v:group>
                  <v:group style="position:absolute;left:12;top:468;width:2;height:392" coordorigin="12,468" coordsize="2,392">
                    <v:shape style="position:absolute;left:12;top:468;width:2;height:392" coordorigin="12,468" coordsize="0,392" path="m12,468l12,860e" filled="false" stroked="true" strokeweight="1.2pt" strokecolor="#ffffff">
                      <v:path arrowok="t"/>
                    </v:shape>
                  </v:group>
                  <v:group style="position:absolute;left:24;top:468;width:591;height:392" coordorigin="24,468" coordsize="591,392">
                    <v:shape style="position:absolute;left:24;top:468;width:591;height:392" coordorigin="24,468" coordsize="591,392" path="m24,860l614,860,614,468,24,468,24,860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深圳市宝 安华宝实 业有限公 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36,200,000.00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36,200,000.00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深圳市龙 岗区华宝 经济发展 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深圳市泰 丰科技有 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485,100,000.00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473,038,510.30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473,038,510.30</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154,658,510.30</w:t>
            </w:r>
          </w:p>
        </w:tc>
        <w:tc>
          <w:tcPr>
            <w:tcW w:w="45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长期股权投资的说明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4</w:t>
      </w:r>
      <w:r>
        <w:rPr/>
        <w:t>、营业收入和营业成本</w:t>
      </w:r>
      <w:r>
        <w:rPr>
          <w:b w:val="0"/>
          <w:bCs w:val="0"/>
        </w:rPr>
      </w:r>
    </w:p>
    <w:p>
      <w:pPr>
        <w:spacing w:line="240" w:lineRule="auto" w:before="10"/>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）营业收入</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）主营业务（分行业）</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4"/>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）主营业务（分产品）</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4</w:t>
      </w:r>
      <w:r>
        <w:rPr/>
        <w:t>）主营业务（分地区）</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779920"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5</w:t>
      </w:r>
      <w:r>
        <w:rPr/>
        <w:t>）公司前五名客户的营业收入情况</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7"/>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6" w:hanging="586"/>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r>
              <w:rPr>
                <w:rFonts w:ascii="宋体" w:hAnsi="宋体" w:cs="宋体" w:eastAsia="宋体" w:hint="default"/>
                <w:sz w:val="18"/>
                <w:szCs w:val="18"/>
              </w:rPr>
              <w:t>(%)</w:t>
            </w:r>
          </w:p>
        </w:tc>
      </w:tr>
    </w:tbl>
    <w:p>
      <w:pPr>
        <w:pStyle w:val="BodyText"/>
        <w:spacing w:line="240" w:lineRule="auto" w:before="49"/>
        <w:ind w:right="0"/>
        <w:jc w:val="left"/>
      </w:pPr>
      <w:r>
        <w:rPr/>
        <w:t>营业收入的说明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5</w:t>
      </w:r>
      <w:r>
        <w:rPr/>
        <w:t>、投资收益</w:t>
      </w:r>
      <w:r>
        <w:rPr>
          <w:b w:val="0"/>
          <w:bCs w:val="0"/>
        </w:rPr>
      </w:r>
    </w:p>
    <w:p>
      <w:pPr>
        <w:spacing w:line="240" w:lineRule="auto" w:before="11"/>
        <w:rPr>
          <w:rFonts w:ascii="微软雅黑" w:hAnsi="微软雅黑" w:cs="微软雅黑" w:eastAsia="微软雅黑" w:hint="default"/>
          <w:b/>
          <w:bCs/>
          <w:sz w:val="14"/>
          <w:szCs w:val="14"/>
        </w:rPr>
      </w:pPr>
    </w:p>
    <w:p>
      <w:pPr>
        <w:spacing w:before="0"/>
        <w:ind w:left="15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w:t>
      </w:r>
      <w:r>
        <w:rPr>
          <w:rFonts w:ascii="Arial" w:hAnsi="Arial" w:cs="Arial" w:eastAsia="Arial" w:hint="default"/>
          <w:b/>
          <w:bCs/>
          <w:sz w:val="21"/>
          <w:szCs w:val="21"/>
        </w:rPr>
        <w:t>1</w:t>
      </w:r>
      <w:r>
        <w:rPr>
          <w:rFonts w:ascii="微软雅黑" w:hAnsi="微软雅黑" w:cs="微软雅黑" w:eastAsia="微软雅黑" w:hint="default"/>
          <w:b/>
          <w:bCs/>
          <w:sz w:val="21"/>
          <w:szCs w:val="21"/>
        </w:rPr>
        <w:t>）投资收益明细</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13"/>
      </w:tblGrid>
      <w:tr>
        <w:trPr>
          <w:trHeight w:val="402"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2</w:t>
      </w:r>
      <w:r>
        <w:rPr/>
        <w:t>）按成本法核算的长期股权投资收益</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t>（</w:t>
      </w:r>
      <w:r>
        <w:rPr>
          <w:rFonts w:ascii="Arial" w:hAnsi="Arial" w:cs="Arial" w:eastAsia="Arial" w:hint="default"/>
        </w:rPr>
        <w:t>3</w:t>
      </w:r>
      <w:r>
        <w:rPr/>
        <w:t>）按权益法核算的长期股权投资收益</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0"/>
        <w:jc w:val="left"/>
      </w:pPr>
      <w:r>
        <w:rPr/>
        <w:t>投资收益的说明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6</w:t>
      </w:r>
      <w:r>
        <w:rPr/>
        <w:t>、现金流量表补充资料</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-11,194,337.68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-4,638,692.97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4,490,530.27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3,006,552.91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167,419.74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180,196.74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116,313.60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88,813.59</w:t>
            </w:r>
          </w:p>
        </w:tc>
      </w:tr>
      <w:tr>
        <w:trPr>
          <w:trHeight w:val="713" w:hRule="exact"/>
        </w:trPr>
        <w:tc>
          <w:tcPr>
            <w:tcW w:w="50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处臵固定资产、无形资产和其他长期资产的损失（收益以‚－‛</w:t>
            </w:r>
            <w:r>
              <w:rPr>
                <w:rFonts w:ascii="宋体" w:hAnsi="宋体" w:cs="宋体" w:eastAsia="宋体" w:hint="default"/>
                <w:spacing w:val="-1"/>
                <w:sz w:val="18"/>
                <w:szCs w:val="18"/>
              </w:rPr>
              <w:t> </w:t>
            </w:r>
            <w:r>
              <w:rPr>
                <w:rFonts w:ascii="宋体" w:hAnsi="宋体" w:cs="宋体" w:eastAsia="宋体" w:hint="default"/>
                <w:sz w:val="18"/>
                <w:szCs w:val="18"/>
              </w:rPr>
              <w:t>号填列）</w:t>
            </w:r>
          </w:p>
        </w:tc>
        <w:tc>
          <w:tcPr>
            <w:tcW w:w="2270" w:type="dxa"/>
            <w:tcBorders>
              <w:top w:val="single" w:sz="4" w:space="0" w:color="000000"/>
              <w:left w:val="single" w:sz="9" w:space="0" w:color="FFFFFF"/>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318,256.09</w:t>
            </w:r>
            <w:r>
              <w:rPr>
                <w:rFonts w:ascii="宋体"/>
                <w:sz w:val="18"/>
              </w:rPr>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105"/>
                <w:sz w:val="18"/>
                <w:szCs w:val="18"/>
              </w:rPr>
              <w:t>固定资产报废损失（收益以‚－‛号填列）</w:t>
            </w:r>
            <w:r>
              <w:rPr>
                <w:rFonts w:ascii="宋体" w:hAnsi="宋体" w:cs="宋体" w:eastAsia="宋体" w:hint="default"/>
                <w:sz w:val="18"/>
                <w:szCs w:val="18"/>
              </w:rPr>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12,928.44</w:t>
            </w:r>
          </w:p>
        </w:tc>
      </w:tr>
    </w:tbl>
    <w:p>
      <w:pPr>
        <w:spacing w:after="0" w:line="240" w:lineRule="auto"/>
        <w:jc w:val="right"/>
        <w:rPr>
          <w:rFonts w:ascii="宋体" w:hAnsi="宋体" w:cs="宋体" w:eastAsia="宋体" w:hint="default"/>
          <w:sz w:val="18"/>
          <w:szCs w:val="18"/>
        </w:rPr>
        <w:sectPr>
          <w:footerReference w:type="default" r:id="rId39"/>
          <w:pgSz w:w="11910" w:h="16840"/>
          <w:pgMar w:footer="980" w:header="745" w:top="1060" w:bottom="1160" w:left="980" w:right="0"/>
          <w:pgNumType w:start="141"/>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779896"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-5,286,209.14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-3,033,577.01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7,789,732.51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-6,524,780.59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-1,882,770.84</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-5,799,321.54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-10,590,302.80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5" w:right="0"/>
              <w:jc w:val="left"/>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5" w:right="0"/>
              <w:jc w:val="left"/>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6,316,698.94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12,272,448.48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12,272,448.48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23,842,247.56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-5,955,749.54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-11,569,799.08</w:t>
            </w:r>
          </w:p>
        </w:tc>
      </w:tr>
    </w:tbl>
    <w:p>
      <w:pPr>
        <w:spacing w:line="240" w:lineRule="auto" w:before="3"/>
        <w:rPr>
          <w:rFonts w:ascii="宋体" w:hAnsi="宋体" w:cs="宋体" w:eastAsia="宋体" w:hint="default"/>
          <w:sz w:val="19"/>
          <w:szCs w:val="19"/>
        </w:rPr>
      </w:pPr>
    </w:p>
    <w:p>
      <w:pPr>
        <w:pStyle w:val="Heading3"/>
        <w:spacing w:line="336" w:lineRule="exact"/>
        <w:ind w:right="0"/>
        <w:jc w:val="left"/>
        <w:rPr>
          <w:b w:val="0"/>
          <w:bCs w:val="0"/>
        </w:rPr>
      </w:pPr>
      <w:r>
        <w:rPr>
          <w:rFonts w:ascii="Arial" w:hAnsi="Arial" w:cs="Arial" w:eastAsia="Arial" w:hint="default"/>
        </w:rPr>
        <w:t>7</w:t>
      </w:r>
      <w:r>
        <w:rPr/>
        <w:t>、反向购买下以评估值入账的资产、负债情况</w:t>
      </w:r>
      <w:r>
        <w:rPr>
          <w:b w:val="0"/>
          <w:bCs w:val="0"/>
        </w:rPr>
      </w:r>
    </w:p>
    <w:p>
      <w:pPr>
        <w:spacing w:line="240" w:lineRule="auto" w:before="12"/>
        <w:rPr>
          <w:rFonts w:ascii="微软雅黑" w:hAnsi="微软雅黑" w:cs="微软雅黑" w:eastAsia="微软雅黑" w:hint="default"/>
          <w:b/>
          <w:bCs/>
          <w:sz w:val="16"/>
          <w:szCs w:val="16"/>
        </w:rPr>
      </w:pPr>
    </w:p>
    <w:p>
      <w:pPr>
        <w:pStyle w:val="BodyText"/>
        <w:spacing w:line="240" w:lineRule="auto" w:before="44"/>
        <w:ind w:right="0"/>
        <w:jc w:val="left"/>
      </w:pPr>
      <w:r>
        <w:rPr/>
        <w:t>反向购买下以公允价值入账的资产、负债情况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0"/>
        <w:jc w:val="left"/>
      </w:pPr>
      <w:r>
        <w:rPr/>
        <w:t>反向购买形成长期股权投资的情况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369" w:lineRule="exact"/>
        <w:ind w:right="0"/>
        <w:jc w:val="left"/>
        <w:rPr>
          <w:b w:val="0"/>
          <w:bCs w:val="0"/>
        </w:rPr>
      </w:pPr>
      <w:r>
        <w:rPr/>
        <w:t>十六、补充资料</w:t>
      </w:r>
      <w:r>
        <w:rPr>
          <w:b w:val="0"/>
          <w:bCs w:val="0"/>
        </w:rPr>
      </w:r>
    </w:p>
    <w:p>
      <w:pPr>
        <w:spacing w:line="240" w:lineRule="auto" w:before="8"/>
        <w:rPr>
          <w:rFonts w:ascii="微软雅黑" w:hAnsi="微软雅黑" w:cs="微软雅黑" w:eastAsia="微软雅黑" w:hint="default"/>
          <w:b/>
          <w:bCs/>
          <w:sz w:val="13"/>
          <w:szCs w:val="13"/>
        </w:rPr>
      </w:pPr>
    </w:p>
    <w:p>
      <w:pPr>
        <w:pStyle w:val="Heading3"/>
        <w:spacing w:line="240" w:lineRule="auto"/>
        <w:ind w:right="0"/>
        <w:jc w:val="left"/>
        <w:rPr>
          <w:b w:val="0"/>
          <w:bCs w:val="0"/>
        </w:rPr>
      </w:pPr>
      <w:r>
        <w:rPr>
          <w:rFonts w:ascii="Arial" w:hAnsi="Arial" w:cs="Arial" w:eastAsia="Arial" w:hint="default"/>
        </w:rPr>
        <w:t>1</w:t>
      </w:r>
      <w:r>
        <w:rPr/>
        <w:t>、净资产收益率及每股收益</w:t>
      </w:r>
      <w:r>
        <w:rPr>
          <w:b w:val="0"/>
          <w:bCs w:val="0"/>
        </w:rPr>
      </w:r>
    </w:p>
    <w:p>
      <w:pPr>
        <w:spacing w:line="240" w:lineRule="auto" w:before="14"/>
        <w:rPr>
          <w:rFonts w:ascii="微软雅黑" w:hAnsi="微软雅黑" w:cs="微软雅黑" w:eastAsia="微软雅黑"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1"/>
        <w:rPr>
          <w:rFonts w:ascii="宋体" w:hAnsi="宋体" w:cs="宋体" w:eastAsia="宋体" w:hint="default"/>
          <w:sz w:val="24"/>
          <w:szCs w:val="24"/>
        </w:rPr>
      </w:pPr>
    </w:p>
    <w:p>
      <w:pPr>
        <w:pStyle w:val="BodyText"/>
        <w:spacing w:line="240" w:lineRule="auto" w:before="44"/>
        <w:ind w:left="3385" w:right="2620"/>
        <w:jc w:val="center"/>
      </w:pPr>
      <w:r>
        <w:rPr/>
        <w:pict>
          <v:shape style="position:absolute;margin-left:56.400002pt;margin-top:-10.808279pt;width:479.3pt;height:96.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1"/>
                    <w:gridCol w:w="2177"/>
                    <w:gridCol w:w="1915"/>
                    <w:gridCol w:w="1937"/>
                  </w:tblGrid>
                  <w:tr>
                    <w:trPr>
                      <w:trHeight w:val="206"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94"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加权平均净资产收益率（</w:t>
                        </w:r>
                        <w:r>
                          <w:rPr>
                            <w:rFonts w:ascii="宋体" w:hAnsi="宋体" w:cs="宋体" w:eastAsia="宋体" w:hint="default"/>
                            <w:spacing w:val="-4"/>
                            <w:sz w:val="18"/>
                            <w:szCs w:val="18"/>
                          </w:rPr>
                          <w:t>%</w:t>
                        </w:r>
                      </w:p>
                    </w:tc>
                    <w:tc>
                      <w:tcPr>
                        <w:tcW w:w="3853" w:type="dxa"/>
                        <w:gridSpan w:val="2"/>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3541" w:type="dxa"/>
                        <w:vMerge/>
                        <w:tcBorders>
                          <w:left w:val="single" w:sz="4" w:space="0" w:color="000000"/>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nil" w:sz="6" w:space="0" w:color="auto"/>
                        </w:tcBorders>
                        <w:shd w:val="clear" w:color="auto" w:fill="D2D2D2"/>
                      </w:tcPr>
                      <w:p>
                        <w:pPr/>
                      </w:p>
                    </w:tc>
                    <w:tc>
                      <w:tcPr>
                        <w:tcW w:w="1937" w:type="dxa"/>
                        <w:tcBorders>
                          <w:top w:val="nil" w:sz="6" w:space="0" w:color="auto"/>
                          <w:left w:val="nil" w:sz="6" w:space="0" w:color="auto"/>
                          <w:bottom w:val="single" w:sz="4" w:space="0" w:color="000000"/>
                          <w:right w:val="single" w:sz="4" w:space="0" w:color="000000"/>
                        </w:tcBorders>
                        <w:shd w:val="clear" w:color="auto" w:fill="D2D2D2"/>
                      </w:tcPr>
                      <w:p>
                        <w:pPr/>
                      </w:p>
                    </w:tc>
                  </w:tr>
                  <w:tr>
                    <w:trPr>
                      <w:trHeight w:val="105" w:hRule="exact"/>
                    </w:trPr>
                    <w:tc>
                      <w:tcPr>
                        <w:tcW w:w="3541" w:type="dxa"/>
                        <w:vMerge/>
                        <w:tcBorders>
                          <w:left w:val="single" w:sz="4" w:space="0" w:color="000000"/>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97"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nil" w:sz="6" w:space="0" w:color="auto"/>
                          <w:left w:val="single" w:sz="4" w:space="0" w:color="000000"/>
                          <w:right w:val="single" w:sz="4" w:space="0" w:color="000000"/>
                        </w:tcBorders>
                        <w:shd w:val="clear" w:color="auto" w:fill="D2D2D2"/>
                      </w:tcPr>
                      <w:p>
                        <w:pPr>
                          <w:pStyle w:val="TableParagraph"/>
                          <w:spacing w:line="190" w:lineRule="exact"/>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tcBorders>
                          <w:left w:val="single" w:sz="4" w:space="0" w:color="000000"/>
                          <w:right w:val="single" w:sz="4" w:space="0" w:color="000000"/>
                        </w:tcBorders>
                        <w:shd w:val="clear" w:color="auto" w:fill="D2D2D2"/>
                      </w:tcPr>
                      <w:p>
                        <w:pPr/>
                      </w:p>
                    </w:tc>
                  </w:tr>
                  <w:tr>
                    <w:trPr>
                      <w:trHeight w:val="206"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3"/>
        <w:spacing w:line="336" w:lineRule="exact"/>
        <w:ind w:right="0"/>
        <w:jc w:val="left"/>
        <w:rPr>
          <w:b w:val="0"/>
          <w:bCs w:val="0"/>
        </w:rPr>
      </w:pPr>
      <w:r>
        <w:rPr>
          <w:rFonts w:ascii="Arial" w:hAnsi="Arial" w:cs="Arial" w:eastAsia="Arial" w:hint="default"/>
        </w:rPr>
        <w:t>2</w:t>
      </w:r>
      <w:r>
        <w:rPr/>
        <w:t>、公司主要会计报表项目的异常情况及原因的说明</w:t>
      </w:r>
      <w:r>
        <w:rPr>
          <w:b w:val="0"/>
          <w:bCs w:val="0"/>
        </w:rPr>
      </w:r>
    </w:p>
    <w:p>
      <w:pPr>
        <w:spacing w:line="240" w:lineRule="auto" w:before="14"/>
        <w:rPr>
          <w:rFonts w:ascii="微软雅黑" w:hAnsi="微软雅黑" w:cs="微软雅黑" w:eastAsia="微软雅黑" w:hint="default"/>
          <w:b/>
          <w:bCs/>
          <w:sz w:val="28"/>
          <w:szCs w:val="28"/>
        </w:rPr>
      </w:pPr>
    </w:p>
    <w:p>
      <w:pPr>
        <w:pStyle w:val="BodyText"/>
        <w:spacing w:line="489" w:lineRule="auto"/>
        <w:ind w:right="1123" w:firstLine="271"/>
        <w:jc w:val="left"/>
      </w:pPr>
      <w:r>
        <w:rPr/>
        <w:t>（</w:t>
      </w:r>
      <w:r>
        <w:rPr>
          <w:rFonts w:ascii="宋体" w:hAnsi="宋体" w:cs="宋体" w:eastAsia="宋体" w:hint="default"/>
        </w:rPr>
        <w:t>1</w:t>
      </w:r>
      <w:r>
        <w:rPr/>
        <w:t>）货币资金</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30,629,230.53</w:t>
      </w:r>
      <w:r>
        <w:rPr/>
        <w:t>元，比年初数减少</w:t>
      </w:r>
      <w:r>
        <w:rPr>
          <w:rFonts w:ascii="宋体" w:hAnsi="宋体" w:cs="宋体" w:eastAsia="宋体" w:hint="default"/>
        </w:rPr>
        <w:t>40.06%</w:t>
      </w:r>
      <w:r>
        <w:rPr/>
        <w:t>，主要原因系本年度基建支出和设备支 出较多导致。</w:t>
      </w:r>
    </w:p>
    <w:p>
      <w:pPr>
        <w:pStyle w:val="BodyText"/>
        <w:spacing w:line="489" w:lineRule="auto" w:before="57"/>
        <w:ind w:right="0" w:firstLine="271"/>
        <w:jc w:val="left"/>
      </w:pPr>
      <w:r>
        <w:rPr>
          <w:spacing w:val="-2"/>
        </w:rPr>
        <w:t>（</w:t>
      </w:r>
      <w:r>
        <w:rPr>
          <w:rFonts w:ascii="宋体" w:hAnsi="宋体" w:cs="宋体" w:eastAsia="宋体" w:hint="default"/>
          <w:spacing w:val="-2"/>
        </w:rPr>
        <w:t>2</w:t>
      </w:r>
      <w:r>
        <w:rPr>
          <w:spacing w:val="-2"/>
        </w:rPr>
        <w:t>）应收票据</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日年末数为</w:t>
      </w:r>
      <w:r>
        <w:rPr>
          <w:rFonts w:ascii="宋体" w:hAnsi="宋体" w:cs="宋体" w:eastAsia="宋体" w:hint="default"/>
          <w:spacing w:val="-2"/>
        </w:rPr>
        <w:t>12,513,584.15</w:t>
      </w:r>
      <w:r>
        <w:rPr>
          <w:spacing w:val="-2"/>
        </w:rPr>
        <w:t>元，比年初数增加</w:t>
      </w:r>
      <w:r>
        <w:rPr>
          <w:rFonts w:ascii="宋体" w:hAnsi="宋体" w:cs="宋体" w:eastAsia="宋体" w:hint="default"/>
          <w:spacing w:val="-2"/>
        </w:rPr>
        <w:t>360.63%</w:t>
      </w:r>
      <w:r>
        <w:rPr>
          <w:spacing w:val="-2"/>
        </w:rPr>
        <w:t>，主要原因系本年度货款结算方式多用</w:t>
      </w:r>
      <w:r>
        <w:rPr/>
        <w:t> 银行承兑汇票的方式结算所致。</w:t>
      </w:r>
    </w:p>
    <w:p>
      <w:pPr>
        <w:pStyle w:val="BodyText"/>
        <w:spacing w:line="240" w:lineRule="auto" w:before="57"/>
        <w:ind w:left="424" w:right="0"/>
        <w:jc w:val="left"/>
      </w:pPr>
      <w:r>
        <w:rPr/>
        <w:t>（</w:t>
      </w:r>
      <w:r>
        <w:rPr>
          <w:rFonts w:ascii="宋体" w:hAnsi="宋体" w:cs="宋体" w:eastAsia="宋体" w:hint="default"/>
        </w:rPr>
        <w:t>3</w:t>
      </w:r>
      <w:r>
        <w:rPr/>
        <w:t>）应收账款</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13,185,304.63</w:t>
      </w:r>
      <w:r>
        <w:rPr/>
        <w:t>元，比年初数减少</w:t>
      </w:r>
      <w:r>
        <w:rPr>
          <w:rFonts w:ascii="宋体" w:hAnsi="宋体" w:cs="宋体" w:eastAsia="宋体" w:hint="default"/>
        </w:rPr>
        <w:t>54.91%</w:t>
      </w:r>
      <w:r>
        <w:rPr/>
        <w:t>，主要原因系本年度货款结算方式多用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44"/>
        <w:ind w:right="0"/>
        <w:jc w:val="left"/>
      </w:pPr>
      <w:r>
        <w:rPr/>
        <w:t>银行承兑汇票的方式结算所致。</w:t>
      </w:r>
    </w:p>
    <w:p>
      <w:pPr>
        <w:spacing w:line="240" w:lineRule="auto" w:before="9"/>
        <w:rPr>
          <w:rFonts w:ascii="宋体" w:hAnsi="宋体" w:cs="宋体" w:eastAsia="宋体" w:hint="default"/>
          <w:sz w:val="18"/>
          <w:szCs w:val="18"/>
        </w:rPr>
      </w:pPr>
    </w:p>
    <w:p>
      <w:pPr>
        <w:pStyle w:val="BodyText"/>
        <w:spacing w:line="489" w:lineRule="auto"/>
        <w:ind w:right="0" w:firstLine="271"/>
        <w:jc w:val="left"/>
      </w:pPr>
      <w:r>
        <w:rPr>
          <w:spacing w:val="-2"/>
        </w:rPr>
        <w:t>（</w:t>
      </w:r>
      <w:r>
        <w:rPr>
          <w:rFonts w:ascii="宋体" w:hAnsi="宋体" w:cs="宋体" w:eastAsia="宋体" w:hint="default"/>
          <w:spacing w:val="-2"/>
        </w:rPr>
        <w:t>4</w:t>
      </w:r>
      <w:r>
        <w:rPr>
          <w:spacing w:val="-2"/>
        </w:rPr>
        <w:t>）预付账款</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日年末数为</w:t>
      </w:r>
      <w:r>
        <w:rPr>
          <w:rFonts w:ascii="宋体" w:hAnsi="宋体" w:cs="宋体" w:eastAsia="宋体" w:hint="default"/>
          <w:spacing w:val="-2"/>
        </w:rPr>
        <w:t>3,539,603.44</w:t>
      </w:r>
      <w:r>
        <w:rPr>
          <w:spacing w:val="-2"/>
        </w:rPr>
        <w:t>元，比年初数减少</w:t>
      </w:r>
      <w:r>
        <w:rPr>
          <w:rFonts w:ascii="宋体" w:hAnsi="宋体" w:cs="宋体" w:eastAsia="宋体" w:hint="default"/>
          <w:spacing w:val="-2"/>
        </w:rPr>
        <w:t>78.93%</w:t>
      </w:r>
      <w:r>
        <w:rPr>
          <w:spacing w:val="-2"/>
        </w:rPr>
        <w:t>，主要原因系本年度经营性采购的预付款</w:t>
      </w:r>
      <w:r>
        <w:rPr/>
        <w:t> 减少以及上年预付的设备款本年已到货安装所致。</w:t>
      </w:r>
    </w:p>
    <w:p>
      <w:pPr>
        <w:pStyle w:val="BodyText"/>
        <w:spacing w:line="489" w:lineRule="auto" w:before="57"/>
        <w:ind w:right="1123" w:firstLine="271"/>
        <w:jc w:val="left"/>
      </w:pPr>
      <w:r>
        <w:rPr/>
        <w:t>（</w:t>
      </w:r>
      <w:r>
        <w:rPr>
          <w:rFonts w:ascii="宋体" w:hAnsi="宋体" w:cs="宋体" w:eastAsia="宋体" w:hint="default"/>
        </w:rPr>
        <w:t>5</w:t>
      </w:r>
      <w:r>
        <w:rPr/>
        <w:t>）固定资产</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72,142,264.46</w:t>
      </w:r>
      <w:r>
        <w:rPr/>
        <w:t>元，比年初数增加</w:t>
      </w:r>
      <w:r>
        <w:rPr>
          <w:rFonts w:ascii="宋体" w:hAnsi="宋体" w:cs="宋体" w:eastAsia="宋体" w:hint="default"/>
        </w:rPr>
        <w:t>95.99%</w:t>
      </w:r>
      <w:r>
        <w:rPr/>
        <w:t>，主要原因系惠州饲料公司新建厂房完 工转为固定资产所致。</w:t>
      </w:r>
    </w:p>
    <w:p>
      <w:pPr>
        <w:pStyle w:val="BodyText"/>
        <w:spacing w:line="489" w:lineRule="auto" w:before="57"/>
        <w:ind w:right="1123" w:firstLine="271"/>
        <w:jc w:val="left"/>
      </w:pPr>
      <w:r>
        <w:rPr/>
        <w:t>（</w:t>
      </w:r>
      <w:r>
        <w:rPr>
          <w:rFonts w:ascii="宋体" w:hAnsi="宋体" w:cs="宋体" w:eastAsia="宋体" w:hint="default"/>
        </w:rPr>
        <w:t>6</w:t>
      </w:r>
      <w:r>
        <w:rPr/>
        <w:t>）在建工程</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0</w:t>
      </w:r>
      <w:r>
        <w:rPr/>
        <w:t>元，比年初数减少</w:t>
      </w:r>
      <w:r>
        <w:rPr>
          <w:rFonts w:ascii="宋体" w:hAnsi="宋体" w:cs="宋体" w:eastAsia="宋体" w:hint="default"/>
        </w:rPr>
        <w:t>100%</w:t>
      </w:r>
      <w:r>
        <w:rPr/>
        <w:t>，主要原因系惠州饲料公司新建厂房完工转为固定资产 所致。</w:t>
      </w:r>
    </w:p>
    <w:p>
      <w:pPr>
        <w:pStyle w:val="BodyText"/>
        <w:spacing w:line="489" w:lineRule="auto" w:before="57"/>
        <w:ind w:right="0" w:firstLine="271"/>
        <w:jc w:val="left"/>
      </w:pPr>
      <w:r>
        <w:rPr>
          <w:spacing w:val="-2"/>
        </w:rPr>
        <w:t>（</w:t>
      </w:r>
      <w:r>
        <w:rPr>
          <w:rFonts w:ascii="宋体" w:hAnsi="宋体" w:cs="宋体" w:eastAsia="宋体" w:hint="default"/>
          <w:spacing w:val="-2"/>
        </w:rPr>
        <w:t>7</w:t>
      </w:r>
      <w:r>
        <w:rPr>
          <w:spacing w:val="-2"/>
        </w:rPr>
        <w:t>）长期待摊费用</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日年末数为</w:t>
      </w:r>
      <w:r>
        <w:rPr>
          <w:rFonts w:ascii="宋体" w:hAnsi="宋体" w:cs="宋体" w:eastAsia="宋体" w:hint="default"/>
          <w:spacing w:val="-2"/>
        </w:rPr>
        <w:t>2,296,935.83</w:t>
      </w:r>
      <w:r>
        <w:rPr>
          <w:spacing w:val="-2"/>
        </w:rPr>
        <w:t>元，比年初数增加</w:t>
      </w:r>
      <w:r>
        <w:rPr>
          <w:rFonts w:ascii="宋体" w:hAnsi="宋体" w:cs="宋体" w:eastAsia="宋体" w:hint="default"/>
          <w:spacing w:val="-2"/>
        </w:rPr>
        <w:t>48.37%</w:t>
      </w:r>
      <w:r>
        <w:rPr>
          <w:spacing w:val="-2"/>
        </w:rPr>
        <w:t>，主要原因系本年度新增平湖工业区</w:t>
      </w:r>
      <w:r>
        <w:rPr/>
        <w:t> 消防改造工程和宿舍翻新工程所致。</w:t>
      </w:r>
    </w:p>
    <w:p>
      <w:pPr>
        <w:pStyle w:val="BodyText"/>
        <w:spacing w:line="489" w:lineRule="auto" w:before="57"/>
        <w:ind w:right="1123" w:firstLine="271"/>
        <w:jc w:val="left"/>
      </w:pPr>
      <w:r>
        <w:rPr/>
        <w:t>（</w:t>
      </w:r>
      <w:r>
        <w:rPr>
          <w:rFonts w:ascii="宋体" w:hAnsi="宋体" w:cs="宋体" w:eastAsia="宋体" w:hint="default"/>
        </w:rPr>
        <w:t>8</w:t>
      </w:r>
      <w:r>
        <w:rPr/>
        <w:t>）应付票据</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0</w:t>
      </w:r>
      <w:r>
        <w:rPr/>
        <w:t>元，比年初数减少</w:t>
      </w:r>
      <w:r>
        <w:rPr>
          <w:rFonts w:ascii="宋体" w:hAnsi="宋体" w:cs="宋体" w:eastAsia="宋体" w:hint="default"/>
        </w:rPr>
        <w:t>100%</w:t>
      </w:r>
      <w:r>
        <w:rPr/>
        <w:t>，主要原因系上年开出的票据已到期支付，本期末未开 出应付票据所致。</w:t>
      </w:r>
    </w:p>
    <w:p>
      <w:pPr>
        <w:pStyle w:val="BodyText"/>
        <w:spacing w:line="489" w:lineRule="auto" w:before="57"/>
        <w:ind w:right="0" w:firstLine="271"/>
        <w:jc w:val="left"/>
      </w:pPr>
      <w:r>
        <w:rPr>
          <w:spacing w:val="-2"/>
        </w:rPr>
        <w:t>（</w:t>
      </w:r>
      <w:r>
        <w:rPr>
          <w:rFonts w:ascii="宋体" w:hAnsi="宋体" w:cs="宋体" w:eastAsia="宋体" w:hint="default"/>
          <w:spacing w:val="-2"/>
        </w:rPr>
        <w:t>9</w:t>
      </w:r>
      <w:r>
        <w:rPr>
          <w:spacing w:val="-2"/>
        </w:rPr>
        <w:t>）应付职工薪酬</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日年末数为</w:t>
      </w:r>
      <w:r>
        <w:rPr>
          <w:rFonts w:ascii="宋体" w:hAnsi="宋体" w:cs="宋体" w:eastAsia="宋体" w:hint="default"/>
          <w:spacing w:val="-2"/>
        </w:rPr>
        <w:t>3,486,110.82</w:t>
      </w:r>
      <w:r>
        <w:rPr>
          <w:spacing w:val="-2"/>
        </w:rPr>
        <w:t>元，比年初数减少</w:t>
      </w:r>
      <w:r>
        <w:rPr>
          <w:rFonts w:ascii="宋体" w:hAnsi="宋体" w:cs="宋体" w:eastAsia="宋体" w:hint="default"/>
          <w:spacing w:val="-2"/>
        </w:rPr>
        <w:t>37.40%</w:t>
      </w:r>
      <w:r>
        <w:rPr>
          <w:spacing w:val="-2"/>
        </w:rPr>
        <w:t>，主要原因系上年度计提的因解除劳</w:t>
      </w:r>
      <w:r>
        <w:rPr/>
        <w:t> 动关系给予的补偿金额已在本年度发放完毕。</w:t>
      </w:r>
    </w:p>
    <w:p>
      <w:pPr>
        <w:pStyle w:val="BodyText"/>
        <w:spacing w:line="489" w:lineRule="auto" w:before="57"/>
        <w:ind w:right="1123" w:firstLine="271"/>
        <w:jc w:val="left"/>
      </w:pPr>
      <w:r>
        <w:rPr/>
        <w:t>（</w:t>
      </w:r>
      <w:r>
        <w:rPr>
          <w:rFonts w:ascii="宋体" w:hAnsi="宋体" w:cs="宋体" w:eastAsia="宋体" w:hint="default"/>
        </w:rPr>
        <w:t>10</w:t>
      </w:r>
      <w:r>
        <w:rPr/>
        <w:t>）应交税费</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2,564,512.68</w:t>
      </w:r>
      <w:r>
        <w:rPr/>
        <w:t>元，比年初数减少</w:t>
      </w:r>
      <w:r>
        <w:rPr>
          <w:rFonts w:ascii="宋体" w:hAnsi="宋体" w:cs="宋体" w:eastAsia="宋体" w:hint="default"/>
        </w:rPr>
        <w:t>52.47%</w:t>
      </w:r>
      <w:r>
        <w:rPr/>
        <w:t>，主要原因系公司利润总额下降，导致 应缴的企业所得税金额较上年减少所致。</w:t>
      </w:r>
    </w:p>
    <w:p>
      <w:pPr>
        <w:pStyle w:val="BodyText"/>
        <w:spacing w:line="489" w:lineRule="auto" w:before="57"/>
        <w:ind w:right="1123" w:firstLine="271"/>
        <w:jc w:val="left"/>
      </w:pPr>
      <w:r>
        <w:rPr/>
        <w:t>（</w:t>
      </w:r>
      <w:r>
        <w:rPr>
          <w:rFonts w:ascii="宋体" w:hAnsi="宋体" w:cs="宋体" w:eastAsia="宋体" w:hint="default"/>
        </w:rPr>
        <w:t>11</w:t>
      </w:r>
      <w:r>
        <w:rPr/>
        <w:t>）一年内到期的非流动负债</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2,699,196.00</w:t>
      </w:r>
      <w:r>
        <w:rPr/>
        <w:t>元，比年初数增加</w:t>
      </w:r>
      <w:r>
        <w:rPr>
          <w:rFonts w:ascii="宋体" w:hAnsi="宋体" w:cs="宋体" w:eastAsia="宋体" w:hint="default"/>
        </w:rPr>
        <w:t>100%</w:t>
      </w:r>
      <w:r>
        <w:rPr/>
        <w:t>，主要原因系本年度新增 长期借款在一年内到期的金额转入所致。</w:t>
      </w:r>
    </w:p>
    <w:p>
      <w:pPr>
        <w:pStyle w:val="BodyText"/>
        <w:spacing w:line="489" w:lineRule="auto" w:before="57"/>
        <w:ind w:right="1123" w:firstLine="271"/>
        <w:jc w:val="left"/>
      </w:pPr>
      <w:r>
        <w:rPr/>
        <w:t>（</w:t>
      </w:r>
      <w:r>
        <w:rPr>
          <w:rFonts w:ascii="宋体" w:hAnsi="宋体" w:cs="宋体" w:eastAsia="宋体" w:hint="default"/>
        </w:rPr>
        <w:t>12</w:t>
      </w:r>
      <w:r>
        <w:rPr/>
        <w:t>）其他流动负债</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1,556,359.91</w:t>
      </w:r>
      <w:r>
        <w:rPr/>
        <w:t>元，比年初数减少</w:t>
      </w:r>
      <w:r>
        <w:rPr>
          <w:rFonts w:ascii="宋体" w:hAnsi="宋体" w:cs="宋体" w:eastAsia="宋体" w:hint="default"/>
        </w:rPr>
        <w:t>85.34%</w:t>
      </w:r>
      <w:r>
        <w:rPr/>
        <w:t>，主要原因系公司重整时预留的未 申报债权因罹诉讼时效无需支付，本年度转入营业外收入所致。</w:t>
      </w:r>
    </w:p>
    <w:p>
      <w:pPr>
        <w:pStyle w:val="BodyText"/>
        <w:spacing w:line="240" w:lineRule="auto" w:before="57"/>
        <w:ind w:left="424" w:right="0"/>
        <w:jc w:val="left"/>
      </w:pPr>
      <w:r>
        <w:rPr/>
        <w:t>（</w:t>
      </w:r>
      <w:r>
        <w:rPr>
          <w:rFonts w:ascii="宋体" w:hAnsi="宋体" w:cs="宋体" w:eastAsia="宋体" w:hint="default"/>
        </w:rPr>
        <w:t>13</w:t>
      </w:r>
      <w:r>
        <w:rPr/>
        <w:t>）长期借款</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8,578,159.83</w:t>
      </w:r>
      <w:r>
        <w:rPr/>
        <w:t>元，比年初数增加</w:t>
      </w:r>
      <w:r>
        <w:rPr>
          <w:rFonts w:ascii="宋体" w:hAnsi="宋体" w:cs="宋体" w:eastAsia="宋体" w:hint="default"/>
        </w:rPr>
        <w:t>100%</w:t>
      </w:r>
      <w:r>
        <w:rPr/>
        <w:t>，主要原因系本年度新增长期借款所致。</w:t>
      </w:r>
    </w:p>
    <w:p>
      <w:pPr>
        <w:spacing w:line="240" w:lineRule="auto" w:before="9"/>
        <w:rPr>
          <w:rFonts w:ascii="宋体" w:hAnsi="宋体" w:cs="宋体" w:eastAsia="宋体" w:hint="default"/>
          <w:sz w:val="18"/>
          <w:szCs w:val="18"/>
        </w:rPr>
      </w:pPr>
    </w:p>
    <w:p>
      <w:pPr>
        <w:pStyle w:val="BodyText"/>
        <w:spacing w:line="489" w:lineRule="auto"/>
        <w:ind w:right="1123" w:firstLine="271"/>
        <w:jc w:val="left"/>
      </w:pPr>
      <w:r>
        <w:rPr/>
        <w:t>（</w:t>
      </w:r>
      <w:r>
        <w:rPr>
          <w:rFonts w:ascii="宋体" w:hAnsi="宋体" w:cs="宋体" w:eastAsia="宋体" w:hint="default"/>
        </w:rPr>
        <w:t>14</w:t>
      </w:r>
      <w:r>
        <w:rPr/>
        <w:t>）长期应付款</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日年末数为</w:t>
      </w:r>
      <w:r>
        <w:rPr>
          <w:rFonts w:ascii="宋体" w:hAnsi="宋体" w:cs="宋体" w:eastAsia="宋体" w:hint="default"/>
        </w:rPr>
        <w:t>340,951.52</w:t>
      </w:r>
      <w:r>
        <w:rPr/>
        <w:t>元，比年初数减少</w:t>
      </w:r>
      <w:r>
        <w:rPr>
          <w:rFonts w:ascii="宋体" w:hAnsi="宋体" w:cs="宋体" w:eastAsia="宋体" w:hint="default"/>
        </w:rPr>
        <w:t>48.64%</w:t>
      </w:r>
      <w:r>
        <w:rPr/>
        <w:t>，主要原因系本年度物业本体维修金减 少所致。</w:t>
      </w:r>
    </w:p>
    <w:p>
      <w:pPr>
        <w:pStyle w:val="BodyText"/>
        <w:spacing w:line="240" w:lineRule="auto" w:before="57"/>
        <w:ind w:left="424" w:right="0"/>
        <w:jc w:val="left"/>
      </w:pPr>
      <w:r>
        <w:rPr/>
        <w:t>（</w:t>
      </w:r>
      <w:r>
        <w:rPr>
          <w:rFonts w:ascii="宋体" w:hAnsi="宋体" w:cs="宋体" w:eastAsia="宋体" w:hint="default"/>
        </w:rPr>
        <w:t>15</w:t>
      </w:r>
      <w:r>
        <w:rPr/>
        <w:t>）财务费用</w:t>
      </w:r>
      <w:r>
        <w:rPr>
          <w:rFonts w:ascii="宋体" w:hAnsi="宋体" w:cs="宋体" w:eastAsia="宋体" w:hint="default"/>
        </w:rPr>
        <w:t>2012</w:t>
      </w:r>
      <w:r>
        <w:rPr/>
        <w:t>年度发生数为</w:t>
      </w:r>
      <w:r>
        <w:rPr>
          <w:rFonts w:ascii="宋体" w:hAnsi="宋体" w:cs="宋体" w:eastAsia="宋体" w:hint="default"/>
        </w:rPr>
        <w:t>129,492.19</w:t>
      </w:r>
      <w:r>
        <w:rPr/>
        <w:t>元，比上年数减少</w:t>
      </w:r>
      <w:r>
        <w:rPr>
          <w:rFonts w:ascii="宋体" w:hAnsi="宋体" w:cs="宋体" w:eastAsia="宋体" w:hint="default"/>
        </w:rPr>
        <w:t>39.80%</w:t>
      </w:r>
      <w:r>
        <w:rPr/>
        <w:t>，主要原因系本年度汇兑损失比上年减少所致。</w:t>
      </w:r>
    </w:p>
    <w:p>
      <w:pPr>
        <w:spacing w:line="240" w:lineRule="auto" w:before="10"/>
        <w:rPr>
          <w:rFonts w:ascii="宋体" w:hAnsi="宋体" w:cs="宋体" w:eastAsia="宋体" w:hint="default"/>
          <w:sz w:val="18"/>
          <w:szCs w:val="18"/>
        </w:rPr>
      </w:pPr>
    </w:p>
    <w:p>
      <w:pPr>
        <w:pStyle w:val="BodyText"/>
        <w:spacing w:line="240" w:lineRule="auto"/>
        <w:ind w:left="424" w:right="0"/>
        <w:jc w:val="left"/>
      </w:pPr>
      <w:r>
        <w:rPr/>
        <w:t>（</w:t>
      </w:r>
      <w:r>
        <w:rPr>
          <w:rFonts w:ascii="宋体" w:hAnsi="宋体" w:cs="宋体" w:eastAsia="宋体" w:hint="default"/>
        </w:rPr>
        <w:t>16</w:t>
      </w:r>
      <w:r>
        <w:rPr/>
        <w:t>）资产减值损失</w:t>
      </w:r>
      <w:r>
        <w:rPr>
          <w:rFonts w:ascii="宋体" w:hAnsi="宋体" w:cs="宋体" w:eastAsia="宋体" w:hint="default"/>
        </w:rPr>
        <w:t>2012</w:t>
      </w:r>
      <w:r>
        <w:rPr/>
        <w:t>年度发生数为</w:t>
      </w:r>
      <w:r>
        <w:rPr>
          <w:rFonts w:ascii="宋体" w:hAnsi="宋体" w:cs="宋体" w:eastAsia="宋体" w:hint="default"/>
        </w:rPr>
        <w:t>543,848.83</w:t>
      </w:r>
      <w:r>
        <w:rPr/>
        <w:t>元，比上年数增加</w:t>
      </w:r>
      <w:r>
        <w:rPr>
          <w:rFonts w:ascii="宋体" w:hAnsi="宋体" w:cs="宋体" w:eastAsia="宋体" w:hint="default"/>
        </w:rPr>
        <w:t>194.09%</w:t>
      </w:r>
      <w:r>
        <w:rPr/>
        <w:t>，主要原因系本年度计提坏账准备所致。</w:t>
      </w:r>
    </w:p>
    <w:p>
      <w:pPr>
        <w:spacing w:line="240" w:lineRule="auto" w:before="9"/>
        <w:rPr>
          <w:rFonts w:ascii="宋体" w:hAnsi="宋体" w:cs="宋体" w:eastAsia="宋体" w:hint="default"/>
          <w:sz w:val="18"/>
          <w:szCs w:val="18"/>
        </w:rPr>
      </w:pPr>
    </w:p>
    <w:p>
      <w:pPr>
        <w:pStyle w:val="BodyText"/>
        <w:spacing w:line="240" w:lineRule="auto"/>
        <w:ind w:left="424" w:right="0"/>
        <w:jc w:val="left"/>
      </w:pPr>
      <w:r>
        <w:rPr/>
        <w:t>（</w:t>
      </w:r>
      <w:r>
        <w:rPr>
          <w:rFonts w:ascii="宋体" w:hAnsi="宋体" w:cs="宋体" w:eastAsia="宋体" w:hint="default"/>
        </w:rPr>
        <w:t>17</w:t>
      </w:r>
      <w:r>
        <w:rPr/>
        <w:t>）营业外收入</w:t>
      </w:r>
      <w:r>
        <w:rPr>
          <w:rFonts w:ascii="宋体" w:hAnsi="宋体" w:cs="宋体" w:eastAsia="宋体" w:hint="default"/>
        </w:rPr>
        <w:t>2012</w:t>
      </w:r>
      <w:r>
        <w:rPr/>
        <w:t>年度发生数为</w:t>
      </w:r>
      <w:r>
        <w:rPr>
          <w:rFonts w:ascii="宋体" w:hAnsi="宋体" w:cs="宋体" w:eastAsia="宋体" w:hint="default"/>
        </w:rPr>
        <w:t>9,022,162.74</w:t>
      </w:r>
      <w:r>
        <w:rPr/>
        <w:t>元，比上年数减少</w:t>
      </w:r>
      <w:r>
        <w:rPr>
          <w:rFonts w:ascii="宋体" w:hAnsi="宋体" w:cs="宋体" w:eastAsia="宋体" w:hint="default"/>
        </w:rPr>
        <w:t>44.46%</w:t>
      </w:r>
      <w:r>
        <w:rPr/>
        <w:t>，主要原因系上年收到补充分配款所致。</w:t>
      </w:r>
    </w:p>
    <w:p>
      <w:pPr>
        <w:spacing w:line="240" w:lineRule="auto" w:before="9"/>
        <w:rPr>
          <w:rFonts w:ascii="宋体" w:hAnsi="宋体" w:cs="宋体" w:eastAsia="宋体" w:hint="default"/>
          <w:sz w:val="18"/>
          <w:szCs w:val="18"/>
        </w:rPr>
      </w:pPr>
    </w:p>
    <w:p>
      <w:pPr>
        <w:pStyle w:val="BodyText"/>
        <w:spacing w:line="489" w:lineRule="auto"/>
        <w:ind w:right="1123" w:firstLine="271"/>
        <w:jc w:val="left"/>
      </w:pPr>
      <w:r>
        <w:rPr/>
        <w:t>（</w:t>
      </w:r>
      <w:r>
        <w:rPr>
          <w:rFonts w:ascii="宋体" w:hAnsi="宋体" w:cs="宋体" w:eastAsia="宋体" w:hint="default"/>
        </w:rPr>
        <w:t>18</w:t>
      </w:r>
      <w:r>
        <w:rPr/>
        <w:t>）营业外支出</w:t>
      </w:r>
      <w:r>
        <w:rPr>
          <w:rFonts w:ascii="宋体" w:hAnsi="宋体" w:cs="宋体" w:eastAsia="宋体" w:hint="default"/>
        </w:rPr>
        <w:t>2012</w:t>
      </w:r>
      <w:r>
        <w:rPr/>
        <w:t>年度发生数为</w:t>
      </w:r>
      <w:r>
        <w:rPr>
          <w:rFonts w:ascii="宋体" w:hAnsi="宋体" w:cs="宋体" w:eastAsia="宋体" w:hint="default"/>
        </w:rPr>
        <w:t>4,553,151.11</w:t>
      </w:r>
      <w:r>
        <w:rPr/>
        <w:t>元，比上年数增加</w:t>
      </w:r>
      <w:r>
        <w:rPr>
          <w:rFonts w:ascii="宋体" w:hAnsi="宋体" w:cs="宋体" w:eastAsia="宋体" w:hint="default"/>
        </w:rPr>
        <w:t>1040.17%</w:t>
      </w:r>
      <w:r>
        <w:rPr/>
        <w:t>，主要原因系本年度支付了物业专项维修 基金、租赁管理费罚款、提前解除租赁合约支付给承租方的赔偿金损失等所致。</w:t>
      </w:r>
    </w:p>
    <w:p>
      <w:pPr>
        <w:pStyle w:val="BodyText"/>
        <w:spacing w:line="240" w:lineRule="auto" w:before="57"/>
        <w:ind w:left="424" w:right="0"/>
        <w:jc w:val="left"/>
      </w:pPr>
      <w:r>
        <w:rPr/>
        <w:t>（</w:t>
      </w:r>
      <w:r>
        <w:rPr>
          <w:rFonts w:ascii="宋体" w:hAnsi="宋体" w:cs="宋体" w:eastAsia="宋体" w:hint="default"/>
        </w:rPr>
        <w:t>19</w:t>
      </w:r>
      <w:r>
        <w:rPr/>
        <w:t>）所得税费用</w:t>
      </w:r>
      <w:r>
        <w:rPr>
          <w:rFonts w:ascii="宋体" w:hAnsi="宋体" w:cs="宋体" w:eastAsia="宋体" w:hint="default"/>
        </w:rPr>
        <w:t>2012</w:t>
      </w:r>
      <w:r>
        <w:rPr/>
        <w:t>年度发生数为</w:t>
      </w:r>
      <w:r>
        <w:rPr>
          <w:rFonts w:ascii="宋体" w:hAnsi="宋体" w:cs="宋体" w:eastAsia="宋体" w:hint="default"/>
        </w:rPr>
        <w:t>1,159,439.02</w:t>
      </w:r>
      <w:r>
        <w:rPr/>
        <w:t>元，比上年数减少</w:t>
      </w:r>
      <w:r>
        <w:rPr>
          <w:rFonts w:ascii="宋体" w:hAnsi="宋体" w:cs="宋体" w:eastAsia="宋体" w:hint="default"/>
        </w:rPr>
        <w:t>66.53%</w:t>
      </w:r>
      <w:r>
        <w:rPr/>
        <w:t>，主要原因系本年度公司利润总额下降，导</w:t>
      </w:r>
    </w:p>
    <w:p>
      <w:pPr>
        <w:spacing w:line="240" w:lineRule="auto" w:before="9"/>
        <w:rPr>
          <w:rFonts w:ascii="宋体" w:hAnsi="宋体" w:cs="宋体" w:eastAsia="宋体" w:hint="default"/>
          <w:sz w:val="18"/>
          <w:szCs w:val="18"/>
        </w:rPr>
      </w:pPr>
    </w:p>
    <w:p>
      <w:pPr>
        <w:pStyle w:val="BodyText"/>
        <w:spacing w:line="240" w:lineRule="auto"/>
        <w:ind w:right="0"/>
        <w:jc w:val="left"/>
      </w:pPr>
      <w:r>
        <w:rPr/>
        <w:t>致当期所得税费用减少所致。</w:t>
      </w:r>
    </w:p>
    <w:p>
      <w:pPr>
        <w:spacing w:after="0" w:line="240" w:lineRule="auto"/>
        <w:jc w:val="left"/>
        <w:sectPr>
          <w:footerReference w:type="default" r:id="rId40"/>
          <w:pgSz w:w="11910" w:h="16840"/>
          <w:pgMar w:footer="1313" w:header="745" w:top="1060" w:bottom="1500" w:left="980" w:right="0"/>
          <w:pgNumType w:start="14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446" w:right="0"/>
        <w:jc w:val="left"/>
        <w:rPr>
          <w:b w:val="0"/>
          <w:bCs w:val="0"/>
        </w:rPr>
      </w:pPr>
      <w:r>
        <w:rPr/>
        <w:t>十一节</w:t>
      </w:r>
      <w:r>
        <w:rPr>
          <w:spacing w:val="72"/>
        </w:rPr>
        <w:t> </w:t>
      </w:r>
      <w:r>
        <w:rPr/>
        <w:t>备查文件目录</w:t>
      </w:r>
      <w:r>
        <w:rPr>
          <w:b w:val="0"/>
          <w:bCs w:val="0"/>
        </w:rPr>
      </w:r>
    </w:p>
    <w:p>
      <w:pPr>
        <w:spacing w:line="240" w:lineRule="auto" w:before="9"/>
        <w:rPr>
          <w:rFonts w:ascii="微软雅黑" w:hAnsi="微软雅黑" w:cs="微软雅黑" w:eastAsia="微软雅黑" w:hint="default"/>
          <w:b/>
          <w:bCs/>
          <w:sz w:val="34"/>
          <w:szCs w:val="34"/>
        </w:rPr>
      </w:pPr>
    </w:p>
    <w:p>
      <w:pPr>
        <w:pStyle w:val="BodyText"/>
        <w:spacing w:line="518" w:lineRule="auto"/>
        <w:ind w:left="873" w:right="3013"/>
        <w:jc w:val="left"/>
      </w:pPr>
      <w:r>
        <w:rPr/>
        <w:t>一、载有法定代表人、主管会计工作负责人、会计机构负责人签名并盖章的财务报表。 二、载有会计师事务所盖章、注册会计师签名并盖章的审计报告原件。 三、报告期内在中国证监会指定报纸上公开披露过的所有公司文件的正本及公告的原稿。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5784" w:val="left" w:leader="none"/>
          <w:tab w:pos="6415" w:val="left" w:leader="none"/>
        </w:tabs>
        <w:spacing w:line="516" w:lineRule="auto" w:before="138"/>
        <w:ind w:left="5244" w:right="2620"/>
        <w:jc w:val="center"/>
      </w:pPr>
      <w:r>
        <w:rPr/>
        <w:t>深圳市深信泰丰（集团）股份有限公司 董</w:t>
        <w:tab/>
        <w:t>事</w:t>
        <w:tab/>
        <w:t>会 二</w:t>
      </w:r>
      <w:r>
        <w:rPr>
          <w:rFonts w:ascii="宋体" w:hAnsi="宋体" w:cs="宋体" w:eastAsia="宋体" w:hint="default"/>
        </w:rPr>
        <w:t>〇</w:t>
      </w:r>
      <w:r>
        <w:rPr/>
        <w:t>一三年三月十八日</w:t>
      </w:r>
    </w:p>
    <w:sectPr>
      <w:pgSz w:w="11910" w:h="16840"/>
      <w:pgMar w:header="745" w:footer="1313" w:top="1060" w:bottom="150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984" type="#_x0000_t75" stroked="false">
          <v:imagedata r:id="rId1" o:title=""/>
        </v:shape>
      </w:pict>
    </w:r>
    <w:r>
      <w:rPr/>
      <w:pict>
        <v:shape style="position:absolute;margin-left:294.369995pt;margin-top:795.637939pt;width:6.5pt;height:11pt;mso-position-horizontal-relative:page;mso-position-vertical-relative:page;z-index:-781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781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600" type="#_x0000_t75" stroked="false">
          <v:imagedata r:id="rId1" o:title=""/>
        </v:shape>
      </w:pict>
    </w:r>
    <w:r>
      <w:rPr/>
      <w:pict>
        <v:shape style="position:absolute;margin-left:291.089996pt;margin-top:781.933899pt;width:13.15pt;height:11pt;mso-position-horizontal-relative:page;mso-position-vertical-relative:page;z-index:-781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53</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781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58</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528" type="#_x0000_t75" stroked="false">
          <v:imagedata r:id="rId1" o:title=""/>
        </v:shape>
      </w:pict>
    </w:r>
    <w:r>
      <w:rPr/>
      <w:pict>
        <v:shape style="position:absolute;margin-left:291.089996pt;margin-top:781.933899pt;width:13.15pt;height:11pt;mso-position-horizontal-relative:page;mso-position-vertical-relative:page;z-index:-781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63</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480" type="#_x0000_t75" stroked="false">
          <v:imagedata r:id="rId1" o:title=""/>
        </v:shape>
      </w:pict>
    </w:r>
    <w:r>
      <w:rPr/>
      <w:pict>
        <v:shape style="position:absolute;margin-left:291.089996pt;margin-top:781.933899pt;width:13.15pt;height:11pt;mso-position-horizontal-relative:page;mso-position-vertical-relative:page;z-index:-781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69</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781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408" type="#_x0000_t75" stroked="false">
          <v:imagedata r:id="rId1" o:title=""/>
        </v:shape>
      </w:pict>
    </w:r>
    <w:r>
      <w:rPr/>
      <w:pict>
        <v:shape style="position:absolute;margin-left:291.089996pt;margin-top:781.933899pt;width:13.15pt;height:11pt;mso-position-horizontal-relative:page;mso-position-vertical-relative:page;z-index:-781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1.933899pt;width:15.7pt;height:11pt;mso-position-horizontal-relative:page;mso-position-vertical-relative:page;z-index:-7813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1.933899pt;width:15.7pt;height:11pt;mso-position-horizontal-relative:page;mso-position-vertical-relative:page;z-index:-7813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312" type="#_x0000_t75" stroked="false">
          <v:imagedata r:id="rId1" o:title=""/>
        </v:shape>
      </w:pict>
    </w:r>
    <w:r>
      <w:rPr/>
      <w:pict>
        <v:shape style="position:absolute;margin-left:288.809998pt;margin-top:781.933899pt;width:17.7pt;height:11pt;mso-position-horizontal-relative:page;mso-position-vertical-relative:page;z-index:-781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936" type="#_x0000_t75" stroked="false">
          <v:imagedata r:id="rId1" o:title=""/>
        </v:shape>
      </w:pict>
    </w:r>
    <w:r>
      <w:rPr/>
      <w:pict>
        <v:shape style="position:absolute;margin-left:293.369995pt;margin-top:781.933899pt;width:8.5pt;height:11pt;mso-position-horizontal-relative:page;mso-position-vertical-relative:page;z-index:-781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781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240" type="#_x0000_t75" stroked="false">
          <v:imagedata r:id="rId1" o:title=""/>
        </v:shape>
      </w:pict>
    </w:r>
    <w:r>
      <w:rPr/>
      <w:pict>
        <v:shape style="position:absolute;margin-left:289.049988pt;margin-top:781.933899pt;width:17.3pt;height:11pt;mso-position-horizontal-relative:page;mso-position-vertical-relative:page;z-index:-781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781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168" type="#_x0000_t75" stroked="false">
          <v:imagedata r:id="rId1" o:title=""/>
        </v:shape>
      </w:pict>
    </w:r>
    <w:r>
      <w:rPr/>
      <w:pict>
        <v:shape style="position:absolute;margin-left:289.049988pt;margin-top:781.933899pt;width:17.3pt;height:11pt;mso-position-horizontal-relative:page;mso-position-vertical-relative:page;z-index:-781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120" type="#_x0000_t75" stroked="false">
          <v:imagedata r:id="rId1" o:title=""/>
        </v:shape>
      </w:pict>
    </w:r>
    <w:r>
      <w:rPr/>
      <w:pict>
        <v:shape style="position:absolute;margin-left:288.809998pt;margin-top:781.933899pt;width:17.7pt;height:11pt;mso-position-horizontal-relative:page;mso-position-vertical-relative:page;z-index:-781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781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141</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048" type="#_x0000_t75" stroked="false">
          <v:imagedata r:id="rId1" o:title=""/>
        </v:shape>
      </w:pict>
    </w:r>
    <w:r>
      <w:rPr/>
      <w:pict>
        <v:shape style="position:absolute;margin-left:288.809998pt;margin-top:781.933899pt;width:17.7pt;height:11pt;mso-position-horizontal-relative:page;mso-position-vertical-relative:page;z-index:-781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143</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781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864" type="#_x0000_t75" stroked="false">
          <v:imagedata r:id="rId1" o:title=""/>
        </v:shape>
      </w:pict>
    </w:r>
    <w:r>
      <w:rPr/>
      <w:pict>
        <v:shape style="position:absolute;margin-left:291.089996pt;margin-top:781.933899pt;width:13.15pt;height:11pt;mso-position-horizontal-relative:page;mso-position-vertical-relative:page;z-index:-781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781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792" type="#_x0000_t75" stroked="false">
          <v:imagedata r:id="rId1" o:title=""/>
        </v:shape>
      </w:pict>
    </w:r>
    <w:r>
      <w:rPr/>
      <w:pict>
        <v:shape style="position:absolute;margin-left:291.089996pt;margin-top:781.933899pt;width:13.15pt;height:11pt;mso-position-horizontal-relative:page;mso-position-vertical-relative:page;z-index:-781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781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720" type="#_x0000_t75" stroked="false">
          <v:imagedata r:id="rId1" o:title=""/>
        </v:shape>
      </w:pict>
    </w:r>
    <w:r>
      <w:rPr/>
      <w:pict>
        <v:shape style="position:absolute;margin-left:291.089996pt;margin-top:781.933899pt;width:13.15pt;height:11pt;mso-position-horizontal-relative:page;mso-position-vertical-relative:page;z-index:-781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81672" type="#_x0000_t75" stroked="false">
          <v:imagedata r:id="rId1" o:title=""/>
        </v:shape>
      </w:pict>
    </w:r>
    <w:r>
      <w:rPr/>
      <w:pict>
        <v:shape style="position:absolute;margin-left:291.089996pt;margin-top:781.933899pt;width:13.15pt;height:11pt;mso-position-horizontal-relative:page;mso-position-vertical-relative:page;z-index:-781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87.779999pt;margin-top:36.265610pt;width:219.75pt;height:11.5pt;mso-position-horizontal-relative:page;mso-position-vertical-relative:page;z-index:-782008" type="#_x0000_t202" filled="false" stroked="false">
          <v:textbox inset="0,0,0,0">
            <w:txbxContent>
              <w:p>
                <w:pPr>
                  <w:pStyle w:val="BodyText"/>
                  <w:spacing w:line="214" w:lineRule="exact"/>
                  <w:ind w:left="20" w:right="0"/>
                  <w:jc w:val="left"/>
                  <w:rPr>
                    <w:rFonts w:ascii="宋体" w:hAnsi="宋体" w:cs="宋体" w:eastAsia="宋体" w:hint="default"/>
                  </w:rPr>
                </w:pPr>
                <w:r>
                  <w:rPr>
                    <w:rFonts w:ascii="宋体" w:hAnsi="宋体" w:cs="宋体" w:eastAsia="宋体" w:hint="default"/>
                  </w:rPr>
                  <w:t>深圳市深信泰丰</w:t>
                </w:r>
                <w:r>
                  <w:rPr>
                    <w:rFonts w:ascii="Times New Roman" w:hAnsi="Times New Roman" w:cs="Times New Roman" w:eastAsia="Times New Roman" w:hint="default"/>
                  </w:rPr>
                  <w:t>(</w:t>
                </w:r>
                <w:r>
                  <w:rPr>
                    <w:rFonts w:ascii="宋体" w:hAnsi="宋体" w:cs="宋体" w:eastAsia="宋体" w:hint="default"/>
                  </w:rPr>
                  <w:t>集团</w:t>
                </w:r>
                <w:r>
                  <w:rPr>
                    <w:rFonts w:ascii="Times New Roman" w:hAnsi="Times New Roman" w:cs="Times New Roman" w:eastAsia="Times New Roman" w:hint="default"/>
                  </w:rPr>
                  <w:t>)</w:t>
                </w:r>
                <w:r>
                  <w:rPr>
                    <w:rFonts w:ascii="宋体" w:hAnsi="宋体" w:cs="宋体" w:eastAsia="宋体" w:hint="default"/>
                  </w:rPr>
                  <w:t>股份有限公司</w:t>
                </w:r>
                <w:r>
                  <w:rPr>
                    <w:rFonts w:ascii="宋体" w:hAnsi="宋体" w:cs="宋体" w:eastAsia="宋体" w:hint="default"/>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rFonts w:ascii="宋体" w:hAnsi="宋体" w:cs="宋体" w:eastAsia="宋体" w:hint="default"/>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86"/>
      <w:ind w:left="152"/>
    </w:pPr>
    <w:rPr>
      <w:rFonts w:ascii="微软雅黑" w:hAnsi="微软雅黑" w:eastAsia="微软雅黑"/>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微软雅黑" w:hAnsi="微软雅黑" w:eastAsia="微软雅黑"/>
      <w:b/>
      <w:bCs/>
      <w:sz w:val="32"/>
      <w:szCs w:val="32"/>
    </w:rPr>
  </w:style>
  <w:style w:styleId="Heading2" w:type="paragraph">
    <w:name w:val="Heading 2"/>
    <w:basedOn w:val="Normal"/>
    <w:uiPriority w:val="1"/>
    <w:qFormat/>
    <w:pPr>
      <w:ind w:left="152"/>
      <w:outlineLvl w:val="2"/>
    </w:pPr>
    <w:rPr>
      <w:rFonts w:ascii="微软雅黑" w:hAnsi="微软雅黑" w:eastAsia="微软雅黑"/>
      <w:b/>
      <w:bCs/>
      <w:sz w:val="24"/>
      <w:szCs w:val="24"/>
    </w:rPr>
  </w:style>
  <w:style w:styleId="Heading3" w:type="paragraph">
    <w:name w:val="Heading 3"/>
    <w:basedOn w:val="Normal"/>
    <w:uiPriority w:val="1"/>
    <w:qFormat/>
    <w:pPr>
      <w:ind w:left="152"/>
      <w:outlineLvl w:val="3"/>
    </w:pPr>
    <w:rPr>
      <w:rFonts w:ascii="微软雅黑" w:hAnsi="微软雅黑" w:eastAsia="微软雅黑"/>
      <w:b/>
      <w:bCs/>
      <w:sz w:val="21"/>
      <w:szCs w:val="21"/>
    </w:rPr>
  </w:style>
  <w:style w:styleId="Heading4" w:type="paragraph">
    <w:name w:val="Heading 4"/>
    <w:basedOn w:val="Normal"/>
    <w:uiPriority w:val="1"/>
    <w:qFormat/>
    <w:pPr>
      <w:spacing w:before="22"/>
      <w:ind w:left="152"/>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yperlink" Target="mailto:shenxintaifeng@126.com" TargetMode="External"/><Relationship Id="rId10" Type="http://schemas.openxmlformats.org/officeDocument/2006/relationships/hyperlink" Target="mailto:xlzh1123@126.com" TargetMode="External"/><Relationship Id="rId11" Type="http://schemas.openxmlformats.org/officeDocument/2006/relationships/hyperlink" Target="mailto:ratius@163.com" TargetMode="Externa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footer" Target="footer4.xml"/><Relationship Id="rId15" Type="http://schemas.openxmlformats.org/officeDocument/2006/relationships/hyperlink" Target="http://ww/" TargetMode="Externa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footer" Target="footer6.xml"/><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2020-05-03T22:48:17Z</dcterms:created>
  <dcterms:modified xsi:type="dcterms:W3CDTF">2020-05-03T22:48:17Z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2013-03-19T00:00:00Z</vt:filetime>
  </property>
  <property fmtid="{D5CDD505-2E9C-101B-9397-08002B2CF9AE}" pid="3" name="Creator">
    <vt:lpwstr>Microsoft® Office Word 2007</vt:lpwstr>
  </property>
  <property fmtid="{D5CDD505-2E9C-101B-9397-08002B2CF9AE}" pid="4" name="LastSaved">
    <vt:filetime>2020-05-03T00:00:00Z</vt:filetime>
  </property>
</Properties>
</file>