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873" w:right="874" w:firstLine="0"/>
        <w:jc w:val="center"/>
        <w:rPr>
          <w:rFonts w:ascii="宋体" w:hAnsi="宋体" w:cs="宋体" w:eastAsia="宋体" w:hint="default"/>
          <w:sz w:val="36"/>
          <w:szCs w:val="36"/>
        </w:rPr>
      </w:pPr>
      <w:r>
        <w:rPr/>
        <w:pict>
          <v:group style="position:absolute;margin-left:55.223999pt;margin-top:-84.566536pt;width:485pt;height:.1pt;mso-position-horizontal-relative:page;mso-position-vertical-relative:paragraph;z-index:0" coordorigin="1104,-1691" coordsize="9700,2">
            <v:shape style="position:absolute;left:1104;top:-1691;width:9700;height:2" coordorigin="1104,-1691" coordsize="9700,0" path="m1104,-1691l10804,-1691e" filled="false" stroked="true" strokeweight=".72pt" strokecolor="#000000">
              <v:path arrowok="t"/>
            </v:shape>
            <w10:wrap type="none"/>
          </v:group>
        </w:pict>
      </w:r>
      <w:r>
        <w:rPr>
          <w:rFonts w:ascii="宋体" w:hAnsi="宋体" w:cs="宋体" w:eastAsia="宋体" w:hint="default"/>
          <w:b/>
          <w:bCs/>
          <w:sz w:val="36"/>
          <w:szCs w:val="36"/>
        </w:rPr>
        <w:t>深圳市深信泰丰</w:t>
      </w:r>
      <w:r>
        <w:rPr>
          <w:rFonts w:ascii="Times New Roman" w:hAnsi="Times New Roman" w:cs="Times New Roman" w:eastAsia="Times New Roman" w:hint="default"/>
          <w:b/>
          <w:bCs/>
          <w:sz w:val="36"/>
          <w:szCs w:val="36"/>
        </w:rPr>
        <w:t>(</w:t>
      </w:r>
      <w:r>
        <w:rPr>
          <w:rFonts w:ascii="宋体" w:hAnsi="宋体" w:cs="宋体" w:eastAsia="宋体" w:hint="default"/>
          <w:b/>
          <w:bCs/>
          <w:sz w:val="36"/>
          <w:szCs w:val="36"/>
        </w:rPr>
        <w:t>集团</w:t>
      </w:r>
      <w:r>
        <w:rPr>
          <w:rFonts w:ascii="Times New Roman" w:hAnsi="Times New Roman" w:cs="Times New Roman" w:eastAsia="Times New Roman" w:hint="default"/>
          <w:b/>
          <w:bCs/>
          <w:sz w:val="36"/>
          <w:szCs w:val="36"/>
        </w:rPr>
        <w:t>)</w:t>
      </w:r>
      <w:r>
        <w:rPr>
          <w:rFonts w:ascii="宋体" w:hAnsi="宋体" w:cs="宋体" w:eastAsia="宋体" w:hint="default"/>
          <w:b/>
          <w:bCs/>
          <w:sz w:val="36"/>
          <w:szCs w:val="36"/>
        </w:rPr>
        <w:t>股份有限公司</w:t>
      </w:r>
      <w:r>
        <w:rPr>
          <w:rFonts w:ascii="宋体" w:hAnsi="宋体" w:cs="宋体" w:eastAsia="宋体" w:hint="default"/>
          <w:sz w:val="36"/>
          <w:szCs w:val="36"/>
        </w:rPr>
      </w:r>
    </w:p>
    <w:p>
      <w:pPr>
        <w:spacing w:line="240" w:lineRule="auto" w:before="12"/>
        <w:rPr>
          <w:rFonts w:ascii="宋体" w:hAnsi="宋体" w:cs="宋体" w:eastAsia="宋体" w:hint="default"/>
          <w:b/>
          <w:bCs/>
          <w:sz w:val="28"/>
          <w:szCs w:val="28"/>
        </w:rPr>
      </w:pPr>
    </w:p>
    <w:p>
      <w:pPr>
        <w:spacing w:before="0"/>
        <w:ind w:left="873" w:right="8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9"/>
        <w:rPr>
          <w:rFonts w:ascii="宋体" w:hAnsi="宋体" w:cs="宋体" w:eastAsia="宋体" w:hint="default"/>
          <w:b/>
          <w:bCs/>
          <w:sz w:val="48"/>
          <w:szCs w:val="48"/>
        </w:rPr>
      </w:pPr>
    </w:p>
    <w:p>
      <w:pPr>
        <w:spacing w:before="0"/>
        <w:ind w:left="873" w:right="86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98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3" w:right="0"/>
        <w:jc w:val="left"/>
        <w:rPr>
          <w:b w:val="0"/>
          <w:bCs w:val="0"/>
        </w:rPr>
      </w:pPr>
      <w:bookmarkStart w:name="_bookmark0" w:id="1"/>
      <w:bookmarkEnd w:id="1"/>
      <w:r>
        <w:rPr>
          <w:b w:val="0"/>
          <w:bCs w:val="0"/>
        </w:rPr>
      </w:r>
      <w:r>
        <w:rPr/>
        <w:t>第一节</w:t>
      </w:r>
      <w:r>
        <w:rPr>
          <w:spacing w:val="1"/>
        </w:rPr>
        <w:t> </w:t>
      </w:r>
      <w:r>
        <w:rPr/>
        <w:t>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6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真实、准确、完整，不存在虚假记载、误导性陈述或重大遗漏，并承担个别和</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3" w:right="148"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公司负责人晏群、主管会计工作负责人梁侠及会计机构负责人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pacing w:val="2"/>
          <w:sz w:val="28"/>
          <w:szCs w:val="28"/>
        </w:rPr>
        <w:t>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林小浓声明：保证年度报告中财务报告的真实、准确、完整。</w:t>
      </w:r>
      <w:r>
        <w:rPr>
          <w:rFonts w:ascii="宋体" w:hAnsi="宋体" w:cs="宋体" w:eastAsia="宋体" w:hint="default"/>
          <w:spacing w:val="2"/>
          <w:sz w:val="28"/>
          <w:szCs w:val="28"/>
        </w:rPr>
      </w:r>
    </w:p>
    <w:p>
      <w:pPr>
        <w:spacing w:line="472"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公司不存在生产经营状况、财务状况有严重不利影响的有关风险因素。</w:t>
      </w:r>
      <w:r>
        <w:rPr>
          <w:rFonts w:ascii="宋体" w:hAnsi="宋体" w:cs="宋体" w:eastAsia="宋体" w:hint="default"/>
          <w:b/>
          <w:bCs/>
          <w:spacing w:val="89"/>
          <w:w w:val="95"/>
          <w:sz w:val="28"/>
          <w:szCs w:val="28"/>
        </w:rPr>
        <w:t> </w:t>
      </w:r>
      <w:r>
        <w:rPr>
          <w:rFonts w:ascii="宋体" w:hAnsi="宋体" w:cs="宋体" w:eastAsia="宋体" w:hint="default"/>
          <w:b/>
          <w:bCs/>
          <w:spacing w:val="89"/>
          <w:w w:val="95"/>
          <w:sz w:val="28"/>
          <w:szCs w:val="28"/>
        </w:rPr>
      </w:r>
      <w:r>
        <w:rPr>
          <w:rFonts w:ascii="宋体" w:hAnsi="宋体" w:cs="宋体" w:eastAsia="宋体" w:hint="default"/>
          <w:b/>
          <w:bCs/>
          <w:spacing w:val="2"/>
          <w:sz w:val="28"/>
          <w:szCs w:val="28"/>
        </w:rPr>
        <w:t>公司计划不派发现金红利，不送红股，不以公积金转增股本。</w:t>
      </w:r>
      <w:r>
        <w:rPr>
          <w:rFonts w:ascii="宋体" w:hAnsi="宋体" w:cs="宋体" w:eastAsia="宋体" w:hint="default"/>
          <w:spacing w:val="2"/>
          <w:sz w:val="28"/>
          <w:szCs w:val="28"/>
        </w:rPr>
      </w:r>
    </w:p>
    <w:p>
      <w:pPr>
        <w:spacing w:after="0" w:line="472" w:lineRule="auto"/>
        <w:jc w:val="left"/>
        <w:rPr>
          <w:rFonts w:ascii="宋体" w:hAnsi="宋体" w:cs="宋体" w:eastAsia="宋体" w:hint="default"/>
          <w:sz w:val="28"/>
          <w:szCs w:val="28"/>
        </w:rPr>
        <w:sectPr>
          <w:footerReference w:type="default" r:id="rId7"/>
          <w:pgSz w:w="11910" w:h="16840"/>
          <w:pgMar w:footer="979" w:header="741" w:top="1060" w:bottom="1160" w:left="980" w:right="98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60" w:lineRule="exact" w:before="0"/>
        <w:ind w:left="873" w:right="869"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49"/>
          <w:szCs w:val="49"/>
        </w:rPr>
      </w:pPr>
    </w:p>
    <w:sdt>
      <w:sdtPr>
        <w:docPartObj>
          <w:docPartGallery w:val="Table of Contents"/>
          <w:docPartUnique/>
        </w:docPartObj>
      </w:sdtPr>
      <w:sdtEndPr/>
      <w:sdtContent>
        <w:p>
          <w:pPr>
            <w:pStyle w:val="TOC1"/>
            <w:tabs>
              <w:tab w:pos="9788"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rPr>
              <w:tab/>
              <w:t>2</w:t>
            </w:r>
          </w:hyperlink>
        </w:p>
        <w:p>
          <w:pPr>
            <w:pStyle w:val="TOC1"/>
            <w:tabs>
              <w:tab w:pos="9788" w:val="right" w:leader="dot"/>
            </w:tabs>
            <w:spacing w:line="240" w:lineRule="auto" w:before="225"/>
            <w:ind w:right="0"/>
            <w:jc w:val="left"/>
            <w:rPr>
              <w:rFonts w:ascii="Times New Roman" w:hAnsi="Times New Roman" w:cs="Times New Roman" w:eastAsia="Times New Roman" w:hint="default"/>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rPr>
              <w:tab/>
              <w:t>5</w:t>
            </w:r>
          </w:hyperlink>
        </w:p>
        <w:p>
          <w:pPr>
            <w:pStyle w:val="TOC1"/>
            <w:tabs>
              <w:tab w:pos="9788"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2"/>
              </w:rPr>
              <w:t> </w:t>
            </w:r>
            <w:r>
              <w:rPr/>
              <w:t>公司业务概要</w:t>
            </w:r>
            <w:r>
              <w:rPr>
                <w:rFonts w:ascii="Times New Roman" w:hAnsi="Times New Roman" w:cs="Times New Roman" w:eastAsia="Times New Roman" w:hint="default"/>
              </w:rPr>
              <w:tab/>
              <w:t>9</w:t>
            </w:r>
          </w:hyperlink>
        </w:p>
        <w:p>
          <w:pPr>
            <w:pStyle w:val="TOC1"/>
            <w:tabs>
              <w:tab w:pos="9776"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2"/>
              </w:rPr>
              <w:t> </w:t>
            </w:r>
            <w:r>
              <w:rPr/>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rPr>
            </w:r>
          </w:hyperlink>
        </w:p>
        <w:p>
          <w:pPr>
            <w:pStyle w:val="TOC1"/>
            <w:tabs>
              <w:tab w:pos="9790" w:val="right" w:leader="dot"/>
            </w:tabs>
            <w:spacing w:line="240" w:lineRule="auto" w:before="224"/>
            <w:ind w:right="0"/>
            <w:jc w:val="left"/>
            <w:rPr>
              <w:rFonts w:ascii="Times New Roman" w:hAnsi="Times New Roman" w:cs="Times New Roman" w:eastAsia="Times New Roman" w:hint="default"/>
            </w:rPr>
          </w:pPr>
          <w:hyperlink w:history="true" w:anchor="_bookmark4">
            <w:r>
              <w:rPr/>
              <w:t>第五节</w:t>
            </w:r>
            <w:r>
              <w:rPr>
                <w:spacing w:val="-2"/>
              </w:rPr>
              <w:t> </w:t>
            </w:r>
            <w:r>
              <w:rPr/>
              <w:t>重要事项</w:t>
            </w:r>
            <w:r>
              <w:rPr>
                <w:rFonts w:ascii="Times New Roman" w:hAnsi="Times New Roman" w:cs="Times New Roman" w:eastAsia="Times New Roman" w:hint="default"/>
              </w:rPr>
              <w:tab/>
              <w:t>23</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32</w:t>
            </w:r>
          </w:hyperlink>
        </w:p>
        <w:p>
          <w:pPr>
            <w:pStyle w:val="TOC1"/>
            <w:tabs>
              <w:tab w:pos="9790" w:val="right" w:leader="dot"/>
            </w:tabs>
            <w:spacing w:line="240" w:lineRule="auto" w:before="220"/>
            <w:ind w:right="0"/>
            <w:jc w:val="left"/>
            <w:rPr>
              <w:rFonts w:ascii="Times New Roman" w:hAnsi="Times New Roman" w:cs="Times New Roman" w:eastAsia="Times New Roman" w:hint="default"/>
            </w:rPr>
          </w:pPr>
          <w:hyperlink w:history="true" w:anchor="_bookmark6">
            <w:r>
              <w:rPr/>
              <w:t>第七节</w:t>
            </w:r>
            <w:r>
              <w:rPr>
                <w:spacing w:val="-2"/>
              </w:rPr>
              <w:t> </w:t>
            </w:r>
            <w:r>
              <w:rPr/>
              <w:t>优先股相关情况</w:t>
            </w:r>
            <w:r>
              <w:rPr>
                <w:rFonts w:ascii="Times New Roman" w:hAnsi="Times New Roman" w:cs="Times New Roman" w:eastAsia="Times New Roman" w:hint="default"/>
              </w:rPr>
              <w:tab/>
              <w:t>38</w:t>
            </w:r>
          </w:hyperlink>
        </w:p>
        <w:p>
          <w:pPr>
            <w:pStyle w:val="TOC1"/>
            <w:tabs>
              <w:tab w:pos="9790" w:val="right" w:leader="dot"/>
            </w:tabs>
            <w:spacing w:line="240" w:lineRule="auto" w:before="224"/>
            <w:ind w:right="0"/>
            <w:jc w:val="left"/>
            <w:rPr>
              <w:rFonts w:ascii="Times New Roman" w:hAnsi="Times New Roman" w:cs="Times New Roman" w:eastAsia="Times New Roman" w:hint="default"/>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rPr>
              <w:tab/>
              <w:t>39</w:t>
            </w:r>
          </w:hyperlink>
        </w:p>
        <w:p>
          <w:pPr>
            <w:pStyle w:val="TOC1"/>
            <w:tabs>
              <w:tab w:pos="9790" w:val="right" w:leader="dot"/>
            </w:tabs>
            <w:spacing w:line="240" w:lineRule="auto" w:before="220"/>
            <w:ind w:right="0"/>
            <w:jc w:val="left"/>
            <w:rPr>
              <w:rFonts w:ascii="Times New Roman" w:hAnsi="Times New Roman" w:cs="Times New Roman" w:eastAsia="Times New Roman" w:hint="default"/>
            </w:rPr>
          </w:pPr>
          <w:hyperlink w:history="true" w:anchor="_bookmark8">
            <w:r>
              <w:rPr/>
              <w:t>第九节</w:t>
            </w:r>
            <w:r>
              <w:rPr>
                <w:spacing w:val="-2"/>
              </w:rPr>
              <w:t> </w:t>
            </w:r>
            <w:r>
              <w:rPr/>
              <w:t>公司治理</w:t>
            </w:r>
            <w:r>
              <w:rPr>
                <w:rFonts w:ascii="Times New Roman" w:hAnsi="Times New Roman" w:cs="Times New Roman" w:eastAsia="Times New Roman" w:hint="default"/>
              </w:rPr>
              <w:tab/>
              <w:t>45</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2"/>
              </w:rPr>
              <w:t> </w:t>
            </w:r>
            <w:r>
              <w:rPr/>
              <w:t>财务报告</w:t>
            </w:r>
            <w:r>
              <w:rPr>
                <w:rFonts w:ascii="Times New Roman" w:hAnsi="Times New Roman" w:cs="Times New Roman" w:eastAsia="Times New Roman" w:hint="default"/>
              </w:rPr>
              <w:tab/>
              <w:t>51</w:t>
            </w:r>
          </w:hyperlink>
        </w:p>
        <w:p>
          <w:pPr>
            <w:pStyle w:val="TOC1"/>
            <w:tabs>
              <w:tab w:pos="9787" w:val="right" w:leader="dot"/>
            </w:tabs>
            <w:spacing w:line="240" w:lineRule="auto" w:before="224"/>
            <w:ind w:right="0"/>
            <w:jc w:val="left"/>
            <w:rPr>
              <w:rFonts w:ascii="Times New Roman" w:hAnsi="Times New Roman" w:cs="Times New Roman" w:eastAsia="Times New Roman" w:hint="default"/>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154</w:t>
            </w:r>
          </w:hyperlink>
        </w:p>
        <w:p>
          <w:pPr/>
          <w:r>
            <w:fldChar w:fldCharType="end"/>
          </w:r>
        </w:p>
      </w:sdtContent>
    </w:sdt>
    <w:p>
      <w:pPr>
        <w:spacing w:after="0"/>
        <w:sectPr>
          <w:pgSz w:w="11910" w:h="16840"/>
          <w:pgMar w:header="741" w:footer="979" w:top="1060" w:bottom="1160" w:left="980" w:right="980"/>
        </w:sectPr>
      </w:pPr>
    </w:p>
    <w:p>
      <w:pPr>
        <w:spacing w:before="954"/>
        <w:ind w:left="873" w:right="86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398"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集团公司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深圳市深信泰丰（集团）股份有限公司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泰丰科技公司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深圳市泰丰科技有限公司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汇德祥公司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深圳市汇德祥贸易有限公司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深圳饲料公司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深圳市华宝（集团）饲料有限公司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惠州饲料公司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惠州市华宝饲料有限公司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泰丰投资公司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深圳市深信泰丰投资发展有限公司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华宝物业公司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深圳市华宝西部物业管理有限公司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西部公司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深圳市深信西部房地产有限公司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华宝经发公司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深圳市龙岗区华宝经济发展有限公司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中委公司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深圳市中委农业投资有限公司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希格玛公司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神州数码有限公司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神码中国</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神州数码（中国）有限公司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神码广州</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广州神州数码信息科技有限公司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神码上海</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
              <w:jc w:val="left"/>
              <w:rPr>
                <w:rFonts w:ascii="宋体" w:hAnsi="宋体" w:cs="宋体" w:eastAsia="宋体" w:hint="default"/>
                <w:sz w:val="18"/>
                <w:szCs w:val="18"/>
              </w:rPr>
            </w:pPr>
            <w:r>
              <w:rPr>
                <w:rFonts w:ascii="宋体" w:hAnsi="宋体" w:cs="宋体" w:eastAsia="宋体" w:hint="default"/>
                <w:spacing w:val="-4"/>
                <w:sz w:val="18"/>
                <w:szCs w:val="18"/>
              </w:rPr>
              <w:t>神州数码（中国）有限公司、上海神州数码有限公司、广州神州数码</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信息科技有限公司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宝建投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深圳市宝安建设投资有限公司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重庆润江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深国投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华润深国投信托有限公司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中国证券监督管理委员会深圳监管局</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b/>
          <w:bCs/>
          <w:sz w:val="20"/>
          <w:szCs w:val="20"/>
        </w:rPr>
      </w:pPr>
      <w:r>
        <w:rPr/>
        <w:pict>
          <v:shape style="position:absolute;margin-left:165.154572pt;margin-top:272.715973pt;width:370.05pt;height:19.75pt;mso-position-horizontal-relative:page;mso-position-vertical-relative:page;z-index:-739432" type="#_x0000_t202" filled="false" stroked="false">
            <v:textbox inset="0,0,0,0">
              <w:txbxContent>
                <w:p>
                  <w:pPr>
                    <w:spacing w:before="54"/>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2645" w:right="0"/>
        <w:jc w:val="left"/>
        <w:rPr>
          <w:b w:val="0"/>
          <w:bCs w:val="0"/>
        </w:rPr>
      </w:pPr>
      <w:bookmarkStart w:name="_bookmark1" w:id="2"/>
      <w:bookmarkEnd w:id="2"/>
      <w:r>
        <w:rPr>
          <w:b w:val="0"/>
          <w:bCs w:val="0"/>
        </w:rPr>
      </w:r>
      <w:r>
        <w:rPr/>
        <w:t>第二节</w:t>
      </w:r>
      <w:r>
        <w:rPr>
          <w:spacing w:val="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53"/>
        <w:gridCol w:w="2156"/>
        <w:gridCol w:w="2180"/>
      </w:tblGrid>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深信泰丰</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000034</w:t>
            </w:r>
          </w:p>
        </w:tc>
      </w:tr>
      <w:tr>
        <w:trPr>
          <w:trHeight w:val="399"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深信泰丰</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Shenzhen Shenxin </w:t>
            </w:r>
            <w:r>
              <w:rPr>
                <w:rFonts w:ascii="Times New Roman"/>
                <w:spacing w:val="-4"/>
                <w:sz w:val="18"/>
              </w:rPr>
              <w:t>Taifeng </w:t>
            </w:r>
            <w:r>
              <w:rPr>
                <w:rFonts w:ascii="Times New Roman"/>
                <w:sz w:val="18"/>
              </w:rPr>
              <w:t>Group Co.,</w:t>
            </w:r>
            <w:r>
              <w:rPr>
                <w:rFonts w:ascii="Times New Roman"/>
                <w:spacing w:val="6"/>
                <w:sz w:val="18"/>
              </w:rPr>
              <w:t> </w:t>
            </w:r>
            <w:r>
              <w:rPr>
                <w:rFonts w:ascii="Times New Roman"/>
                <w:sz w:val="18"/>
              </w:rPr>
              <w:t>Ltd</w:t>
            </w:r>
          </w:p>
        </w:tc>
      </w:tr>
      <w:tr>
        <w:trPr>
          <w:trHeight w:val="404" w:hRule="exact"/>
        </w:trPr>
        <w:tc>
          <w:tcPr>
            <w:tcW w:w="228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p>
        </w:tc>
        <w:tc>
          <w:tcPr>
            <w:tcW w:w="7289" w:type="dxa"/>
            <w:gridSpan w:val="3"/>
            <w:tcBorders>
              <w:top w:val="single" w:sz="4" w:space="0" w:color="000000"/>
              <w:left w:val="single" w:sz="13" w:space="0" w:color="FFFFFF"/>
              <w:bottom w:val="single" w:sz="4" w:space="0" w:color="000000"/>
              <w:right w:val="single" w:sz="14" w:space="0" w:color="FFFFFF"/>
            </w:tcBorders>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Shenxin</w:t>
            </w:r>
            <w:r>
              <w:rPr>
                <w:rFonts w:ascii="Times New Roman"/>
                <w:spacing w:val="12"/>
                <w:sz w:val="18"/>
              </w:rPr>
              <w:t> </w:t>
            </w:r>
            <w:r>
              <w:rPr>
                <w:rFonts w:ascii="Times New Roman"/>
                <w:spacing w:val="-4"/>
                <w:sz w:val="18"/>
              </w:rPr>
              <w:t>Taifeng</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晏群</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区隆昌路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号飞扬科技园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楼</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518101</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区隆昌路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号飞扬科技园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楼</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518101</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8">
              <w:r>
                <w:rPr>
                  <w:rFonts w:ascii="Times New Roman"/>
                  <w:spacing w:val="-3"/>
                  <w:sz w:val="18"/>
                </w:rPr>
                <w:t>www.sz000034.com</w:t>
              </w:r>
            </w:hyperlink>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z w:val="18"/>
                </w:rPr>
                <w:t>shenxintaifeng@126.com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r>
        <w:rPr/>
        <w:t>二、联系人和联系方式</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孙德志</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许智</w:t>
            </w:r>
          </w:p>
        </w:tc>
      </w:tr>
      <w:tr>
        <w:trPr>
          <w:trHeight w:val="16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区隆昌路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号飞扬科技园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4" w:type="dxa"/>
            <w:vMerge w:val="restart"/>
            <w:tcBorders>
              <w:top w:val="single" w:sz="4" w:space="0" w:color="000000"/>
              <w:left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区隆昌路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号飞扬科技园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89"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vMerge/>
            <w:tcBorders>
              <w:left w:val="single" w:sz="4" w:space="0" w:color="000000"/>
              <w:right w:val="single" w:sz="4" w:space="0" w:color="000000"/>
            </w:tcBorders>
          </w:tcPr>
          <w:p>
            <w:pPr/>
          </w:p>
        </w:tc>
        <w:tc>
          <w:tcPr>
            <w:tcW w:w="3194" w:type="dxa"/>
            <w:vMerge/>
            <w:tcBorders>
              <w:left w:val="single" w:sz="4" w:space="0" w:color="000000"/>
              <w:right w:val="single" w:sz="4" w:space="0" w:color="000000"/>
            </w:tcBorders>
          </w:tcPr>
          <w:p>
            <w:pPr/>
          </w:p>
        </w:tc>
      </w:tr>
      <w:tr>
        <w:trPr>
          <w:trHeight w:val="16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4" w:space="0" w:color="000000"/>
              <w:bottom w:val="single" w:sz="4" w:space="0" w:color="000000"/>
              <w:right w:val="single" w:sz="4" w:space="0" w:color="000000"/>
            </w:tcBorders>
          </w:tcPr>
          <w:p>
            <w:pPr/>
          </w:p>
        </w:tc>
        <w:tc>
          <w:tcPr>
            <w:tcW w:w="3194" w:type="dxa"/>
            <w:vMerge/>
            <w:tcBorders>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0755-27596457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0755--27596453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0755--27596456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0755--27596456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coolsunsun@126.com</w:t>
              </w:r>
            </w:hyperlink>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xuzhicd@163.com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95"/>
        <w:gridCol w:w="5575"/>
      </w:tblGrid>
      <w:tr>
        <w:trPr>
          <w:trHeight w:val="398"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4"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2">
              <w:r>
                <w:rPr>
                  <w:rFonts w:ascii="Times New Roman"/>
                  <w:spacing w:val="-3"/>
                  <w:sz w:val="18"/>
                </w:rPr>
                <w:t>http://www.cninfo.com.cn/</w:t>
              </w:r>
            </w:hyperlink>
          </w:p>
        </w:tc>
      </w:tr>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0"/>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spacing w:before="46"/>
        <w:ind w:left="0" w:right="170" w:firstLine="0"/>
        <w:jc w:val="right"/>
        <w:rPr>
          <w:rFonts w:ascii="宋体" w:hAnsi="宋体" w:cs="宋体" w:eastAsia="宋体" w:hint="default"/>
          <w:sz w:val="18"/>
          <w:szCs w:val="18"/>
        </w:rPr>
      </w:pPr>
      <w:r>
        <w:rPr/>
        <w:pict>
          <v:shape style="position:absolute;margin-left:56.424pt;margin-top:-52.018307pt;width:479.25pt;height:201.2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6377"/>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19218259-X</w:t>
                        </w:r>
                      </w:p>
                    </w:tc>
                  </w:tr>
                  <w:tr>
                    <w:trPr>
                      <w:trHeight w:val="258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公司工商登记注册关于经营范围的变更情况为：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1982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月，经营范围为：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食用动物，肉类加工，饲料。畜用药，畜禽医疗器械。</w:t>
                        </w:r>
                        <w:r>
                          <w:rPr>
                            <w:rFonts w:ascii="Times New Roman" w:hAnsi="Times New Roman" w:cs="Times New Roman" w:eastAsia="Times New Roman" w:hint="default"/>
                            <w:spacing w:val="-3"/>
                            <w:sz w:val="18"/>
                            <w:szCs w:val="18"/>
                          </w:rPr>
                          <w:t>1990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日，经营范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围变更为：食用动物，肉类加工，饲料，果树种植。畜用药，畜禽医疗器械。</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日，经营范围变更为：经营国内商业、物资供销业</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不含专营、专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卖、专控商品</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；进出口业务按深贸管审证字</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056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号文办理；食用动物、肉类加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工，饲料，果树种植。畜用药，畜禽医疗器械。</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1997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日，经营范围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w w:val="101"/>
                            <w:sz w:val="18"/>
                            <w:szCs w:val="18"/>
                          </w:rPr>
                          <w:t>变更为：国内商业、物资供销业（不含专营、专控、专卖商品）。进出口业务（按</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5"/>
                            <w:w w:val="101"/>
                            <w:sz w:val="18"/>
                            <w:szCs w:val="18"/>
                          </w:rPr>
                          <w:t>深贸管审证字０５６号文办理）；食用动物、肉类加工、果树种植；畜用药。</w:t>
                        </w:r>
                        <w:r>
                          <w:rPr>
                            <w:rFonts w:ascii="宋体" w:hAnsi="宋体" w:cs="宋体" w:eastAsia="宋体" w:hint="default"/>
                            <w:spacing w:val="-5"/>
                            <w:sz w:val="18"/>
                            <w:szCs w:val="18"/>
                          </w:rPr>
                        </w:r>
                      </w:p>
                    </w:tc>
                  </w:tr>
                  <w:tr>
                    <w:trPr>
                      <w:trHeight w:val="102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4"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1999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pacing w:val="-3"/>
                            <w:sz w:val="18"/>
                            <w:szCs w:val="18"/>
                          </w:rPr>
                          <w:t>月，公司控股股东由深圳市宝安区投资管理公司变更为深圳国际信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托投资公司；</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pacing w:val="-3"/>
                            <w:sz w:val="18"/>
                            <w:szCs w:val="18"/>
                          </w:rPr>
                          <w:t>月，公司控股股东由深圳国际信托投资有限责任公司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变更为中国希格玛有限公司。</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2"/>
        <w:spacing w:line="240" w:lineRule="auto" w:before="26"/>
        <w:ind w:right="0"/>
        <w:jc w:val="left"/>
        <w:rPr>
          <w:b w:val="0"/>
          <w:bCs w:val="0"/>
        </w:rPr>
      </w:pPr>
      <w:r>
        <w:rPr/>
        <w:t>五、其他有关资料</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号院</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楼中海地产广场西塔</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层</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李巧仪、李花</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line="338" w:lineRule="auto" w:before="120"/>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公司聘请的报告期内履行持续督导职责的财务顾问</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t>六、主要会计数据和财务指标</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公司是否因会计政策变更及会计差错更正等追溯调整或重述以前年度会计数据</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9"/>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458,063,353.60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509,055,702.64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533,058,587.93</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21,363,244.02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61,471,205.74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16,766,914.58</w:t>
            </w:r>
          </w:p>
        </w:tc>
      </w:tr>
      <w:tr>
        <w:trPr>
          <w:trHeight w:val="71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-13,511,132.65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-3,195,362.67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907,383.01</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-13,502,356.55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-28,153,147.99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7,254,417.80</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0.05</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9"/>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17.16%</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448,008,298.67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461,668,045.26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-2.96%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378,211,289.87</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pacing w:val="-4"/>
                <w:sz w:val="18"/>
                <w:szCs w:val="18"/>
              </w:rPr>
              <w:t>（元）</w:t>
            </w:r>
            <w:r>
              <w:rPr>
                <w:rFonts w:ascii="宋体" w:hAnsi="宋体" w:cs="宋体" w:eastAsia="宋体" w:hint="default"/>
                <w:sz w:val="18"/>
                <w:szCs w:val="18"/>
              </w:rPr>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186,999,858.89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165,636,614.87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106,086,862.77</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15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15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八、分季度主要财务指标</w:t>
      </w:r>
      <w:r>
        <w:rPr>
          <w:b w:val="0"/>
          <w:bCs w:val="0"/>
        </w:rPr>
      </w:r>
    </w:p>
    <w:p>
      <w:pPr>
        <w:spacing w:line="240" w:lineRule="auto" w:before="0"/>
        <w:rPr>
          <w:rFonts w:ascii="宋体" w:hAnsi="宋体" w:cs="宋体" w:eastAsia="宋体" w:hint="default"/>
          <w:b/>
          <w:bCs/>
          <w:sz w:val="24"/>
          <w:szCs w:val="24"/>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8"/>
        <w:gridCol w:w="1734"/>
      </w:tblGrid>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97,381,446.19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112,289,889.91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122,122,557.55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126,269,459.95</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22,988,002.68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-215,432.09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3,742,843.09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-5,152,169.66</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-9,979,758.76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-5,861,297.76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269,623.53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2,060,300.34</w:t>
            </w:r>
          </w:p>
        </w:tc>
      </w:tr>
      <w:tr>
        <w:trPr>
          <w:trHeight w:val="399"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-16,266,105.75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-9,087,336.91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-202,406.64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12,053,492.75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4"/>
          <w:szCs w:val="24"/>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29"/>
        <w:gridCol w:w="1522"/>
        <w:gridCol w:w="1522"/>
        <w:gridCol w:w="1710"/>
      </w:tblGrid>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 w:right="6"/>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-544,246.25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50,359,266.18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-704,204.47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6"/>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650,000.00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10"/>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15,001,000.24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14,444,717.52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8"/>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单独进行减值测试的应收款项减值准备转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回</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18,583,171.30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61,531.87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-51,237.96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-2,673,642.61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32,077,120.00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解除劳动关系给予员工补偿</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-1,329,725.16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11,741,029.19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-3,547.83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-4,207.35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34,874,376.67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64,666,568.41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15,859,531.57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6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4" w:lineRule="auto" w:before="96"/>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869"/>
        <w:jc w:val="center"/>
        <w:rPr>
          <w:b w:val="0"/>
          <w:bCs w:val="0"/>
        </w:rPr>
      </w:pPr>
      <w:bookmarkStart w:name="_bookmark2" w:id="3"/>
      <w:bookmarkEnd w:id="3"/>
      <w:r>
        <w:rPr>
          <w:b w:val="0"/>
          <w:bCs w:val="0"/>
        </w:rPr>
      </w:r>
      <w:r>
        <w:rPr/>
        <w:t>第三节 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34"/>
          <w:szCs w:val="34"/>
        </w:rPr>
      </w:pPr>
    </w:p>
    <w:p>
      <w:pPr>
        <w:pStyle w:val="BodyText"/>
        <w:spacing w:line="381" w:lineRule="auto" w:before="0"/>
        <w:ind w:right="0" w:firstLine="422"/>
        <w:jc w:val="left"/>
      </w:pPr>
      <w:r>
        <w:rPr>
          <w:spacing w:val="-2"/>
        </w:rPr>
        <w:t>报告期内，公司从事的主要业务仍然为电话机和饲料产品的生产与销售。其中，电话机业务实现收入</w:t>
      </w:r>
      <w:r>
        <w:rPr>
          <w:w w:val="100"/>
        </w:rPr>
        <w:t> </w:t>
      </w:r>
      <w:r>
        <w:rPr>
          <w:rFonts w:ascii="宋体" w:hAnsi="宋体" w:cs="宋体" w:eastAsia="宋体" w:hint="default"/>
        </w:rPr>
        <w:t>16,356.06</w:t>
      </w:r>
      <w:r>
        <w:rPr/>
        <w:t>万元，饲料业务实现收入</w:t>
      </w:r>
      <w:r>
        <w:rPr>
          <w:rFonts w:ascii="宋体" w:hAnsi="宋体" w:cs="宋体" w:eastAsia="宋体" w:hint="default"/>
        </w:rPr>
        <w:t>28,296.36</w:t>
      </w:r>
      <w:r>
        <w:rPr/>
        <w:t>万元，两项业务占全年总收入的</w:t>
      </w:r>
      <w:r>
        <w:rPr>
          <w:rFonts w:ascii="宋体" w:hAnsi="宋体" w:cs="宋体" w:eastAsia="宋体" w:hint="default"/>
        </w:rPr>
        <w:t>97.448%</w:t>
      </w:r>
      <w:r>
        <w:rPr/>
        <w:t>。</w:t>
      </w: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4"/>
        <w:gridCol w:w="6517"/>
      </w:tblGrid>
      <w:tr>
        <w:trPr>
          <w:trHeight w:val="76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32"/>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3"/>
                <w:sz w:val="18"/>
                <w:szCs w:val="18"/>
              </w:rPr>
              <w:t> </w:t>
            </w:r>
            <w:r>
              <w:rPr>
                <w:rFonts w:ascii="宋体" w:hAnsi="宋体" w:cs="宋体" w:eastAsia="宋体" w:hint="default"/>
                <w:sz w:val="18"/>
                <w:szCs w:val="18"/>
              </w:rPr>
              <w:t>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114,346,440.09</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上年同期为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29,203,413.68</w:t>
            </w: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291.55% </w:t>
            </w:r>
            <w:r>
              <w:rPr>
                <w:rFonts w:ascii="宋体" w:hAnsi="宋体" w:cs="宋体" w:eastAsia="宋体" w:hint="default"/>
                <w:sz w:val="18"/>
                <w:szCs w:val="18"/>
              </w:rPr>
              <w:t>主要</w:t>
            </w:r>
            <w:r>
              <w:rPr>
                <w:rFonts w:ascii="宋体" w:hAnsi="宋体" w:cs="宋体" w:eastAsia="宋体" w:hint="default"/>
                <w:w w:val="101"/>
                <w:sz w:val="18"/>
                <w:szCs w:val="18"/>
              </w:rPr>
              <w:t> </w:t>
            </w:r>
            <w:r>
              <w:rPr>
                <w:rFonts w:ascii="宋体" w:hAnsi="宋体" w:cs="宋体" w:eastAsia="宋体" w:hint="default"/>
                <w:spacing w:val="-3"/>
                <w:sz w:val="18"/>
                <w:szCs w:val="18"/>
              </w:rPr>
              <w:t>原因系本期收回到期的委托理财产品</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5"/>
              <w:jc w:val="left"/>
              <w:rPr>
                <w:rFonts w:ascii="宋体" w:hAnsi="宋体" w:cs="宋体" w:eastAsia="宋体" w:hint="default"/>
                <w:sz w:val="18"/>
                <w:szCs w:val="18"/>
              </w:rPr>
            </w:pPr>
            <w:r>
              <w:rPr>
                <w:rFonts w:ascii="宋体" w:hAnsi="宋体" w:cs="宋体" w:eastAsia="宋体" w:hint="default"/>
                <w:sz w:val="18"/>
                <w:szCs w:val="18"/>
              </w:rPr>
              <w:t>本报告期 为 </w:t>
            </w:r>
            <w:r>
              <w:rPr>
                <w:rFonts w:ascii="Times New Roman" w:hAnsi="Times New Roman" w:cs="Times New Roman" w:eastAsia="Times New Roman" w:hint="default"/>
                <w:sz w:val="18"/>
                <w:szCs w:val="18"/>
              </w:rPr>
              <w:t>0 </w:t>
            </w:r>
            <w:r>
              <w:rPr>
                <w:rFonts w:ascii="宋体" w:hAnsi="宋体" w:cs="宋体" w:eastAsia="宋体" w:hint="default"/>
                <w:spacing w:val="-3"/>
                <w:sz w:val="18"/>
                <w:szCs w:val="18"/>
              </w:rPr>
              <w:t>，上年同期为 </w:t>
            </w:r>
            <w:r>
              <w:rPr>
                <w:rFonts w:ascii="Times New Roman" w:hAnsi="Times New Roman" w:cs="Times New Roman" w:eastAsia="Times New Roman" w:hint="default"/>
                <w:sz w:val="18"/>
                <w:szCs w:val="18"/>
              </w:rPr>
              <w:t>4,512,119.18</w:t>
            </w:r>
            <w:r>
              <w:rPr>
                <w:rFonts w:ascii="宋体" w:hAnsi="宋体" w:cs="宋体" w:eastAsia="宋体" w:hint="default"/>
                <w:sz w:val="18"/>
                <w:szCs w:val="18"/>
              </w:rPr>
              <w:t>， 同比减少 </w:t>
            </w:r>
            <w:r>
              <w:rPr>
                <w:rFonts w:ascii="Times New Roman" w:hAnsi="Times New Roman" w:cs="Times New Roman" w:eastAsia="Times New Roman" w:hint="default"/>
                <w:spacing w:val="-3"/>
                <w:sz w:val="18"/>
                <w:szCs w:val="18"/>
              </w:rPr>
              <w:t>100%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主要原因系上期的</w:t>
            </w:r>
            <w:r>
              <w:rPr>
                <w:rFonts w:ascii="宋体" w:hAnsi="宋体" w:cs="宋体" w:eastAsia="宋体" w:hint="default"/>
                <w:w w:val="101"/>
                <w:sz w:val="18"/>
                <w:szCs w:val="18"/>
              </w:rPr>
              <w:t> </w:t>
            </w:r>
            <w:r>
              <w:rPr>
                <w:rFonts w:ascii="宋体" w:hAnsi="宋体" w:cs="宋体" w:eastAsia="宋体" w:hint="default"/>
                <w:spacing w:val="-3"/>
                <w:sz w:val="18"/>
                <w:szCs w:val="18"/>
              </w:rPr>
              <w:t>银行承兑汇票在本期到期，收回现金所致</w:t>
            </w:r>
          </w:p>
        </w:tc>
      </w:tr>
      <w:tr>
        <w:trPr>
          <w:trHeight w:val="71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56"/>
              <w:jc w:val="left"/>
              <w:rPr>
                <w:rFonts w:ascii="宋体" w:hAnsi="宋体" w:cs="宋体" w:eastAsia="宋体" w:hint="default"/>
                <w:sz w:val="18"/>
                <w:szCs w:val="18"/>
              </w:rPr>
            </w:pPr>
            <w:r>
              <w:rPr>
                <w:rFonts w:ascii="宋体" w:hAnsi="宋体" w:cs="宋体" w:eastAsia="宋体" w:hint="default"/>
                <w:sz w:val="18"/>
                <w:szCs w:val="18"/>
              </w:rPr>
              <w:t>本报告期 为 </w:t>
            </w:r>
            <w:r>
              <w:rPr>
                <w:rFonts w:ascii="Times New Roman" w:hAnsi="Times New Roman" w:cs="Times New Roman" w:eastAsia="Times New Roman" w:hint="default"/>
                <w:sz w:val="18"/>
                <w:szCs w:val="18"/>
              </w:rPr>
              <w:t>2,448,331.51 </w:t>
            </w:r>
            <w:r>
              <w:rPr>
                <w:rFonts w:ascii="宋体" w:hAnsi="宋体" w:cs="宋体" w:eastAsia="宋体" w:hint="default"/>
                <w:sz w:val="18"/>
                <w:szCs w:val="18"/>
              </w:rPr>
              <w:t>上年同期为 </w:t>
            </w:r>
            <w:r>
              <w:rPr>
                <w:rFonts w:ascii="Times New Roman" w:hAnsi="Times New Roman" w:cs="Times New Roman" w:eastAsia="Times New Roman" w:hint="default"/>
                <w:sz w:val="18"/>
                <w:szCs w:val="18"/>
              </w:rPr>
              <w:t>7,005,331.59 </w:t>
            </w:r>
            <w:r>
              <w:rPr>
                <w:rFonts w:ascii="宋体" w:hAnsi="宋体" w:cs="宋体" w:eastAsia="宋体" w:hint="default"/>
                <w:sz w:val="18"/>
                <w:szCs w:val="18"/>
              </w:rPr>
              <w:t>同比减少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主要是电话机</w:t>
            </w:r>
            <w:r>
              <w:rPr>
                <w:rFonts w:ascii="宋体" w:hAnsi="宋体" w:cs="宋体" w:eastAsia="宋体" w:hint="default"/>
                <w:w w:val="101"/>
                <w:sz w:val="18"/>
                <w:szCs w:val="18"/>
              </w:rPr>
              <w:t> </w:t>
            </w:r>
            <w:r>
              <w:rPr>
                <w:rFonts w:ascii="宋体" w:hAnsi="宋体" w:cs="宋体" w:eastAsia="宋体" w:hint="default"/>
                <w:sz w:val="18"/>
                <w:szCs w:val="18"/>
              </w:rPr>
              <w:t>销量下降</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预付的原材料采购款减少</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32"/>
              <w:jc w:val="left"/>
              <w:rPr>
                <w:rFonts w:ascii="宋体" w:hAnsi="宋体" w:cs="宋体" w:eastAsia="宋体" w:hint="default"/>
                <w:sz w:val="18"/>
                <w:szCs w:val="18"/>
              </w:rPr>
            </w:pPr>
            <w:r>
              <w:rPr>
                <w:rFonts w:ascii="宋体" w:hAnsi="宋体" w:cs="宋体" w:eastAsia="宋体" w:hint="default"/>
                <w:sz w:val="18"/>
                <w:szCs w:val="18"/>
              </w:rPr>
              <w:t>本报告期为 </w:t>
            </w:r>
            <w:r>
              <w:rPr>
                <w:rFonts w:ascii="Times New Roman" w:hAnsi="Times New Roman" w:cs="Times New Roman" w:eastAsia="Times New Roman" w:hint="default"/>
                <w:sz w:val="18"/>
                <w:szCs w:val="18"/>
              </w:rPr>
              <w:t>2,947,467.00 </w:t>
            </w:r>
            <w:r>
              <w:rPr>
                <w:rFonts w:ascii="宋体" w:hAnsi="宋体" w:cs="宋体" w:eastAsia="宋体" w:hint="default"/>
                <w:sz w:val="18"/>
                <w:szCs w:val="18"/>
              </w:rPr>
              <w:t>，上年同期为 </w:t>
            </w:r>
            <w:r>
              <w:rPr>
                <w:rFonts w:ascii="Times New Roman" w:hAnsi="Times New Roman" w:cs="Times New Roman" w:eastAsia="Times New Roman" w:hint="default"/>
                <w:sz w:val="18"/>
                <w:szCs w:val="18"/>
              </w:rPr>
              <w:t>2,112,971.76</w:t>
            </w:r>
            <w:r>
              <w:rPr>
                <w:rFonts w:ascii="宋体" w:hAnsi="宋体" w:cs="宋体" w:eastAsia="宋体" w:hint="default"/>
                <w:sz w:val="18"/>
                <w:szCs w:val="18"/>
              </w:rPr>
              <w:t>， </w:t>
            </w:r>
            <w:r>
              <w:rPr>
                <w:rFonts w:ascii="宋体" w:hAnsi="宋体" w:cs="宋体" w:eastAsia="宋体" w:hint="default"/>
                <w:spacing w:val="-3"/>
                <w:sz w:val="18"/>
                <w:szCs w:val="18"/>
              </w:rPr>
              <w:t>同比增加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39.49%</w:t>
            </w:r>
            <w:r>
              <w:rPr>
                <w:rFonts w:ascii="宋体" w:hAnsi="宋体" w:cs="宋体" w:eastAsia="宋体" w:hint="default"/>
                <w:sz w:val="18"/>
                <w:szCs w:val="18"/>
              </w:rPr>
              <w:t>，主要是</w:t>
            </w:r>
            <w:r>
              <w:rPr>
                <w:rFonts w:ascii="宋体" w:hAnsi="宋体" w:cs="宋体" w:eastAsia="宋体" w:hint="default"/>
                <w:w w:val="101"/>
                <w:sz w:val="18"/>
                <w:szCs w:val="18"/>
              </w:rPr>
              <w:t> </w:t>
            </w:r>
            <w:r>
              <w:rPr>
                <w:rFonts w:ascii="宋体" w:hAnsi="宋体" w:cs="宋体" w:eastAsia="宋体" w:hint="default"/>
                <w:sz w:val="18"/>
                <w:szCs w:val="18"/>
              </w:rPr>
              <w:t>押金和备用金增加</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38"/>
              <w:jc w:val="left"/>
              <w:rPr>
                <w:rFonts w:ascii="宋体" w:hAnsi="宋体" w:cs="宋体" w:eastAsia="宋体" w:hint="default"/>
                <w:sz w:val="18"/>
                <w:szCs w:val="18"/>
              </w:rPr>
            </w:pPr>
            <w:r>
              <w:rPr>
                <w:rFonts w:ascii="宋体" w:hAnsi="宋体" w:cs="宋体" w:eastAsia="宋体" w:hint="default"/>
                <w:sz w:val="18"/>
                <w:szCs w:val="18"/>
              </w:rPr>
              <w:t>本报告期为 </w:t>
            </w:r>
            <w:r>
              <w:rPr>
                <w:rFonts w:ascii="Times New Roman" w:hAnsi="Times New Roman" w:cs="Times New Roman" w:eastAsia="Times New Roman" w:hint="default"/>
                <w:sz w:val="18"/>
                <w:szCs w:val="18"/>
              </w:rPr>
              <w:t>20,000,000.00</w:t>
            </w:r>
            <w:r>
              <w:rPr>
                <w:rFonts w:ascii="宋体" w:hAnsi="宋体" w:cs="宋体" w:eastAsia="宋体" w:hint="default"/>
                <w:sz w:val="18"/>
                <w:szCs w:val="18"/>
              </w:rPr>
              <w:t>， 上年同期为 </w:t>
            </w:r>
            <w:r>
              <w:rPr>
                <w:rFonts w:ascii="Times New Roman" w:hAnsi="Times New Roman" w:cs="Times New Roman" w:eastAsia="Times New Roman" w:hint="default"/>
                <w:sz w:val="18"/>
                <w:szCs w:val="18"/>
              </w:rPr>
              <w:t>113,010,000.00 </w:t>
            </w:r>
            <w:r>
              <w:rPr>
                <w:rFonts w:ascii="宋体" w:hAnsi="宋体" w:cs="宋体" w:eastAsia="宋体" w:hint="default"/>
                <w:sz w:val="18"/>
                <w:szCs w:val="18"/>
              </w:rPr>
              <w:t>，同比减少 </w:t>
            </w:r>
            <w:r>
              <w:rPr>
                <w:rFonts w:ascii="Times New Roman" w:hAnsi="Times New Roman" w:cs="Times New Roman" w:eastAsia="Times New Roman" w:hint="default"/>
                <w:spacing w:val="-3"/>
                <w:sz w:val="18"/>
                <w:szCs w:val="18"/>
              </w:rPr>
              <w:t>82.30%</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，主</w:t>
            </w:r>
            <w:r>
              <w:rPr>
                <w:rFonts w:ascii="宋体" w:hAnsi="宋体" w:cs="宋体" w:eastAsia="宋体" w:hint="default"/>
                <w:spacing w:val="-5"/>
                <w:w w:val="101"/>
                <w:sz w:val="18"/>
                <w:szCs w:val="18"/>
              </w:rPr>
              <w:t> </w:t>
            </w:r>
            <w:r>
              <w:rPr>
                <w:rFonts w:ascii="宋体" w:hAnsi="宋体" w:cs="宋体" w:eastAsia="宋体" w:hint="default"/>
                <w:spacing w:val="-3"/>
                <w:sz w:val="18"/>
                <w:szCs w:val="18"/>
              </w:rPr>
              <w:t>要原因系到期收回委托理财产品</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t>三、核心竞争力分析</w:t>
      </w:r>
      <w:r>
        <w:rPr>
          <w:b w:val="0"/>
          <w:bCs w:val="0"/>
        </w:rPr>
      </w:r>
    </w:p>
    <w:p>
      <w:pPr>
        <w:spacing w:line="240" w:lineRule="auto" w:before="1"/>
        <w:rPr>
          <w:rFonts w:ascii="宋体" w:hAnsi="宋体" w:cs="宋体" w:eastAsia="宋体" w:hint="default"/>
          <w:b/>
          <w:bCs/>
          <w:sz w:val="34"/>
          <w:szCs w:val="34"/>
        </w:rPr>
      </w:pPr>
    </w:p>
    <w:p>
      <w:pPr>
        <w:pStyle w:val="BodyText"/>
        <w:spacing w:line="364" w:lineRule="auto" w:before="0"/>
        <w:ind w:right="135" w:firstLine="422"/>
        <w:jc w:val="both"/>
      </w:pPr>
      <w:r>
        <w:rPr>
          <w:spacing w:val="-2"/>
        </w:rPr>
        <w:t>报告期内公司开展重大资产购买（构成借壳）暨非公开发行股票工作。公司拟收购神州数码的</w:t>
      </w:r>
      <w:r>
        <w:rPr>
          <w:rFonts w:ascii="Times New Roman" w:hAnsi="Times New Roman" w:cs="Times New Roman" w:eastAsia="Times New Roman" w:hint="default"/>
          <w:spacing w:val="-2"/>
        </w:rPr>
        <w:t>IT</w:t>
      </w:r>
      <w:r>
        <w:rPr>
          <w:spacing w:val="-2"/>
        </w:rPr>
        <w:t>分销</w:t>
      </w:r>
      <w:r>
        <w:rPr>
          <w:w w:val="100"/>
        </w:rPr>
        <w:t> </w:t>
      </w:r>
      <w:r>
        <w:rPr>
          <w:spacing w:val="-2"/>
        </w:rPr>
        <w:t>业务公司。本次交易完成后，公司的核心业务将由电话机和饲料的生产与销售转变为</w:t>
      </w:r>
      <w:r>
        <w:rPr>
          <w:rFonts w:ascii="Times New Roman" w:hAnsi="Times New Roman" w:cs="Times New Roman" w:eastAsia="Times New Roman" w:hint="default"/>
          <w:spacing w:val="-2"/>
        </w:rPr>
        <w:t>IT</w:t>
      </w:r>
      <w:r>
        <w:rPr>
          <w:spacing w:val="-2"/>
        </w:rPr>
        <w:t>分销业务。神州数</w:t>
      </w:r>
      <w:r>
        <w:rPr>
          <w:spacing w:val="-18"/>
        </w:rPr>
        <w:t> </w:t>
      </w:r>
      <w:r>
        <w:rPr>
          <w:spacing w:val="-18"/>
        </w:rPr>
      </w:r>
      <w:r>
        <w:rPr>
          <w:spacing w:val="-2"/>
        </w:rPr>
        <w:t>码的</w:t>
      </w:r>
      <w:r>
        <w:rPr>
          <w:rFonts w:ascii="Times New Roman" w:hAnsi="Times New Roman" w:cs="Times New Roman" w:eastAsia="Times New Roman" w:hint="default"/>
          <w:spacing w:val="-2"/>
        </w:rPr>
        <w:t>IT</w:t>
      </w:r>
      <w:r>
        <w:rPr>
          <w:spacing w:val="-2"/>
        </w:rPr>
        <w:t>分销业务经过多年发展已与</w:t>
      </w:r>
      <w:r>
        <w:rPr>
          <w:rFonts w:ascii="Times New Roman" w:hAnsi="Times New Roman" w:cs="Times New Roman" w:eastAsia="Times New Roman" w:hint="default"/>
          <w:spacing w:val="-2"/>
        </w:rPr>
        <w:t>30,000</w:t>
      </w:r>
      <w:r>
        <w:rPr>
          <w:spacing w:val="-2"/>
        </w:rPr>
        <w:t>多家分销渠道合作伙伴建立了遍及全国、覆盖线上及线下的渠道</w:t>
      </w:r>
      <w:r>
        <w:rPr>
          <w:spacing w:val="-5"/>
        </w:rPr>
        <w:t> </w:t>
      </w:r>
      <w:r>
        <w:rPr>
          <w:spacing w:val="-5"/>
        </w:rPr>
      </w:r>
      <w:r>
        <w:rPr>
          <w:spacing w:val="-4"/>
        </w:rPr>
        <w:t>网络，并与</w:t>
      </w:r>
      <w:r>
        <w:rPr>
          <w:rFonts w:ascii="Times New Roman" w:hAnsi="Times New Roman" w:cs="Times New Roman" w:eastAsia="Times New Roman" w:hint="default"/>
          <w:spacing w:val="-4"/>
        </w:rPr>
        <w:t>IBM</w:t>
      </w:r>
      <w:r>
        <w:rPr>
          <w:spacing w:val="-4"/>
        </w:rPr>
        <w:t>、思科、</w:t>
      </w:r>
      <w:r>
        <w:rPr>
          <w:rFonts w:ascii="Times New Roman" w:hAnsi="Times New Roman" w:cs="Times New Roman" w:eastAsia="Times New Roman" w:hint="default"/>
          <w:spacing w:val="-4"/>
        </w:rPr>
        <w:t>EMC</w:t>
      </w:r>
      <w:r>
        <w:rPr>
          <w:spacing w:val="-4"/>
        </w:rPr>
        <w:t>、微软、戴尔、惠普、爱普生、苹果、</w:t>
      </w:r>
      <w:r>
        <w:rPr>
          <w:rFonts w:ascii="Times New Roman" w:hAnsi="Times New Roman" w:cs="Times New Roman" w:eastAsia="Times New Roman" w:hint="default"/>
          <w:spacing w:val="-4"/>
        </w:rPr>
        <w:t>AMD</w:t>
      </w:r>
      <w:r>
        <w:rPr>
          <w:spacing w:val="-4"/>
        </w:rPr>
        <w:t>、索尼、宏碁、华硕、联想、华</w:t>
      </w:r>
      <w:r>
        <w:rPr>
          <w:spacing w:val="-16"/>
        </w:rPr>
        <w:t> </w:t>
      </w:r>
      <w:r>
        <w:rPr>
          <w:spacing w:val="-16"/>
        </w:rPr>
      </w:r>
      <w:r>
        <w:rPr>
          <w:spacing w:val="-2"/>
        </w:rPr>
        <w:t>为等国内外知名</w:t>
      </w:r>
      <w:r>
        <w:rPr>
          <w:rFonts w:ascii="Times New Roman" w:hAnsi="Times New Roman" w:cs="Times New Roman" w:eastAsia="Times New Roman" w:hint="default"/>
          <w:spacing w:val="-2"/>
        </w:rPr>
        <w:t>IT</w:t>
      </w:r>
      <w:r>
        <w:rPr>
          <w:spacing w:val="-2"/>
        </w:rPr>
        <w:t>厂商保持了长期稳定的分销合作关系。其分销产品类型众多，包括服务器主机、存储、</w:t>
      </w:r>
      <w:r>
        <w:rPr>
          <w:spacing w:val="-10"/>
        </w:rPr>
        <w:t> </w:t>
      </w:r>
      <w:r>
        <w:rPr>
          <w:spacing w:val="-10"/>
        </w:rPr>
      </w:r>
      <w:r>
        <w:rPr>
          <w:spacing w:val="-2"/>
        </w:rPr>
        <w:t>通用软件、基础网络安全视讯通讯、个人电脑、平板电脑、智能手机等与日常生活及经济活动息息相关的</w:t>
      </w:r>
    </w:p>
    <w:p>
      <w:pPr>
        <w:spacing w:after="0" w:line="364" w:lineRule="auto"/>
        <w:jc w:val="both"/>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right="0"/>
        <w:jc w:val="left"/>
      </w:pPr>
      <w:r>
        <w:rPr>
          <w:spacing w:val="-3"/>
        </w:rPr>
        <w:t>产品。标的资产连续</w:t>
      </w:r>
      <w:r>
        <w:rPr>
          <w:rFonts w:ascii="Times New Roman" w:hAnsi="Times New Roman" w:cs="Times New Roman" w:eastAsia="Times New Roman" w:hint="default"/>
          <w:spacing w:val="-3"/>
        </w:rPr>
        <w:t>10</w:t>
      </w:r>
      <w:r>
        <w:rPr>
          <w:spacing w:val="-3"/>
        </w:rPr>
        <w:t>年蝉联</w:t>
      </w:r>
      <w:r>
        <w:rPr>
          <w:rFonts w:ascii="Times New Roman" w:hAnsi="Times New Roman" w:cs="Times New Roman" w:eastAsia="Times New Roman" w:hint="default"/>
          <w:spacing w:val="-3"/>
        </w:rPr>
        <w:t>IT</w:t>
      </w:r>
      <w:r>
        <w:rPr>
          <w:spacing w:val="-3"/>
        </w:rPr>
        <w:t>分销国内市场第一，其优势主要表现为</w:t>
      </w:r>
      <w:r>
        <w:rPr>
          <w:rFonts w:ascii="Times New Roman" w:hAnsi="Times New Roman" w:cs="Times New Roman" w:eastAsia="Times New Roman" w:hint="default"/>
          <w:spacing w:val="-3"/>
        </w:rPr>
        <w:t>“</w:t>
      </w:r>
      <w:r>
        <w:rPr>
          <w:spacing w:val="-3"/>
        </w:rPr>
        <w:t>渠道招募能力</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产品营销能力</w:t>
      </w:r>
      <w:r>
        <w:rPr>
          <w:rFonts w:ascii="Times New Roman" w:hAnsi="Times New Roman" w:cs="Times New Roman" w:eastAsia="Times New Roman" w:hint="default"/>
          <w:spacing w:val="-3"/>
        </w:rPr>
        <w:t>”</w:t>
      </w:r>
      <w:r>
        <w:rPr>
          <w:spacing w:val="-3"/>
        </w:rPr>
        <w:t>、</w:t>
      </w:r>
    </w:p>
    <w:p>
      <w:pPr>
        <w:pStyle w:val="BodyText"/>
        <w:spacing w:line="240" w:lineRule="auto" w:before="151"/>
        <w:ind w:right="0"/>
        <w:jc w:val="left"/>
      </w:pPr>
      <w:r>
        <w:rPr>
          <w:rFonts w:ascii="Times New Roman" w:hAnsi="Times New Roman" w:cs="Times New Roman" w:eastAsia="Times New Roman" w:hint="default"/>
        </w:rPr>
        <w:t>“</w:t>
      </w:r>
      <w:r>
        <w:rPr/>
        <w:t>增值服务能力</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整合营销能力</w:t>
      </w:r>
      <w:r>
        <w:rPr>
          <w:rFonts w:ascii="Times New Roman" w:hAnsi="Times New Roman" w:cs="Times New Roman" w:eastAsia="Times New Roman" w:hint="default"/>
        </w:rPr>
        <w:t>”</w:t>
      </w:r>
      <w:r>
        <w:rPr/>
        <w:t>。</w:t>
      </w:r>
    </w:p>
    <w:p>
      <w:pPr>
        <w:spacing w:after="0" w:line="240" w:lineRule="auto"/>
        <w:jc w:val="left"/>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125" w:right="0"/>
        <w:jc w:val="left"/>
        <w:rPr>
          <w:b w:val="0"/>
          <w:bCs w:val="0"/>
        </w:rPr>
      </w:pPr>
      <w:bookmarkStart w:name="_bookmark3" w:id="4"/>
      <w:bookmarkEnd w:id="4"/>
      <w:r>
        <w:rPr>
          <w:b w:val="0"/>
          <w:bCs w:val="0"/>
        </w:rPr>
      </w:r>
      <w:r>
        <w:rPr/>
        <w:t>第四节 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34"/>
          <w:szCs w:val="34"/>
        </w:rPr>
      </w:pPr>
    </w:p>
    <w:p>
      <w:pPr>
        <w:pStyle w:val="BodyText"/>
        <w:spacing w:line="384" w:lineRule="auto" w:before="0"/>
        <w:ind w:right="142" w:firstLine="480"/>
        <w:jc w:val="both"/>
      </w:pPr>
      <w:r>
        <w:rPr>
          <w:spacing w:val="-4"/>
        </w:rPr>
        <w:t>报告期内，公司一方面通过稳定现有经营主业、盘活历史遗留资产、开展委托理财业务等举措保障了</w:t>
      </w:r>
      <w:r>
        <w:rPr>
          <w:w w:val="100"/>
        </w:rPr>
        <w:t> </w:t>
      </w:r>
      <w:r>
        <w:rPr>
          <w:spacing w:val="-2"/>
        </w:rPr>
        <w:t>全年盈利；一方面积极推进重大资产购买暨非公开发行股票工作，收购神州数码的</w:t>
      </w:r>
      <w:r>
        <w:rPr>
          <w:rFonts w:ascii="宋体" w:hAnsi="宋体" w:cs="宋体" w:eastAsia="宋体" w:hint="default"/>
          <w:spacing w:val="-2"/>
        </w:rPr>
        <w:t>IT</w:t>
      </w:r>
      <w:r>
        <w:rPr>
          <w:spacing w:val="-2"/>
        </w:rPr>
        <w:t>分销业务公司，改变</w:t>
      </w:r>
      <w:r>
        <w:rPr>
          <w:spacing w:val="-28"/>
        </w:rPr>
        <w:t> </w:t>
      </w:r>
      <w:r>
        <w:rPr>
          <w:spacing w:val="-28"/>
        </w:rPr>
      </w:r>
      <w:r>
        <w:rPr/>
        <w:t>现有主业羸弱局面，实现公司业务转型发展。</w:t>
      </w:r>
    </w:p>
    <w:p>
      <w:pPr>
        <w:pStyle w:val="BodyText"/>
        <w:spacing w:line="384" w:lineRule="auto" w:before="40"/>
        <w:ind w:right="126" w:firstLine="480"/>
        <w:jc w:val="both"/>
      </w:pPr>
      <w:r>
        <w:rPr>
          <w:spacing w:val="-4"/>
        </w:rPr>
        <w:t>报告期内，为维持经营稳定，公司采取多种措施。但受市场持续萎缩，租金、劳动力等成本大幅度上</w:t>
      </w:r>
      <w:r>
        <w:rPr>
          <w:w w:val="100"/>
        </w:rPr>
        <w:t> </w:t>
      </w:r>
      <w:r>
        <w:rPr>
          <w:spacing w:val="-2"/>
        </w:rPr>
        <w:t>涨等不利因素影响，报告期现有业务的经营情况并不理想。经过努力虽然饲料产业净利润获得小幅增长，</w:t>
      </w:r>
      <w:r>
        <w:rPr>
          <w:spacing w:val="-13"/>
        </w:rPr>
        <w:t> </w:t>
      </w:r>
      <w:r>
        <w:rPr>
          <w:spacing w:val="-13"/>
        </w:rPr>
      </w:r>
      <w:r>
        <w:rPr/>
        <w:t>但电话机业务出现较大亏损。</w:t>
      </w:r>
      <w:r>
        <w:rPr>
          <w:rFonts w:ascii="宋体" w:hAnsi="宋体" w:cs="宋体" w:eastAsia="宋体" w:hint="default"/>
        </w:rPr>
        <w:t>2015</w:t>
      </w:r>
      <w:r>
        <w:rPr/>
        <w:t>年公司实现净利润</w:t>
      </w:r>
      <w:r>
        <w:rPr>
          <w:rFonts w:ascii="宋体" w:hAnsi="宋体" w:cs="宋体" w:eastAsia="宋体" w:hint="default"/>
        </w:rPr>
        <w:t>2,136.32</w:t>
      </w:r>
      <w:r>
        <w:rPr/>
        <w:t>万元。</w:t>
      </w:r>
    </w:p>
    <w:p>
      <w:pPr>
        <w:spacing w:line="240" w:lineRule="auto" w:before="10"/>
        <w:rPr>
          <w:rFonts w:ascii="宋体" w:hAnsi="宋体" w:cs="宋体" w:eastAsia="宋体" w:hint="default"/>
          <w:sz w:val="14"/>
          <w:szCs w:val="14"/>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6"/>
        <w:ind w:left="0" w:right="157"/>
        <w:jc w:val="right"/>
      </w:pPr>
      <w:r>
        <w:rPr>
          <w:rFonts w:ascii="Times New Roman" w:hAnsi="Times New Roman" w:cs="Times New Roman" w:eastAsia="Times New Roman" w:hint="default"/>
          <w:spacing w:val="-1"/>
        </w:rPr>
        <w:t>2015</w:t>
      </w:r>
      <w:r>
        <w:rPr>
          <w:spacing w:val="-1"/>
        </w:rPr>
        <w:t>年，公司实现销售收</w:t>
      </w:r>
      <w:r>
        <w:rPr>
          <w:rFonts w:ascii="Times New Roman" w:hAnsi="Times New Roman" w:cs="Times New Roman" w:eastAsia="Times New Roman" w:hint="default"/>
          <w:spacing w:val="-1"/>
        </w:rPr>
        <w:t>4.58</w:t>
      </w:r>
      <w:r>
        <w:rPr>
          <w:spacing w:val="-1"/>
        </w:rPr>
        <w:t>亿元，比上年同期下降</w:t>
      </w:r>
      <w:r>
        <w:rPr>
          <w:rFonts w:ascii="Times New Roman" w:hAnsi="Times New Roman" w:cs="Times New Roman" w:eastAsia="Times New Roman" w:hint="default"/>
          <w:spacing w:val="-1"/>
        </w:rPr>
        <w:t>10.02%</w:t>
      </w:r>
      <w:r>
        <w:rPr>
          <w:spacing w:val="-1"/>
        </w:rPr>
        <w:t>。下降的主要原因是电话机业务同比下降</w:t>
      </w:r>
    </w:p>
    <w:p>
      <w:pPr>
        <w:pStyle w:val="BodyText"/>
        <w:spacing w:line="362" w:lineRule="auto" w:before="151"/>
        <w:ind w:right="0"/>
        <w:jc w:val="left"/>
      </w:pPr>
      <w:r>
        <w:rPr>
          <w:rFonts w:ascii="Times New Roman" w:hAnsi="Times New Roman" w:cs="Times New Roman" w:eastAsia="Times New Roman" w:hint="default"/>
          <w:spacing w:val="-2"/>
        </w:rPr>
        <w:t>9.05%</w:t>
      </w:r>
      <w:r>
        <w:rPr>
          <w:spacing w:val="-2"/>
        </w:rPr>
        <w:t>；实现净利润</w:t>
      </w:r>
      <w:r>
        <w:rPr>
          <w:rFonts w:ascii="Times New Roman" w:hAnsi="Times New Roman" w:cs="Times New Roman" w:eastAsia="Times New Roman" w:hint="default"/>
          <w:spacing w:val="-2"/>
        </w:rPr>
        <w:t>2,136.32</w:t>
      </w:r>
      <w:r>
        <w:rPr>
          <w:spacing w:val="-2"/>
        </w:rPr>
        <w:t>万元，同比下降</w:t>
      </w:r>
      <w:r>
        <w:rPr>
          <w:rFonts w:ascii="Times New Roman" w:hAnsi="Times New Roman" w:cs="Times New Roman" w:eastAsia="Times New Roman" w:hint="default"/>
          <w:spacing w:val="-2"/>
        </w:rPr>
        <w:t>65.25%</w:t>
      </w:r>
      <w:r>
        <w:rPr>
          <w:spacing w:val="-2"/>
        </w:rPr>
        <w:t>。截止</w:t>
      </w:r>
      <w:r>
        <w:rPr>
          <w:rFonts w:ascii="Times New Roman" w:hAnsi="Times New Roman" w:cs="Times New Roman" w:eastAsia="Times New Roman" w:hint="default"/>
          <w:spacing w:val="-2"/>
        </w:rPr>
        <w:t>2015</w:t>
      </w:r>
      <w:r>
        <w:rPr>
          <w:spacing w:val="-2"/>
        </w:rPr>
        <w:t>年底，公司总资产为</w:t>
      </w:r>
      <w:r>
        <w:rPr>
          <w:rFonts w:ascii="Times New Roman" w:hAnsi="Times New Roman" w:cs="Times New Roman" w:eastAsia="Times New Roman" w:hint="default"/>
          <w:spacing w:val="-2"/>
        </w:rPr>
        <w:t>44,800.83</w:t>
      </w:r>
      <w:r>
        <w:rPr>
          <w:spacing w:val="-2"/>
        </w:rPr>
        <w:t>万元，比年初</w:t>
      </w:r>
      <w:r>
        <w:rPr>
          <w:spacing w:val="-42"/>
        </w:rPr>
        <w:t> </w:t>
      </w:r>
      <w:r>
        <w:rPr>
          <w:spacing w:val="-42"/>
        </w:rPr>
      </w:r>
      <w:r>
        <w:rPr>
          <w:spacing w:val="-1"/>
        </w:rPr>
        <w:t>下降</w:t>
      </w:r>
      <w:r>
        <w:rPr>
          <w:rFonts w:ascii="Times New Roman" w:hAnsi="Times New Roman" w:cs="Times New Roman" w:eastAsia="Times New Roman" w:hint="default"/>
          <w:spacing w:val="-1"/>
        </w:rPr>
        <w:t>2.96%</w:t>
      </w:r>
      <w:r>
        <w:rPr>
          <w:spacing w:val="-1"/>
        </w:rPr>
        <w:t>；净资产为</w:t>
      </w:r>
      <w:r>
        <w:rPr>
          <w:rFonts w:ascii="Times New Roman" w:hAnsi="Times New Roman" w:cs="Times New Roman" w:eastAsia="Times New Roman" w:hint="default"/>
          <w:spacing w:val="-1"/>
        </w:rPr>
        <w:t>18,699.99</w:t>
      </w:r>
      <w:r>
        <w:rPr>
          <w:spacing w:val="-1"/>
        </w:rPr>
        <w:t>万元，比年初增长</w:t>
      </w:r>
      <w:r>
        <w:rPr>
          <w:rFonts w:ascii="Times New Roman" w:hAnsi="Times New Roman" w:cs="Times New Roman" w:eastAsia="Times New Roman" w:hint="default"/>
          <w:spacing w:val="-1"/>
        </w:rPr>
        <w:t>13.18%</w:t>
      </w:r>
      <w:r>
        <w:rPr>
          <w:spacing w:val="-1"/>
        </w:rPr>
        <w:t>。加权平均净资产收益率</w:t>
      </w:r>
      <w:r>
        <w:rPr>
          <w:rFonts w:ascii="Times New Roman" w:hAnsi="Times New Roman" w:cs="Times New Roman" w:eastAsia="Times New Roman" w:hint="default"/>
          <w:spacing w:val="-1"/>
        </w:rPr>
        <w:t>12.90%</w:t>
      </w:r>
      <w:r>
        <w:rPr>
          <w:spacing w:val="-1"/>
        </w:rPr>
        <w:t>。但受自身竞争</w:t>
      </w:r>
      <w:r>
        <w:rPr>
          <w:spacing w:val="-41"/>
        </w:rPr>
        <w:t> </w:t>
      </w:r>
      <w:r>
        <w:rPr>
          <w:spacing w:val="-41"/>
        </w:rPr>
      </w:r>
      <w:r>
        <w:rPr/>
        <w:t>力弱、市场环境持续恶化、人力成本增加等因素影响，公司扣除非经常性损益后的净利润为亏损</w:t>
      </w:r>
      <w:r>
        <w:rPr>
          <w:rFonts w:ascii="Times New Roman" w:hAnsi="Times New Roman" w:cs="Times New Roman" w:eastAsia="Times New Roman" w:hint="default"/>
        </w:rPr>
        <w:t>1,351.11</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万元。</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spacing w:before="0"/>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399" w:hRule="exact"/>
        </w:trPr>
        <w:tc>
          <w:tcPr>
            <w:tcW w:w="1599"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458,063,353.60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509,055,702.64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-10.02%</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163,560,615.69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186,159,003.85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农畜业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282,963,588.32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310,640,400.75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-8.91%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物业管理及出租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11,539,149.59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11,496,298.04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9"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电话机及智能保险</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163,560,615.69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186,159,003.85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282,963,588.32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308,830,312.46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-8.38%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肉鸡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1,810,088.29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物业管理及出租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11,539,149.59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11,496,298.04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9"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446,772,527.98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495,697,920.23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97.38%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-9.87%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11,290,825.62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13,357,782.41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9"/>
        <w:gridCol w:w="1364"/>
        <w:gridCol w:w="1373"/>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6" w:hanging="270"/>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1" w:hanging="269"/>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2" w:right="46" w:hanging="360"/>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163,560,615.69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140,220,727.08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-3.09%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-8.01%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农畜业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282,963,588.32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260,458,246.82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2.27%</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电话机及智能保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险柜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163,560,615.69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140,220,727.08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-3.09%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-8.01%</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282,963,588.32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260,458,246.82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-10.67%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2.37%</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446,772,527.98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399,583,416.95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-7.86%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-1.95%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1,966,025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2,555,698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-23.07%</w:t>
            </w:r>
          </w:p>
        </w:tc>
      </w:tr>
      <w:tr>
        <w:trPr>
          <w:trHeight w:val="399" w:hRule="exact"/>
        </w:trPr>
        <w:tc>
          <w:tcPr>
            <w:tcW w:w="1599" w:type="dxa"/>
            <w:vMerge/>
            <w:tcBorders>
              <w:left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1,906,242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2,713,817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-29.76%</w:t>
            </w:r>
          </w:p>
        </w:tc>
      </w:tr>
      <w:tr>
        <w:trPr>
          <w:trHeight w:val="403" w:hRule="exact"/>
        </w:trPr>
        <w:tc>
          <w:tcPr>
            <w:tcW w:w="1599"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270,745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-22.08%</w:t>
            </w:r>
          </w:p>
        </w:tc>
      </w:tr>
      <w:tr>
        <w:trPr>
          <w:trHeight w:val="403"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饲料业</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96,152.27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98,051.21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-1.94%</w:t>
            </w:r>
          </w:p>
        </w:tc>
      </w:tr>
      <w:tr>
        <w:trPr>
          <w:trHeight w:val="403" w:hRule="exact"/>
        </w:trPr>
        <w:tc>
          <w:tcPr>
            <w:tcW w:w="1599"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93,849.82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97,635.8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-3.88%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7"/>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1" w:right="0"/>
              <w:jc w:val="left"/>
              <w:rPr>
                <w:rFonts w:ascii="Times New Roman" w:hAnsi="Times New Roman" w:cs="Times New Roman" w:eastAsia="Times New Roman" w:hint="default"/>
                <w:sz w:val="18"/>
                <w:szCs w:val="18"/>
              </w:rPr>
            </w:pPr>
            <w:r>
              <w:rPr>
                <w:rFonts w:ascii="Times New Roman"/>
                <w:sz w:val="18"/>
              </w:rPr>
              <w:t>1,234.23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1" w:right="0"/>
              <w:jc w:val="left"/>
              <w:rPr>
                <w:rFonts w:ascii="Times New Roman" w:hAnsi="Times New Roman" w:cs="Times New Roman" w:eastAsia="Times New Roman" w:hint="default"/>
                <w:sz w:val="18"/>
                <w:szCs w:val="18"/>
              </w:rPr>
            </w:pPr>
            <w:r>
              <w:rPr>
                <w:rFonts w:ascii="Times New Roman"/>
                <w:sz w:val="18"/>
              </w:rPr>
              <w:t>1,068.22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sz w:val="18"/>
              </w:rPr>
              <w:t>15.54%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相关数据同比发生变动</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以上的原因说明</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行业和产品分类</w:t>
      </w:r>
    </w:p>
    <w:p>
      <w:pPr>
        <w:spacing w:before="115"/>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245,779,593.12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279,555,229.23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-2.67%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5,402,507.07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4,936,961.31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0.21%</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1,483,645.86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1,360,350.28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1,243,626.89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946,978.19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6,548,873.88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6,188,801.01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260,458,246.82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292,988,320.02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-2.09%</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98,833,563.61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106,747,750.85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26,319,776.05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24,078,606.00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3,995,745.06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2,437,687.00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2,087,051.08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2,311,519.00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-0.01%</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2,349,857.79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1,616,849.00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6,634,733.49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7,493,844.99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-0.06%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140,220,727.08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144,686,256.84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出租成本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8,383,951.90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7,461,557.44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366,098.25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-0.08%</w:t>
            </w:r>
          </w:p>
        </w:tc>
      </w:tr>
    </w:tbl>
    <w:p>
      <w:pPr>
        <w:spacing w:before="53"/>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0"/>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260,458,246.82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292,988,320.02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65.77%</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140,220,727.08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144,686,256.84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32.48%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8,383,951.90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7,827,655.69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w:t>
            </w: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59"/>
        <w:gridCol w:w="5311"/>
      </w:tblGrid>
      <w:tr>
        <w:trPr>
          <w:trHeight w:val="398"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112,797,661.78</w:t>
            </w:r>
          </w:p>
        </w:tc>
      </w:tr>
      <w:tr>
        <w:trPr>
          <w:trHeight w:val="40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24.62%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4"/>
        <w:gridCol w:w="3141"/>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东莞茶山袁照辉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40,999,167.91</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8.95%</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北京星杰生商行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32,482,093.25</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阳江信诚饲料经营部</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15,440,638.09</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沈阳市富通畅达商贸有限公司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12,018,107.57</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2.62%</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北京市国顺泰科贸有限公司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11,857,654.96</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2.59%</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112,797,661.78</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24.62%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9"/>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公司主要供应商情况</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259"/>
        <w:gridCol w:w="5311"/>
      </w:tblGrid>
      <w:tr>
        <w:trPr>
          <w:trHeight w:val="398"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120,899,253.37</w:t>
            </w:r>
          </w:p>
        </w:tc>
      </w:tr>
      <w:tr>
        <w:trPr>
          <w:trHeight w:val="40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29.56%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7"/>
        <w:gridCol w:w="3169"/>
        <w:gridCol w:w="2324"/>
        <w:gridCol w:w="3141"/>
      </w:tblGrid>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广州英恒饲料有限公司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27,344,668.23</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6.68%</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深圳市瑞丰粮食贸易有限公司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26,026,250.00</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6.36%</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深圳市顺升粮食贸易有限公司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23,745,766.10</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5.80%</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松下电器（中国）有限公司上海分公司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23,314,828.69</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5.70%</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上海浦耀贸易有限公司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20,467,740.35</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120,899,253.37</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29.56%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8"/>
        <w:gridCol w:w="1637"/>
        <w:gridCol w:w="1460"/>
        <w:gridCol w:w="2920"/>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21,453,421.67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26,310,837.57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-18.46%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因销售收入减少，相应的销售费用减</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少</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45,579,568.14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36,966,582.72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23.30%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left"/>
              <w:rPr>
                <w:rFonts w:ascii="宋体" w:hAnsi="宋体" w:cs="宋体" w:eastAsia="宋体" w:hint="default"/>
                <w:sz w:val="18"/>
                <w:szCs w:val="18"/>
              </w:rPr>
            </w:pPr>
            <w:r>
              <w:rPr>
                <w:rFonts w:ascii="宋体" w:hAnsi="宋体" w:cs="宋体" w:eastAsia="宋体" w:hint="default"/>
                <w:spacing w:val="-3"/>
                <w:sz w:val="18"/>
                <w:szCs w:val="18"/>
              </w:rPr>
              <w:t>同比增加主要原因是本年度发生了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与重组相关的中介费、律师费等费用</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-211,125.52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509,711.73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-141.42%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支付借款利息减少</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10"/>
        <w:rPr>
          <w:rFonts w:ascii="宋体" w:hAnsi="宋体" w:cs="宋体" w:eastAsia="宋体" w:hint="default"/>
          <w:b/>
          <w:bCs/>
          <w:sz w:val="26"/>
          <w:szCs w:val="26"/>
        </w:rPr>
      </w:pPr>
    </w:p>
    <w:p>
      <w:pPr>
        <w:spacing w:line="338" w:lineRule="auto" w:before="0"/>
        <w:ind w:left="446" w:right="3360" w:hanging="293"/>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本年研发支出主要是继续投入研发新的电话机机型和增强高端产品加工能力。</w:t>
      </w: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-13.33%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2,606,619.78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4,980,813.36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-47.67%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-0.41%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2"/>
                <w:sz w:val="18"/>
                <w:szCs w:val="18"/>
              </w:rPr>
              <w:t>研发投入资本化的金额（元）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line="343" w:lineRule="auto" w:before="115"/>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研发投入资本化率大幅变动的原因及其合理性说明</w:t>
      </w:r>
    </w:p>
    <w:p>
      <w:pPr>
        <w:spacing w:line="338" w:lineRule="auto" w:before="37"/>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适用</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近两年专利数情况</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472,385,516.07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556,970,688.29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-15.19%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485,887,872.62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585,123,836.28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-16.96%</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-13,502,356.55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-28,153,147.99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52.04%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151,615,000.24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309,415,649.03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49,392,058.24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306,842,305.62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-83.90%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9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102,222,942.00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2,573,343.41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3,872.38%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3,577,559.04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3,868,820.86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-7.53%</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-3,577,559.04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-3,868,820.86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7.53%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85,143,026.41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-29,448,625.44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389.12%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4"/>
          <w:szCs w:val="14"/>
        </w:rPr>
      </w:pPr>
    </w:p>
    <w:p>
      <w:pPr>
        <w:pStyle w:val="BodyText"/>
        <w:spacing w:line="240" w:lineRule="auto" w:before="0"/>
        <w:ind w:right="0"/>
        <w:jc w:val="left"/>
      </w:pPr>
      <w:r>
        <w:rPr>
          <w:rFonts w:ascii="Times New Roman" w:hAnsi="Times New Roman" w:cs="Times New Roman" w:eastAsia="Times New Roman" w:hint="default"/>
        </w:rPr>
        <w:t>1</w:t>
      </w:r>
      <w:r>
        <w:rPr/>
        <w:t>、经营活动产生的现金流量净额同比增加</w:t>
      </w:r>
      <w:r>
        <w:rPr>
          <w:rFonts w:ascii="Times New Roman" w:hAnsi="Times New Roman" w:cs="Times New Roman" w:eastAsia="Times New Roman" w:hint="default"/>
        </w:rPr>
        <w:t>52.04%</w:t>
      </w:r>
      <w:r>
        <w:rPr/>
        <w:t>，主要原因系去年同期支付了地价和土地闲置费；</w:t>
      </w:r>
    </w:p>
    <w:p>
      <w:pPr>
        <w:pStyle w:val="BodyText"/>
        <w:spacing w:line="240" w:lineRule="auto" w:before="146"/>
        <w:ind w:right="0"/>
        <w:jc w:val="left"/>
      </w:pPr>
      <w:r>
        <w:rPr>
          <w:rFonts w:ascii="Times New Roman" w:hAnsi="Times New Roman" w:cs="Times New Roman" w:eastAsia="Times New Roman" w:hint="default"/>
        </w:rPr>
        <w:t>2</w:t>
      </w:r>
      <w:r>
        <w:rPr/>
        <w:t>、投资活动现金流入同比减少</w:t>
      </w:r>
      <w:r>
        <w:rPr>
          <w:rFonts w:ascii="Times New Roman" w:hAnsi="Times New Roman" w:cs="Times New Roman" w:eastAsia="Times New Roman" w:hint="default"/>
        </w:rPr>
        <w:t>51%</w:t>
      </w:r>
      <w:r>
        <w:rPr/>
        <w:t>，主要原因系去年同期转让下属公司</w:t>
      </w:r>
      <w:r>
        <w:rPr>
          <w:rFonts w:ascii="Times New Roman" w:hAnsi="Times New Roman" w:cs="Times New Roman" w:eastAsia="Times New Roman" w:hint="default"/>
        </w:rPr>
        <w:t>100%</w:t>
      </w:r>
      <w:r>
        <w:rPr/>
        <w:t>股权收到的现金增加；</w:t>
      </w:r>
    </w:p>
    <w:p>
      <w:pPr>
        <w:pStyle w:val="BodyText"/>
        <w:spacing w:line="240" w:lineRule="auto" w:before="151"/>
        <w:ind w:right="0"/>
        <w:jc w:val="left"/>
      </w:pPr>
      <w:r>
        <w:rPr>
          <w:rFonts w:ascii="Times New Roman" w:hAnsi="Times New Roman" w:cs="Times New Roman" w:eastAsia="Times New Roman" w:hint="default"/>
        </w:rPr>
        <w:t>3</w:t>
      </w:r>
      <w:r>
        <w:rPr/>
        <w:t>、投资活动现金流出同比减少</w:t>
      </w:r>
      <w:r>
        <w:rPr>
          <w:rFonts w:ascii="Times New Roman" w:hAnsi="Times New Roman" w:cs="Times New Roman" w:eastAsia="Times New Roman" w:hint="default"/>
        </w:rPr>
        <w:t>83.90%</w:t>
      </w:r>
      <w:r>
        <w:rPr/>
        <w:t>，主要原因系购买委托理财产品较去年同期减少；</w:t>
      </w:r>
    </w:p>
    <w:p>
      <w:pPr>
        <w:pStyle w:val="BodyText"/>
        <w:spacing w:line="240" w:lineRule="auto" w:before="151"/>
        <w:ind w:right="0"/>
        <w:jc w:val="left"/>
      </w:pPr>
      <w:r>
        <w:rPr>
          <w:rFonts w:ascii="Times New Roman" w:hAnsi="Times New Roman" w:cs="Times New Roman" w:eastAsia="Times New Roman" w:hint="default"/>
        </w:rPr>
        <w:t>4</w:t>
      </w:r>
      <w:r>
        <w:rPr/>
        <w:t>、投资活动现金流量净额同比增加</w:t>
      </w:r>
      <w:r>
        <w:rPr>
          <w:rFonts w:ascii="Times New Roman" w:hAnsi="Times New Roman" w:cs="Times New Roman" w:eastAsia="Times New Roman" w:hint="default"/>
        </w:rPr>
        <w:t>3,872.38%</w:t>
      </w:r>
      <w:r>
        <w:rPr/>
        <w:t>，主要原因系购买委托理财产品较去年同期减少；</w:t>
      </w:r>
    </w:p>
    <w:p>
      <w:pPr>
        <w:pStyle w:val="BodyText"/>
        <w:spacing w:line="364" w:lineRule="auto" w:before="146"/>
        <w:ind w:right="0"/>
        <w:jc w:val="left"/>
      </w:pPr>
      <w:r>
        <w:rPr>
          <w:rFonts w:ascii="Times New Roman" w:hAnsi="Times New Roman" w:cs="Times New Roman" w:eastAsia="Times New Roman" w:hint="default"/>
          <w:spacing w:val="-2"/>
        </w:rPr>
        <w:t>5</w:t>
      </w:r>
      <w:r>
        <w:rPr>
          <w:spacing w:val="-2"/>
        </w:rPr>
        <w:t>、现金及现金等价物净增加额同比增加</w:t>
      </w:r>
      <w:r>
        <w:rPr>
          <w:rFonts w:ascii="Times New Roman" w:hAnsi="Times New Roman" w:cs="Times New Roman" w:eastAsia="Times New Roman" w:hint="default"/>
          <w:spacing w:val="-2"/>
        </w:rPr>
        <w:t>389.12%</w:t>
      </w:r>
      <w:r>
        <w:rPr>
          <w:spacing w:val="-2"/>
        </w:rPr>
        <w:t>，主要原因系去年同期支付了地价、土地闲置费及本报告</w:t>
      </w:r>
      <w:r>
        <w:rPr>
          <w:spacing w:val="-47"/>
        </w:rPr>
        <w:t> </w:t>
      </w:r>
      <w:r>
        <w:rPr>
          <w:spacing w:val="-47"/>
        </w:rPr>
      </w:r>
      <w:r>
        <w:rPr/>
        <w:t>期委托理财产品到期收回。</w:t>
      </w:r>
    </w:p>
    <w:p>
      <w:pPr>
        <w:spacing w:before="13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报告期内公司经营活动产生的现金净流量与本年度净利润存在重大差异的原因说明</w:t>
      </w:r>
    </w:p>
    <w:p>
      <w:pPr>
        <w:spacing w:line="240" w:lineRule="auto" w:before="9"/>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4"/>
          <w:szCs w:val="14"/>
        </w:rPr>
      </w:pPr>
    </w:p>
    <w:p>
      <w:pPr>
        <w:pStyle w:val="BodyText"/>
        <w:spacing w:line="364" w:lineRule="auto" w:before="0"/>
        <w:ind w:right="0" w:firstLine="422"/>
        <w:jc w:val="left"/>
      </w:pPr>
      <w:r>
        <w:rPr>
          <w:spacing w:val="-2"/>
        </w:rPr>
        <w:t>本年净利润</w:t>
      </w:r>
      <w:r>
        <w:rPr>
          <w:rFonts w:ascii="Times New Roman" w:hAnsi="Times New Roman" w:cs="Times New Roman" w:eastAsia="Times New Roman" w:hint="default"/>
          <w:spacing w:val="-2"/>
        </w:rPr>
        <w:t>21,363,244.02</w:t>
      </w:r>
      <w:r>
        <w:rPr>
          <w:spacing w:val="-2"/>
        </w:rPr>
        <w:t>元，经营活动产生的现金流量净额为</w:t>
      </w:r>
      <w:r>
        <w:rPr>
          <w:rFonts w:ascii="Times New Roman" w:hAnsi="Times New Roman" w:cs="Times New Roman" w:eastAsia="Times New Roman" w:hint="default"/>
          <w:spacing w:val="-2"/>
        </w:rPr>
        <w:t>-13,502,356.55</w:t>
      </w:r>
      <w:r>
        <w:rPr>
          <w:spacing w:val="-2"/>
        </w:rPr>
        <w:t>元，差异</w:t>
      </w:r>
      <w:r>
        <w:rPr>
          <w:rFonts w:ascii="Times New Roman" w:hAnsi="Times New Roman" w:cs="Times New Roman" w:eastAsia="Times New Roman" w:hint="default"/>
          <w:spacing w:val="-2"/>
        </w:rPr>
        <w:t>34,865,600.57</w:t>
      </w:r>
      <w:r>
        <w:rPr>
          <w:spacing w:val="-2"/>
        </w:rPr>
        <w:t>元，</w:t>
      </w:r>
      <w:r>
        <w:rPr>
          <w:w w:val="100"/>
        </w:rPr>
        <w:t> </w:t>
      </w:r>
      <w:r>
        <w:rPr/>
        <w:t>主要原因是：</w:t>
      </w:r>
    </w:p>
    <w:p>
      <w:pPr>
        <w:pStyle w:val="BodyText"/>
        <w:spacing w:line="240" w:lineRule="auto" w:before="52"/>
        <w:ind w:right="0"/>
        <w:jc w:val="left"/>
      </w:pPr>
      <w:r>
        <w:rPr>
          <w:rFonts w:ascii="Times New Roman" w:hAnsi="Times New Roman" w:cs="Times New Roman" w:eastAsia="Times New Roman" w:hint="default"/>
        </w:rPr>
        <w:t>1</w:t>
      </w:r>
      <w:r>
        <w:rPr/>
        <w:t>、本年没收的诚意金，今年计入净利润，但该笔资金于去年同期已确认入账；</w:t>
      </w:r>
    </w:p>
    <w:p>
      <w:pPr>
        <w:pStyle w:val="BodyText"/>
        <w:spacing w:line="364" w:lineRule="auto" w:before="151"/>
        <w:ind w:right="0"/>
        <w:jc w:val="left"/>
      </w:pPr>
      <w:r>
        <w:rPr>
          <w:rFonts w:ascii="Times New Roman" w:hAnsi="Times New Roman" w:cs="Times New Roman" w:eastAsia="Times New Roman" w:hint="default"/>
          <w:spacing w:val="-2"/>
        </w:rPr>
        <w:t>2</w:t>
      </w:r>
      <w:r>
        <w:rPr>
          <w:spacing w:val="-2"/>
        </w:rPr>
        <w:t>、理财取得的投资收益</w:t>
      </w:r>
      <w:r>
        <w:rPr>
          <w:rFonts w:ascii="Times New Roman" w:hAnsi="Times New Roman" w:cs="Times New Roman" w:eastAsia="Times New Roman" w:hint="default"/>
          <w:spacing w:val="-2"/>
        </w:rPr>
        <w:t>1,500.10</w:t>
      </w:r>
      <w:r>
        <w:rPr>
          <w:spacing w:val="-2"/>
        </w:rPr>
        <w:t>万元列入投资活动现金流入项目中（不影响经营活动现金流量），而收益</w:t>
      </w:r>
      <w:r>
        <w:rPr>
          <w:spacing w:val="-22"/>
        </w:rPr>
        <w:t> </w:t>
      </w:r>
      <w:r>
        <w:rPr>
          <w:spacing w:val="-22"/>
        </w:rPr>
      </w:r>
      <w:r>
        <w:rPr/>
        <w:t>计入净利润。</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2"/>
        <w:spacing w:line="240" w:lineRule="auto"/>
        <w:ind w:right="0"/>
        <w:jc w:val="left"/>
        <w:rPr>
          <w:b w:val="0"/>
          <w:bCs w:val="0"/>
        </w:rPr>
      </w:pPr>
      <w:r>
        <w:rPr/>
        <w:t>三、非主营业务分析</w:t>
      </w:r>
      <w:r>
        <w:rPr>
          <w:b w:val="0"/>
          <w:bCs w:val="0"/>
        </w:rPr>
      </w:r>
    </w:p>
    <w:p>
      <w:pPr>
        <w:spacing w:line="240" w:lineRule="auto" w:before="9"/>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2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2"/>
        <w:gridCol w:w="1916"/>
        <w:gridCol w:w="1628"/>
        <w:gridCol w:w="2166"/>
        <w:gridCol w:w="2339"/>
      </w:tblGrid>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99"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15,001,000.24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61.12%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委托理财收益</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2,302,829.03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计提的坏账和存货跌价损</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失</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32,397,191.85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131.99%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没收诚意金</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0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5"/>
        <w:gridCol w:w="1916"/>
        <w:gridCol w:w="1628"/>
        <w:gridCol w:w="2166"/>
        <w:gridCol w:w="2339"/>
      </w:tblGrid>
      <w:tr>
        <w:trPr>
          <w:trHeight w:val="715" w:hRule="exact"/>
        </w:trPr>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75" w:right="0"/>
              <w:jc w:val="left"/>
              <w:rPr>
                <w:rFonts w:ascii="Times New Roman" w:hAnsi="Times New Roman" w:cs="Times New Roman" w:eastAsia="Times New Roman" w:hint="default"/>
                <w:sz w:val="18"/>
                <w:szCs w:val="18"/>
              </w:rPr>
            </w:pPr>
            <w:r>
              <w:rPr>
                <w:rFonts w:ascii="Times New Roman"/>
                <w:sz w:val="18"/>
              </w:rPr>
              <w:t>782,786.23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非流动资产处置损失和纳</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税滞纳金</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384" w:hRule="exact"/>
        </w:trPr>
        <w:tc>
          <w:tcPr>
            <w:tcW w:w="1369"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0" w:hRule="exact"/>
        </w:trPr>
        <w:tc>
          <w:tcPr>
            <w:tcW w:w="1369" w:type="dxa"/>
            <w:vMerge/>
            <w:tcBorders>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02" w:type="dxa"/>
            <w:vMerge/>
            <w:tcBorders>
              <w:left w:val="single" w:sz="4" w:space="0" w:color="000000"/>
              <w:right w:val="single" w:sz="4" w:space="0" w:color="000000"/>
            </w:tcBorders>
            <w:shd w:val="clear" w:color="auto" w:fill="D2D2D2"/>
          </w:tcPr>
          <w:p>
            <w:pPr/>
          </w:p>
        </w:tc>
        <w:tc>
          <w:tcPr>
            <w:tcW w:w="2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4"/>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5"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114,346,440.0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29,203,413.68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6.33%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主要系委托理财产品到期收回</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23,164,403.20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22,916,313.26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4.96%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0.21%</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99,185,528.49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96,570,617.79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20.92%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12,710,447.87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13,440,054.83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55,791,316.08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58,731,315.12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12.72%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-0.27%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2,033,503.71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-0.44%</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五、投资状况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公司报告期不存在证券投资。</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公司报告期不存在衍生品投资。</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公司报告期无募集资金使用情况。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公司报告期未出售重大资产。</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980"/>
        </w:sectPr>
      </w:pPr>
    </w:p>
    <w:p>
      <w:pPr>
        <w:spacing w:before="46"/>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854" w:space="4068"/>
            <w:col w:w="102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7"/>
      </w:tblGrid>
      <w:tr>
        <w:trPr>
          <w:trHeight w:val="404"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深圳市深信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西部房地产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62,300,000.0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114,235,631.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22,784,170.9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-7,256,501.4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-7,256,501.4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33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深圳市深信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泰丰投资发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展有限公司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投资兴办实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业、国内商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业、物资销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28,237,986.7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6,246,465.72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4,743,450.00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-154,490.97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-317,527.86</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深圳市华宝</w:t>
            </w:r>
          </w:p>
          <w:p>
            <w:pPr>
              <w:pStyle w:val="TableParagraph"/>
              <w:spacing w:line="324" w:lineRule="auto" w:before="76"/>
              <w:ind w:left="24" w:right="17"/>
              <w:jc w:val="left"/>
              <w:rPr>
                <w:rFonts w:ascii="宋体" w:hAnsi="宋体" w:cs="宋体" w:eastAsia="宋体" w:hint="default"/>
                <w:sz w:val="18"/>
                <w:szCs w:val="18"/>
              </w:rPr>
            </w:pPr>
            <w:r>
              <w:rPr>
                <w:rFonts w:ascii="宋体" w:hAnsi="宋体" w:cs="宋体" w:eastAsia="宋体" w:hint="default"/>
                <w:spacing w:val="-16"/>
                <w:w w:val="101"/>
                <w:sz w:val="18"/>
                <w:szCs w:val="18"/>
              </w:rPr>
              <w:t>（集团）饲料</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有限公司司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61,300,000.0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167,972,783.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-23,525,562.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255,600.00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-30,851,056.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-31,184,384.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r>
      <w:tr>
        <w:trPr>
          <w:trHeight w:val="989"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深圳市龙岗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区华宝经济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发展有限公</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种、养殖业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7"/>
              <w:jc w:val="center"/>
              <w:rPr>
                <w:rFonts w:ascii="Times New Roman" w:hAnsi="Times New Roman" w:cs="Times New Roman" w:eastAsia="Times New Roman" w:hint="default"/>
                <w:sz w:val="18"/>
                <w:szCs w:val="18"/>
              </w:rPr>
            </w:pPr>
            <w:r>
              <w:rPr>
                <w:rFonts w:ascii="Times New Roman"/>
                <w:sz w:val="18"/>
              </w:rPr>
              <w:t>4,500,000.00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10,369,417.0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10,048,799.2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01" w:right="0"/>
              <w:jc w:val="left"/>
              <w:rPr>
                <w:rFonts w:ascii="Times New Roman" w:hAnsi="Times New Roman" w:cs="Times New Roman" w:eastAsia="Times New Roman" w:hint="default"/>
                <w:sz w:val="18"/>
                <w:szCs w:val="18"/>
              </w:rPr>
            </w:pPr>
            <w:r>
              <w:rPr>
                <w:rFonts w:ascii="Times New Roman"/>
                <w:sz w:val="18"/>
              </w:rPr>
              <w:t>948,506.07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01" w:right="0"/>
              <w:jc w:val="left"/>
              <w:rPr>
                <w:rFonts w:ascii="Times New Roman" w:hAnsi="Times New Roman" w:cs="Times New Roman" w:eastAsia="Times New Roman" w:hint="default"/>
                <w:sz w:val="18"/>
                <w:szCs w:val="18"/>
              </w:rPr>
            </w:pPr>
            <w:r>
              <w:rPr>
                <w:rFonts w:ascii="Times New Roman"/>
                <w:sz w:val="18"/>
              </w:rPr>
              <w:t>948,506.07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7"/>
      </w:tblGrid>
      <w:tr>
        <w:trPr>
          <w:trHeight w:val="36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深圳市华宝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西部物业管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物业管理及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经营国动车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停放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6,787,870.79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3,840,365.06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6,795,699.59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129,162.87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1" w:right="0"/>
              <w:jc w:val="center"/>
              <w:rPr>
                <w:rFonts w:ascii="Times New Roman" w:hAnsi="Times New Roman" w:cs="Times New Roman" w:eastAsia="Times New Roman" w:hint="default"/>
                <w:sz w:val="18"/>
                <w:szCs w:val="18"/>
              </w:rPr>
            </w:pPr>
            <w:r>
              <w:rPr>
                <w:rFonts w:ascii="Times New Roman"/>
                <w:sz w:val="18"/>
              </w:rPr>
              <w:t>129,362.87</w:t>
            </w:r>
          </w:p>
        </w:tc>
      </w:tr>
      <w:tr>
        <w:trPr>
          <w:trHeight w:val="321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深圳市汇德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祥贸易有限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投资兴办实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业；塑料制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品、通讯产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品、多功能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电话、无绳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电话的购销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及其他国内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商业、物资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供销业；企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业形象设计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36,978,161.4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23,889,825.9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135,504,600.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64,315.73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-234,685.37</w:t>
            </w:r>
          </w:p>
        </w:tc>
      </w:tr>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惠州市华宝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饲料有限公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饲料生产与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70,852,485.6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21,236,612.6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282,963,588.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6,855,510.00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4,926,774.73</w:t>
            </w:r>
          </w:p>
        </w:tc>
      </w:tr>
      <w:tr>
        <w:trPr>
          <w:trHeight w:val="133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深圳市泰丰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科技有限公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4"/>
              <w:jc w:val="both"/>
              <w:rPr>
                <w:rFonts w:ascii="宋体" w:hAnsi="宋体" w:cs="宋体" w:eastAsia="宋体" w:hint="default"/>
                <w:sz w:val="18"/>
                <w:szCs w:val="18"/>
              </w:rPr>
            </w:pPr>
            <w:r>
              <w:rPr>
                <w:rFonts w:ascii="宋体" w:hAnsi="宋体" w:cs="宋体" w:eastAsia="宋体" w:hint="default"/>
                <w:spacing w:val="-2"/>
                <w:sz w:val="18"/>
                <w:szCs w:val="18"/>
              </w:rPr>
              <w:t>开发、生产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销售无绳电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话机多功能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电话机等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160,000,000.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1325" w:lineRule="exact"/>
              <w:ind w:left="4" w:right="-50"/>
              <w:jc w:val="left"/>
              <w:rPr>
                <w:rFonts w:ascii="宋体" w:hAnsi="宋体" w:cs="宋体" w:eastAsia="宋体" w:hint="default"/>
                <w:sz w:val="20"/>
                <w:szCs w:val="20"/>
              </w:rPr>
            </w:pPr>
            <w:r>
              <w:rPr>
                <w:rFonts w:ascii="宋体" w:hAnsi="宋体" w:cs="宋体" w:eastAsia="宋体" w:hint="default"/>
                <w:position w:val="-26"/>
                <w:sz w:val="20"/>
                <w:szCs w:val="20"/>
              </w:rPr>
              <w:pict>
                <v:group style="width:51.6pt;height:66.3pt;mso-position-horizontal-relative:char;mso-position-vertical-relative:line" coordorigin="0,0" coordsize="1032,1326">
                  <v:group style="position:absolute;left:0;top:0;width:1032;height:1326" coordorigin="0,0" coordsize="1032,1326">
                    <v:shape style="position:absolute;left:0;top:0;width:1032;height:1326" coordorigin="0,0" coordsize="1032,1326" path="m0,1325l1032,1325,1032,0,0,0,0,1325xe" filled="true" fillcolor="#ffffff" stroked="false">
                      <v:path arrowok="t"/>
                      <v:fill type="solid"/>
                    </v:shape>
                  </v:group>
                  <v:group style="position:absolute;left:24;top:312;width:989;height:351" coordorigin="24,312" coordsize="989,351">
                    <v:shape style="position:absolute;left:24;top:312;width:989;height:351" coordorigin="24,312" coordsize="989,351" path="m24,663l1013,663,1013,312,24,312,24,663xe" filled="true" fillcolor="#ffffff" stroked="false">
                      <v:path arrowok="t"/>
                      <v:fill type="solid"/>
                    </v:shape>
                  </v:group>
                  <v:group style="position:absolute;left:24;top:663;width:989;height:351" coordorigin="24,663" coordsize="989,351">
                    <v:shape style="position:absolute;left:24;top:663;width:989;height:351" coordorigin="24,663" coordsize="989,351" path="m24,1013l1013,1013,1013,663,24,663,24,1013xe" filled="true" fillcolor="#ffffff" stroked="false">
                      <v:path arrowok="t"/>
                      <v:fill type="solid"/>
                    </v:shape>
                  </v:group>
                </v:group>
              </w:pict>
            </w:r>
            <w:r>
              <w:rPr>
                <w:rFonts w:ascii="宋体" w:hAnsi="宋体" w:cs="宋体" w:eastAsia="宋体" w:hint="default"/>
                <w:position w:val="-26"/>
                <w:sz w:val="20"/>
                <w:szCs w:val="20"/>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64,828,597.9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24,178,134.8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100,049,494.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-1,760,828.6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-1,613,374.8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spacing w:before="53"/>
        <w:ind w:left="153" w:right="0" w:firstLine="0"/>
        <w:jc w:val="left"/>
        <w:rPr>
          <w:rFonts w:ascii="宋体" w:hAnsi="宋体" w:cs="宋体" w:eastAsia="宋体" w:hint="default"/>
          <w:sz w:val="18"/>
          <w:szCs w:val="18"/>
        </w:rPr>
      </w:pPr>
      <w:r>
        <w:rPr/>
        <w:pict>
          <v:shape style="position:absolute;margin-left:215.83577pt;margin-top:-66.782288pt;width:57.65pt;height:66.3pt;mso-position-horizontal-relative:page;mso-position-vertical-relative:paragraph;z-index:-739360" type="#_x0000_t202" filled="false" stroked="false">
            <v:textbox inset="0,0,0,0">
              <w:txbxContent>
                <w:p>
                  <w:pPr>
                    <w:spacing w:before="54"/>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宋体" w:hAnsi="宋体" w:cs="宋体" w:eastAsia="宋体" w:hint="default"/>
          <w:spacing w:val="-3"/>
          <w:sz w:val="18"/>
          <w:szCs w:val="18"/>
        </w:rPr>
        <w:t>报告期内取得和处置子公司的情况</w:t>
      </w:r>
    </w:p>
    <w:p>
      <w:pPr>
        <w:spacing w:line="338" w:lineRule="auto" w:before="120"/>
        <w:ind w:left="153" w:right="646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主要控股参股公司情况说明</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t>八、公司控制的结构化主体情况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九、公司未来发展的展望</w:t>
      </w:r>
      <w:r>
        <w:rPr>
          <w:b w:val="0"/>
          <w:bCs w:val="0"/>
        </w:rPr>
      </w:r>
    </w:p>
    <w:p>
      <w:pPr>
        <w:spacing w:line="240" w:lineRule="auto" w:before="6"/>
        <w:rPr>
          <w:rFonts w:ascii="宋体" w:hAnsi="宋体" w:cs="宋体" w:eastAsia="宋体" w:hint="default"/>
          <w:b/>
          <w:bCs/>
          <w:sz w:val="34"/>
          <w:szCs w:val="34"/>
        </w:rPr>
      </w:pPr>
    </w:p>
    <w:p>
      <w:pPr>
        <w:pStyle w:val="Heading4"/>
        <w:spacing w:line="374" w:lineRule="auto"/>
        <w:ind w:left="633" w:right="4977"/>
        <w:jc w:val="left"/>
        <w:rPr>
          <w:b w:val="0"/>
          <w:bCs w:val="0"/>
        </w:rPr>
      </w:pPr>
      <w:r>
        <w:rPr/>
        <w:t>（一）行业竞争格局和发展趋势</w:t>
      </w:r>
      <w:r>
        <w:rPr>
          <w:spacing w:val="-101"/>
        </w:rPr>
        <w:t> </w:t>
      </w:r>
      <w:r>
        <w:rPr>
          <w:rFonts w:ascii="Times New Roman" w:hAnsi="Times New Roman" w:cs="Times New Roman" w:eastAsia="Times New Roman" w:hint="default"/>
        </w:rPr>
        <w:t>1</w:t>
      </w:r>
      <w:r>
        <w:rPr/>
        <w:t>、现有固话和饲料产业经营压力日益加大</w:t>
      </w:r>
      <w:r>
        <w:rPr>
          <w:spacing w:val="-104"/>
        </w:rPr>
        <w:t> </w:t>
      </w:r>
      <w:r>
        <w:rPr>
          <w:spacing w:val="-104"/>
        </w:rPr>
      </w:r>
      <w:r>
        <w:rPr>
          <w:rFonts w:ascii="Times New Roman" w:hAnsi="Times New Roman" w:cs="Times New Roman" w:eastAsia="Times New Roman" w:hint="default"/>
        </w:rPr>
        <w:t>a.</w:t>
      </w:r>
      <w:r>
        <w:rPr/>
        <w:t>固定电话机市场容量呈现持续的较大幅度下降</w:t>
      </w:r>
      <w:r>
        <w:rPr>
          <w:b w:val="0"/>
          <w:bCs w:val="0"/>
        </w:rPr>
      </w:r>
    </w:p>
    <w:p>
      <w:pPr>
        <w:pStyle w:val="BodyText"/>
        <w:spacing w:line="364" w:lineRule="auto" w:before="20"/>
        <w:ind w:right="0" w:firstLine="480"/>
        <w:jc w:val="left"/>
      </w:pPr>
      <w:r>
        <w:rPr>
          <w:rFonts w:ascii="Times New Roman" w:hAnsi="Times New Roman" w:cs="Times New Roman" w:eastAsia="Times New Roman" w:hint="default"/>
          <w:spacing w:val="-5"/>
        </w:rPr>
        <w:t>2015</w:t>
      </w:r>
      <w:r>
        <w:rPr>
          <w:spacing w:val="-5"/>
        </w:rPr>
        <w:t>年，固定电话机市场总体容量降幅达到</w:t>
      </w:r>
      <w:r>
        <w:rPr>
          <w:rFonts w:ascii="Times New Roman" w:hAnsi="Times New Roman" w:cs="Times New Roman" w:eastAsia="Times New Roman" w:hint="default"/>
          <w:spacing w:val="-5"/>
        </w:rPr>
        <w:t>30%</w:t>
      </w:r>
      <w:r>
        <w:rPr>
          <w:spacing w:val="-5"/>
        </w:rPr>
        <w:t>，远超年初的预期，同行纷纷转型。公司固话的生产、</w:t>
      </w:r>
      <w:r>
        <w:rPr>
          <w:w w:val="100"/>
        </w:rPr>
        <w:t> </w:t>
      </w:r>
      <w:r>
        <w:rPr/>
        <w:t>销售陷入亏损局面。受市场下滑、租金和人力成本上升的影响，预计</w:t>
      </w:r>
      <w:r>
        <w:rPr>
          <w:rFonts w:ascii="Times New Roman" w:hAnsi="Times New Roman" w:cs="Times New Roman" w:eastAsia="Times New Roman" w:hint="default"/>
        </w:rPr>
        <w:t>2016</w:t>
      </w:r>
      <w:r>
        <w:rPr/>
        <w:t>年公司固话业务难以扭亏。</w:t>
      </w:r>
    </w:p>
    <w:p>
      <w:pPr>
        <w:spacing w:line="364" w:lineRule="auto" w:before="25"/>
        <w:ind w:left="6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b.</w:t>
      </w:r>
      <w:r>
        <w:rPr>
          <w:rFonts w:ascii="宋体" w:hAnsi="宋体" w:cs="宋体" w:eastAsia="宋体" w:hint="default"/>
          <w:b/>
          <w:bCs/>
          <w:sz w:val="21"/>
          <w:szCs w:val="21"/>
        </w:rPr>
        <w:t>饲料行业竞争加剧，中小型企业经营困难</w:t>
      </w:r>
      <w:r>
        <w:rPr>
          <w:rFonts w:ascii="宋体" w:hAnsi="宋体" w:cs="宋体" w:eastAsia="宋体" w:hint="default"/>
          <w:b/>
          <w:bCs/>
          <w:spacing w:val="-102"/>
          <w:sz w:val="21"/>
          <w:szCs w:val="21"/>
        </w:rPr>
        <w:t> </w:t>
      </w:r>
      <w:r>
        <w:rPr>
          <w:rFonts w:ascii="宋体" w:hAnsi="宋体" w:cs="宋体" w:eastAsia="宋体" w:hint="default"/>
          <w:spacing w:val="-3"/>
          <w:sz w:val="21"/>
          <w:szCs w:val="21"/>
        </w:rPr>
        <w:t>伴随着行业快速扩张，现今饲料企业的产能利用率大幅降低至</w:t>
      </w:r>
      <w:r>
        <w:rPr>
          <w:rFonts w:ascii="Times New Roman" w:hAnsi="Times New Roman" w:cs="Times New Roman" w:eastAsia="Times New Roman" w:hint="default"/>
          <w:spacing w:val="-3"/>
          <w:sz w:val="21"/>
          <w:szCs w:val="21"/>
        </w:rPr>
        <w:t>55%</w:t>
      </w:r>
      <w:r>
        <w:rPr>
          <w:rFonts w:ascii="宋体" w:hAnsi="宋体" w:cs="宋体" w:eastAsia="宋体" w:hint="default"/>
          <w:spacing w:val="-3"/>
          <w:sz w:val="21"/>
          <w:szCs w:val="21"/>
        </w:rPr>
        <w:t>，市场竞争极为激烈。小型饲料企</w:t>
      </w:r>
    </w:p>
    <w:p>
      <w:pPr>
        <w:pStyle w:val="BodyText"/>
        <w:spacing w:line="240" w:lineRule="auto" w:before="30"/>
        <w:ind w:right="0"/>
        <w:jc w:val="left"/>
      </w:pPr>
      <w:r>
        <w:rPr/>
        <w:t>业生存日益艰难，众多的中小企业纷纷倒闭。根据农业部畜牧业司相关消息，</w:t>
      </w:r>
      <w:r>
        <w:rPr>
          <w:spacing w:val="-17"/>
        </w:rPr>
        <w:t> </w:t>
      </w:r>
      <w:r>
        <w:rPr>
          <w:rFonts w:ascii="Times New Roman" w:hAnsi="Times New Roman" w:cs="Times New Roman" w:eastAsia="Times New Roman" w:hint="default"/>
        </w:rPr>
        <w:t>2012</w:t>
      </w:r>
      <w:r>
        <w:rPr/>
        <w:t>年以来我国饲料企业</w:t>
      </w:r>
    </w:p>
    <w:p>
      <w:pPr>
        <w:spacing w:after="0" w:line="240" w:lineRule="auto"/>
        <w:jc w:val="left"/>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64" w:lineRule="auto" w:before="36"/>
        <w:ind w:right="135"/>
        <w:jc w:val="left"/>
      </w:pPr>
      <w:r>
        <w:rPr/>
        <w:t>为</w:t>
      </w:r>
      <w:r>
        <w:rPr>
          <w:rFonts w:ascii="Times New Roman" w:hAnsi="Times New Roman" w:cs="Times New Roman" w:eastAsia="Times New Roman" w:hint="default"/>
        </w:rPr>
        <w:t>10858</w:t>
      </w:r>
      <w:r>
        <w:rPr/>
        <w:t>家，之后逐年下降，</w:t>
      </w:r>
      <w:r>
        <w:rPr>
          <w:rFonts w:ascii="Times New Roman" w:hAnsi="Times New Roman" w:cs="Times New Roman" w:eastAsia="Times New Roman" w:hint="default"/>
        </w:rPr>
        <w:t>2015</w:t>
      </w:r>
      <w:r>
        <w:rPr/>
        <w:t>年估计仅存</w:t>
      </w:r>
      <w:r>
        <w:rPr>
          <w:rFonts w:ascii="Times New Roman" w:hAnsi="Times New Roman" w:cs="Times New Roman" w:eastAsia="Times New Roman" w:hint="default"/>
        </w:rPr>
        <w:t>6000</w:t>
      </w:r>
      <w:r>
        <w:rPr/>
        <w:t>家左右。</w:t>
      </w:r>
      <w:r>
        <w:rPr>
          <w:spacing w:val="-24"/>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月份开始，饲料原材料价格在逐渐回</w:t>
      </w:r>
      <w:r>
        <w:rPr>
          <w:w w:val="100"/>
        </w:rPr>
        <w:t> </w:t>
      </w:r>
      <w:r>
        <w:rPr/>
        <w:t>升，而大型饲料厂纷纷降价促销。</w:t>
      </w:r>
      <w:r>
        <w:rPr>
          <w:rFonts w:ascii="Times New Roman" w:hAnsi="Times New Roman" w:cs="Times New Roman" w:eastAsia="Times New Roman" w:hint="default"/>
        </w:rPr>
        <w:t>2016</w:t>
      </w:r>
      <w:r>
        <w:rPr/>
        <w:t>年的公司饲料产业面临经营形势更加严峻。</w:t>
      </w:r>
    </w:p>
    <w:p>
      <w:pPr>
        <w:pStyle w:val="Heading4"/>
        <w:spacing w:line="240" w:lineRule="auto" w:before="25"/>
        <w:ind w:left="633" w:right="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IT</w:t>
      </w:r>
      <w:r>
        <w:rPr/>
        <w:t>市场平稳增长，分销商进入优胜劣汰的发展阶段</w:t>
      </w:r>
      <w:r>
        <w:rPr>
          <w:b w:val="0"/>
          <w:bCs w:val="0"/>
        </w:rPr>
      </w:r>
    </w:p>
    <w:p>
      <w:pPr>
        <w:spacing w:line="240" w:lineRule="auto" w:before="9"/>
        <w:rPr>
          <w:rFonts w:ascii="宋体" w:hAnsi="宋体" w:cs="宋体" w:eastAsia="宋体" w:hint="default"/>
          <w:b/>
          <w:bCs/>
          <w:sz w:val="20"/>
          <w:szCs w:val="20"/>
        </w:rPr>
      </w:pPr>
    </w:p>
    <w:p>
      <w:pPr>
        <w:pStyle w:val="BodyText"/>
        <w:spacing w:line="362" w:lineRule="auto" w:before="0"/>
        <w:ind w:right="143" w:firstLine="480"/>
        <w:jc w:val="both"/>
      </w:pPr>
      <w:r>
        <w:rPr>
          <w:spacing w:val="-3"/>
        </w:rPr>
        <w:t>报告期内公司并购重组的</w:t>
      </w:r>
      <w:r>
        <w:rPr>
          <w:rFonts w:ascii="Times New Roman" w:hAnsi="Times New Roman" w:cs="Times New Roman" w:eastAsia="Times New Roman" w:hint="default"/>
          <w:spacing w:val="-3"/>
        </w:rPr>
        <w:t>IT</w:t>
      </w:r>
      <w:r>
        <w:rPr>
          <w:spacing w:val="-3"/>
        </w:rPr>
        <w:t>产品分销业务将在</w:t>
      </w:r>
      <w:r>
        <w:rPr>
          <w:rFonts w:ascii="Times New Roman" w:hAnsi="Times New Roman" w:cs="Times New Roman" w:eastAsia="Times New Roman" w:hint="default"/>
          <w:spacing w:val="-3"/>
        </w:rPr>
        <w:t>2016</w:t>
      </w:r>
      <w:r>
        <w:rPr>
          <w:spacing w:val="-3"/>
        </w:rPr>
        <w:t>年成为公司未来的发展主业。在城市化进程的推动</w:t>
      </w:r>
      <w:r>
        <w:rPr>
          <w:w w:val="100"/>
        </w:rPr>
        <w:t> </w:t>
      </w:r>
      <w:r>
        <w:rPr>
          <w:spacing w:val="-2"/>
        </w:rPr>
        <w:t>和</w:t>
      </w:r>
      <w:r>
        <w:rPr>
          <w:rFonts w:ascii="Times New Roman" w:hAnsi="Times New Roman" w:cs="Times New Roman" w:eastAsia="Times New Roman" w:hint="default"/>
          <w:spacing w:val="-2"/>
        </w:rPr>
        <w:t>IT</w:t>
      </w:r>
      <w:r>
        <w:rPr>
          <w:spacing w:val="-2"/>
        </w:rPr>
        <w:t>设施国产化替代加速的背景下，优质的</w:t>
      </w:r>
      <w:r>
        <w:rPr>
          <w:rFonts w:ascii="Times New Roman" w:hAnsi="Times New Roman" w:cs="Times New Roman" w:eastAsia="Times New Roman" w:hint="default"/>
          <w:spacing w:val="-2"/>
        </w:rPr>
        <w:t>IT</w:t>
      </w:r>
      <w:r>
        <w:rPr>
          <w:spacing w:val="-2"/>
        </w:rPr>
        <w:t>分销商将将迎来下一轮信息化大发展的机遇。标的资产是当</w:t>
      </w:r>
      <w:r>
        <w:rPr>
          <w:spacing w:val="-11"/>
        </w:rPr>
        <w:t> </w:t>
      </w:r>
      <w:r>
        <w:rPr>
          <w:spacing w:val="-11"/>
        </w:rPr>
      </w:r>
      <w:r>
        <w:rPr/>
        <w:t>前中国最大的、涉及领域与品牌最广的</w:t>
      </w:r>
      <w:r>
        <w:rPr>
          <w:rFonts w:ascii="Times New Roman" w:hAnsi="Times New Roman" w:cs="Times New Roman" w:eastAsia="Times New Roman" w:hint="default"/>
        </w:rPr>
        <w:t>IT</w:t>
      </w:r>
      <w:r>
        <w:rPr/>
        <w:t>领域分销商，连续</w:t>
      </w:r>
      <w:r>
        <w:rPr>
          <w:rFonts w:ascii="Times New Roman" w:hAnsi="Times New Roman" w:cs="Times New Roman" w:eastAsia="Times New Roman" w:hint="default"/>
        </w:rPr>
        <w:t>10</w:t>
      </w:r>
      <w:r>
        <w:rPr/>
        <w:t>年蝉联在</w:t>
      </w:r>
      <w:r>
        <w:rPr>
          <w:rFonts w:ascii="Times New Roman" w:hAnsi="Times New Roman" w:cs="Times New Roman" w:eastAsia="Times New Roman" w:hint="default"/>
        </w:rPr>
        <w:t>IT</w:t>
      </w:r>
      <w:r>
        <w:rPr/>
        <w:t>分销国内市场第一。</w:t>
      </w:r>
    </w:p>
    <w:p>
      <w:pPr>
        <w:pStyle w:val="BodyText"/>
        <w:spacing w:line="386" w:lineRule="auto" w:before="152"/>
        <w:ind w:left="633" w:right="0"/>
        <w:jc w:val="left"/>
      </w:pPr>
      <w:r>
        <w:rPr>
          <w:rFonts w:ascii="宋体" w:hAnsi="宋体" w:cs="宋体" w:eastAsia="宋体" w:hint="default"/>
          <w:b/>
          <w:bCs/>
        </w:rPr>
        <w:t>（二）公司发展战略</w:t>
      </w:r>
      <w:r>
        <w:rPr>
          <w:rFonts w:ascii="宋体" w:hAnsi="宋体" w:cs="宋体" w:eastAsia="宋体" w:hint="default"/>
          <w:b/>
          <w:bCs/>
          <w:spacing w:val="-103"/>
        </w:rPr>
        <w:t> </w:t>
      </w:r>
      <w:r>
        <w:rPr>
          <w:spacing w:val="-3"/>
        </w:rPr>
        <w:t>公司将维持固定电话和饲料加工业务的稳定，寻求解决现有业务缺乏盈利能力的有效措施；继续推进</w:t>
      </w:r>
    </w:p>
    <w:p>
      <w:pPr>
        <w:pStyle w:val="BodyText"/>
        <w:spacing w:line="386" w:lineRule="auto"/>
        <w:ind w:right="0"/>
        <w:jc w:val="left"/>
      </w:pPr>
      <w:r>
        <w:rPr>
          <w:spacing w:val="-2"/>
        </w:rPr>
        <w:t>重大资产购买暨非公开发行股票工作，督促各方早日完成标的资产的交割、股份发行等相关工作，以实现</w:t>
      </w:r>
      <w:r>
        <w:rPr>
          <w:spacing w:val="-33"/>
        </w:rPr>
        <w:t> </w:t>
      </w:r>
      <w:r>
        <w:rPr>
          <w:spacing w:val="-33"/>
        </w:rPr>
      </w:r>
      <w:r>
        <w:rPr/>
        <w:t>公司业务转型发展。</w:t>
      </w:r>
    </w:p>
    <w:p>
      <w:pPr>
        <w:pStyle w:val="Heading4"/>
        <w:spacing w:line="240" w:lineRule="auto" w:before="38"/>
        <w:ind w:left="633" w:right="0"/>
        <w:jc w:val="left"/>
        <w:rPr>
          <w:b w:val="0"/>
          <w:bCs w:val="0"/>
        </w:rPr>
      </w:pPr>
      <w:r>
        <w:rPr/>
        <w:t>（三）可能面对的风险</w:t>
      </w:r>
      <w:r>
        <w:rPr>
          <w:b w:val="0"/>
          <w:bCs w:val="0"/>
        </w:rPr>
      </w:r>
    </w:p>
    <w:p>
      <w:pPr>
        <w:spacing w:line="364" w:lineRule="auto" w:before="162"/>
        <w:ind w:left="6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、固定电话机市场继续萎缩，固话业务仍将陷入亏损</w:t>
      </w:r>
      <w:r>
        <w:rPr>
          <w:rFonts w:ascii="宋体" w:hAnsi="宋体" w:cs="宋体" w:eastAsia="宋体" w:hint="default"/>
          <w:b/>
          <w:bCs/>
          <w:w w:val="100"/>
          <w:sz w:val="21"/>
          <w:szCs w:val="21"/>
        </w:rPr>
        <w:t> </w:t>
      </w:r>
      <w:r>
        <w:rPr>
          <w:rFonts w:ascii="宋体" w:hAnsi="宋体" w:cs="宋体" w:eastAsia="宋体" w:hint="default"/>
          <w:spacing w:val="-3"/>
          <w:sz w:val="21"/>
          <w:szCs w:val="21"/>
        </w:rPr>
        <w:t>公司预计</w:t>
      </w:r>
      <w:r>
        <w:rPr>
          <w:rFonts w:ascii="Times New Roman" w:hAnsi="Times New Roman" w:cs="Times New Roman" w:eastAsia="Times New Roman" w:hint="default"/>
          <w:spacing w:val="-3"/>
          <w:sz w:val="21"/>
          <w:szCs w:val="21"/>
        </w:rPr>
        <w:t>2016</w:t>
      </w:r>
      <w:r>
        <w:rPr>
          <w:rFonts w:ascii="宋体" w:hAnsi="宋体" w:cs="宋体" w:eastAsia="宋体" w:hint="default"/>
          <w:spacing w:val="-3"/>
          <w:sz w:val="21"/>
          <w:szCs w:val="21"/>
        </w:rPr>
        <w:t>年，固定电话机市场容量将会延续下滑的趋势，电话机行业会面临更加激烈的竞争。在</w:t>
      </w:r>
    </w:p>
    <w:p>
      <w:pPr>
        <w:spacing w:line="372" w:lineRule="auto" w:before="30"/>
        <w:ind w:left="633" w:right="0" w:hanging="480"/>
        <w:jc w:val="left"/>
        <w:rPr>
          <w:rFonts w:ascii="宋体" w:hAnsi="宋体" w:cs="宋体" w:eastAsia="宋体" w:hint="default"/>
          <w:sz w:val="21"/>
          <w:szCs w:val="21"/>
        </w:rPr>
      </w:pPr>
      <w:r>
        <w:rPr>
          <w:rFonts w:ascii="宋体" w:hAnsi="宋体" w:cs="宋体" w:eastAsia="宋体" w:hint="default"/>
          <w:sz w:val="21"/>
          <w:szCs w:val="21"/>
        </w:rPr>
        <w:t>市场萎缩、成本上涨的压力下，公司难以扭转固话业务亏损的局面。</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、饲料产业缺乏规模优势，盈利能力有限</w:t>
      </w:r>
      <w:r>
        <w:rPr>
          <w:rFonts w:ascii="宋体" w:hAnsi="宋体" w:cs="宋体" w:eastAsia="宋体" w:hint="default"/>
          <w:b/>
          <w:bCs/>
          <w:w w:val="100"/>
          <w:sz w:val="21"/>
          <w:szCs w:val="21"/>
        </w:rPr>
        <w:t> </w:t>
      </w:r>
      <w:r>
        <w:rPr>
          <w:rFonts w:ascii="宋体" w:hAnsi="宋体" w:cs="宋体" w:eastAsia="宋体" w:hint="default"/>
          <w:spacing w:val="-4"/>
          <w:sz w:val="21"/>
          <w:szCs w:val="21"/>
        </w:rPr>
        <w:t>公司饲料产业只有一个单厂，缺乏规模优势，在饲料企业整合速度加快的趋势下，经营压力凸显，盈</w:t>
      </w:r>
    </w:p>
    <w:p>
      <w:pPr>
        <w:pStyle w:val="BodyText"/>
        <w:spacing w:line="240" w:lineRule="auto" w:before="51"/>
        <w:ind w:right="0"/>
        <w:jc w:val="left"/>
      </w:pPr>
      <w:r>
        <w:rPr/>
        <w:t>利能力有限。</w:t>
      </w:r>
    </w:p>
    <w:p>
      <w:pPr>
        <w:pStyle w:val="BodyText"/>
        <w:spacing w:line="364" w:lineRule="auto" w:before="162"/>
        <w:ind w:right="0" w:firstLine="48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Times New Roman" w:hAnsi="Times New Roman" w:cs="Times New Roman" w:eastAsia="Times New Roman" w:hint="default"/>
          <w:b/>
          <w:bCs/>
        </w:rPr>
        <w:t>IT</w:t>
      </w:r>
      <w:r>
        <w:rPr>
          <w:rFonts w:ascii="宋体" w:hAnsi="宋体" w:cs="宋体" w:eastAsia="宋体" w:hint="default"/>
          <w:b/>
          <w:bCs/>
        </w:rPr>
        <w:t>产品价格透明化导致分销业务利润空间持续下降</w:t>
      </w:r>
      <w:r>
        <w:rPr>
          <w:rFonts w:ascii="宋体" w:hAnsi="宋体" w:cs="宋体" w:eastAsia="宋体" w:hint="default"/>
          <w:b/>
          <w:bCs/>
          <w:w w:val="100"/>
        </w:rPr>
        <w:t> </w:t>
      </w:r>
      <w:r>
        <w:rPr>
          <w:rFonts w:ascii="Times New Roman" w:hAnsi="Times New Roman" w:cs="Times New Roman" w:eastAsia="Times New Roman" w:hint="default"/>
          <w:spacing w:val="-2"/>
        </w:rPr>
        <w:t>IT</w:t>
      </w:r>
      <w:r>
        <w:rPr>
          <w:spacing w:val="-2"/>
        </w:rPr>
        <w:t>分销行业属于</w:t>
      </w:r>
      <w:r>
        <w:rPr>
          <w:rFonts w:ascii="Times New Roman" w:hAnsi="Times New Roman" w:cs="Times New Roman" w:eastAsia="Times New Roman" w:hint="default"/>
          <w:spacing w:val="-2"/>
        </w:rPr>
        <w:t>IT</w:t>
      </w:r>
      <w:r>
        <w:rPr>
          <w:spacing w:val="-2"/>
        </w:rPr>
        <w:t>产业链的中间环节且竞争充分，分销商在产品的采购和销售环节缺乏定价权优势。虽然</w:t>
      </w:r>
      <w:r>
        <w:rPr>
          <w:spacing w:val="-12"/>
        </w:rPr>
        <w:t> </w:t>
      </w:r>
      <w:r>
        <w:rPr>
          <w:spacing w:val="-12"/>
        </w:rPr>
      </w:r>
      <w:r>
        <w:rPr>
          <w:spacing w:val="-2"/>
        </w:rPr>
        <w:t>公司并购的</w:t>
      </w:r>
      <w:r>
        <w:rPr>
          <w:rFonts w:ascii="Times New Roman" w:hAnsi="Times New Roman" w:cs="Times New Roman" w:eastAsia="Times New Roman" w:hint="default"/>
          <w:spacing w:val="-2"/>
        </w:rPr>
        <w:t>IT</w:t>
      </w:r>
      <w:r>
        <w:rPr>
          <w:spacing w:val="-2"/>
        </w:rPr>
        <w:t>分销业务资产具有明显的规模优势、渠道优势和客户优势，但近年来，由于其行业的特殊性</w:t>
      </w:r>
      <w:r>
        <w:rPr>
          <w:spacing w:val="-20"/>
        </w:rPr>
        <w:t> </w:t>
      </w:r>
      <w:r>
        <w:rPr>
          <w:spacing w:val="-20"/>
        </w:rPr>
      </w:r>
      <w:r>
        <w:rPr>
          <w:spacing w:val="-2"/>
        </w:rPr>
        <w:t>以及市场的激烈竞争环境，传统</w:t>
      </w:r>
      <w:r>
        <w:rPr>
          <w:rFonts w:ascii="Times New Roman" w:hAnsi="Times New Roman" w:cs="Times New Roman" w:eastAsia="Times New Roman" w:hint="default"/>
          <w:spacing w:val="-2"/>
        </w:rPr>
        <w:t>IT</w:t>
      </w:r>
      <w:r>
        <w:rPr>
          <w:spacing w:val="-2"/>
        </w:rPr>
        <w:t>产品产能过剩导致整个行业利润率不断降低，传统</w:t>
      </w:r>
      <w:r>
        <w:rPr>
          <w:rFonts w:ascii="Times New Roman" w:hAnsi="Times New Roman" w:cs="Times New Roman" w:eastAsia="Times New Roman" w:hint="default"/>
          <w:spacing w:val="-2"/>
        </w:rPr>
        <w:t>IT</w:t>
      </w:r>
      <w:r>
        <w:rPr>
          <w:spacing w:val="-2"/>
        </w:rPr>
        <w:t>产品分销业务的利</w:t>
      </w:r>
      <w:r>
        <w:rPr>
          <w:spacing w:val="-5"/>
        </w:rPr>
        <w:t> </w:t>
      </w:r>
      <w:r>
        <w:rPr>
          <w:spacing w:val="-5"/>
        </w:rPr>
      </w:r>
      <w:r>
        <w:rPr/>
        <w:t>润受到不断挤压。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2180"/>
        <w:gridCol w:w="3040"/>
      </w:tblGrid>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2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80"/>
        <w:gridCol w:w="1537"/>
        <w:gridCol w:w="638"/>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1"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27</w:t>
            </w:r>
          </w:p>
        </w:tc>
      </w:tr>
      <w:tr>
        <w:trPr>
          <w:trHeight w:val="401"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27</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是否披露、透露或泄露未公开重大信息</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1537"/>
        <w:gridCol w:w="638"/>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4"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1"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是否披露、透露或泄露未公开重大信息</w:t>
            </w:r>
          </w:p>
        </w:tc>
        <w:tc>
          <w:tcPr>
            <w:tcW w:w="5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240" w:lineRule="auto"/>
        <w:ind w:left="3751" w:right="3804"/>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4"/>
          <w:szCs w:val="14"/>
        </w:rPr>
      </w:pPr>
    </w:p>
    <w:p>
      <w:pPr>
        <w:pStyle w:val="BodyText"/>
        <w:spacing w:line="369" w:lineRule="auto" w:before="0"/>
        <w:ind w:right="273" w:firstLine="422"/>
        <w:jc w:val="left"/>
      </w:pPr>
      <w:r>
        <w:rPr>
          <w:w w:val="100"/>
        </w:rPr>
        <w:t>公司近</w:t>
      </w:r>
      <w:r>
        <w:rPr>
          <w:spacing w:val="-51"/>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spacing w:val="-4"/>
          <w:w w:val="100"/>
        </w:rPr>
        <w:t>年（包括本报告期）的普通股股利分配方案（预案）、资本公积金转增股本方案（预案）情</w:t>
      </w:r>
      <w:r>
        <w:rPr>
          <w:w w:val="100"/>
        </w:rPr>
        <w:t> </w:t>
      </w:r>
      <w:r>
        <w:rPr/>
        <w:t>况。</w:t>
      </w:r>
    </w:p>
    <w:p>
      <w:pPr>
        <w:pStyle w:val="BodyText"/>
        <w:spacing w:line="376" w:lineRule="auto" w:before="87"/>
        <w:ind w:right="0" w:firstLine="422"/>
        <w:jc w:val="left"/>
      </w:pPr>
      <w:r>
        <w:rPr>
          <w:spacing w:val="-1"/>
        </w:rPr>
        <w:t>公司</w:t>
      </w:r>
      <w:r>
        <w:rPr>
          <w:rFonts w:ascii="Times New Roman" w:hAnsi="Times New Roman" w:cs="Times New Roman" w:eastAsia="Times New Roman" w:hint="default"/>
          <w:spacing w:val="-1"/>
        </w:rPr>
        <w:t>2014</w:t>
      </w:r>
      <w:r>
        <w:rPr>
          <w:spacing w:val="-1"/>
        </w:rPr>
        <w:t>年年度股东大会审议通过的《公司章程》及《公司未来三年（</w:t>
      </w:r>
      <w:r>
        <w:rPr>
          <w:rFonts w:ascii="Times New Roman" w:hAnsi="Times New Roman" w:cs="Times New Roman" w:eastAsia="Times New Roman" w:hint="default"/>
          <w:spacing w:val="-1"/>
        </w:rPr>
        <w:t>2015-2017</w:t>
      </w:r>
      <w:r>
        <w:rPr>
          <w:spacing w:val="-1"/>
        </w:rPr>
        <w:t>）年股东回报规划》</w:t>
      </w:r>
      <w:r>
        <w:rPr>
          <w:w w:val="100"/>
        </w:rPr>
        <w:t> </w:t>
      </w:r>
      <w:r>
        <w:rPr/>
        <w:t>载明了公司的利润分配政策的制定、执行或调整的决策程序和机制，利润分配政策尤其是现金分红政策的</w:t>
      </w:r>
      <w:r>
        <w:rPr>
          <w:w w:val="100"/>
        </w:rPr>
        <w:t> </w:t>
      </w:r>
      <w:r>
        <w:rPr/>
        <w:t>具体内容、期间间隔、分配条件以及听取独立董事和中小股东意见所采取的的措施，符合《上市公司监管</w:t>
      </w:r>
      <w:r>
        <w:rPr>
          <w:w w:val="100"/>
        </w:rPr>
        <w:t> </w:t>
      </w:r>
      <w:r>
        <w:rPr>
          <w:spacing w:val="-2"/>
        </w:rPr>
        <w:t>指引第</w:t>
      </w:r>
      <w:r>
        <w:rPr>
          <w:rFonts w:ascii="Times New Roman" w:hAnsi="Times New Roman" w:cs="Times New Roman" w:eastAsia="Times New Roman" w:hint="default"/>
          <w:spacing w:val="-2"/>
        </w:rPr>
        <w:t>3</w:t>
      </w:r>
      <w:r>
        <w:rPr>
          <w:spacing w:val="-2"/>
        </w:rPr>
        <w:t>号</w:t>
      </w:r>
      <w:r>
        <w:rPr>
          <w:rFonts w:ascii="Times New Roman" w:hAnsi="Times New Roman" w:cs="Times New Roman" w:eastAsia="Times New Roman" w:hint="default"/>
          <w:spacing w:val="-2"/>
        </w:rPr>
        <w:t>—</w:t>
      </w:r>
      <w:r>
        <w:rPr>
          <w:spacing w:val="-2"/>
        </w:rPr>
        <w:t>上市公司现金分红》的相关要求。由于母公司存在未弥补亏损，公司近三年不进行利润分配，</w:t>
      </w:r>
      <w:r>
        <w:rPr>
          <w:spacing w:val="-36"/>
        </w:rPr>
        <w:t> </w:t>
      </w:r>
      <w:r>
        <w:rPr>
          <w:spacing w:val="-36"/>
        </w:rPr>
      </w:r>
      <w:r>
        <w:rPr/>
        <w:t>也不进行公积金转增股本。公司的利润分配政策符合《公司章程》的规定和股东大会决议的要求，相关的</w:t>
      </w:r>
      <w:r>
        <w:rPr>
          <w:w w:val="100"/>
        </w:rPr>
        <w:t> </w:t>
      </w:r>
      <w:r>
        <w:rPr/>
        <w:t>决策程序和机制完备。独立董事每年都对公司利润分配方案和公积金转增股本方案发表独立意见并进行了</w:t>
      </w:r>
      <w:r>
        <w:rPr>
          <w:w w:val="100"/>
        </w:rPr>
        <w:t> </w:t>
      </w:r>
      <w:r>
        <w:rPr>
          <w:spacing w:val="-2"/>
        </w:rPr>
        <w:t>有效监督。中小股东有充分表达意见和诉求的机会，中小股东的合法权益得到充分维护。《公司章程》中</w:t>
      </w:r>
      <w:r>
        <w:rPr>
          <w:spacing w:val="-38"/>
        </w:rPr>
        <w:t> </w:t>
      </w:r>
      <w:r>
        <w:rPr>
          <w:spacing w:val="-38"/>
        </w:rPr>
      </w:r>
      <w:r>
        <w:rPr>
          <w:spacing w:val="-3"/>
        </w:rPr>
        <w:t>关于利润分配事项的相关条款详见公司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9</w:t>
      </w:r>
      <w:r>
        <w:rPr>
          <w:spacing w:val="-3"/>
        </w:rPr>
        <w:t>日在《证券时报》、巨潮资讯网（</w:t>
      </w:r>
      <w:r>
        <w:rPr>
          <w:rFonts w:ascii="Times New Roman" w:hAnsi="Times New Roman" w:cs="Times New Roman" w:eastAsia="Times New Roman" w:hint="default"/>
          <w:spacing w:val="-3"/>
        </w:rPr>
        <w:t>http:</w:t>
      </w:r>
      <w:hyperlink r:id="rId13">
        <w:r>
          <w:rPr>
            <w:rFonts w:ascii="Times New Roman" w:hAnsi="Times New Roman" w:cs="Times New Roman" w:eastAsia="Times New Roman" w:hint="default"/>
            <w:spacing w:val="-3"/>
          </w:rPr>
          <w:t>www.cninfo.com</w:t>
        </w:r>
      </w:hyperlink>
      <w:r>
        <w:rPr>
          <w:spacing w:val="-3"/>
        </w:rPr>
        <w:t>）</w:t>
      </w:r>
      <w:r>
        <w:rPr>
          <w:spacing w:val="-18"/>
        </w:rPr>
        <w:t> </w:t>
      </w:r>
      <w:r>
        <w:rPr/>
        <w:t>上披露的公告内容。</w:t>
      </w:r>
    </w:p>
    <w:p>
      <w:pPr>
        <w:spacing w:line="240" w:lineRule="auto" w:before="13"/>
        <w:rPr>
          <w:rFonts w:ascii="宋体" w:hAnsi="宋体" w:cs="宋体" w:eastAsia="宋体" w:hint="default"/>
          <w:sz w:val="19"/>
          <w:szCs w:val="19"/>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19"/>
        <w:ind w:left="0" w:right="2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1340"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09" w:right="66" w:hanging="538"/>
              <w:jc w:val="left"/>
              <w:rPr>
                <w:rFonts w:ascii="宋体" w:hAnsi="宋体" w:cs="宋体" w:eastAsia="宋体" w:hint="default"/>
                <w:sz w:val="18"/>
                <w:szCs w:val="18"/>
              </w:rPr>
            </w:pPr>
            <w:r>
              <w:rPr>
                <w:rFonts w:ascii="宋体" w:hAnsi="宋体" w:cs="宋体" w:eastAsia="宋体" w:hint="default"/>
                <w:spacing w:val="-2"/>
                <w:sz w:val="18"/>
                <w:szCs w:val="18"/>
              </w:rPr>
              <w:t>现金分红金额（含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5"/>
              <w:jc w:val="center"/>
              <w:rPr>
                <w:rFonts w:ascii="宋体" w:hAnsi="宋体" w:cs="宋体" w:eastAsia="宋体" w:hint="default"/>
                <w:sz w:val="18"/>
                <w:szCs w:val="18"/>
              </w:rPr>
            </w:pPr>
            <w:r>
              <w:rPr>
                <w:rFonts w:ascii="宋体" w:hAnsi="宋体" w:cs="宋体" w:eastAsia="宋体" w:hint="default"/>
                <w:spacing w:val="-2"/>
                <w:sz w:val="18"/>
                <w:szCs w:val="18"/>
              </w:rPr>
              <w:t>分红年度合并报表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中归属于上市公司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普通股股东的净利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占合并报表中归属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于上市公司普通股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股东的净利润的比</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以其他方式现金分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432" w:right="65" w:hanging="360"/>
              <w:jc w:val="left"/>
              <w:rPr>
                <w:rFonts w:ascii="宋体" w:hAnsi="宋体" w:cs="宋体" w:eastAsia="宋体" w:hint="default"/>
                <w:sz w:val="18"/>
                <w:szCs w:val="18"/>
              </w:rPr>
            </w:pPr>
            <w:r>
              <w:rPr>
                <w:rFonts w:ascii="宋体" w:hAnsi="宋体" w:cs="宋体" w:eastAsia="宋体" w:hint="default"/>
                <w:spacing w:val="-2"/>
                <w:sz w:val="18"/>
                <w:szCs w:val="18"/>
              </w:rPr>
              <w:t>以其他方式现金分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红的比例</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21,363,244.02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61,471,205.74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16,766,914.58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7"/>
          <w:szCs w:val="27"/>
        </w:rPr>
      </w:pPr>
    </w:p>
    <w:p>
      <w:pPr>
        <w:spacing w:line="338" w:lineRule="auto" w:before="0"/>
        <w:ind w:left="153" w:right="34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公司计划年度不派发现金红利，不送红股，不以公积金转增股本。</w:t>
      </w:r>
    </w:p>
    <w:p>
      <w:pPr>
        <w:spacing w:after="0" w:line="338" w:lineRule="auto"/>
        <w:jc w:val="left"/>
        <w:rPr>
          <w:rFonts w:ascii="宋体" w:hAnsi="宋体" w:cs="宋体" w:eastAsia="宋体" w:hint="default"/>
          <w:sz w:val="18"/>
          <w:szCs w:val="18"/>
        </w:rPr>
        <w:sectPr>
          <w:pgSz w:w="11910" w:h="16840"/>
          <w:pgMar w:header="741" w:footer="979" w:top="1060" w:bottom="1160" w:left="980" w:right="92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r>
        <w:rPr/>
        <w:t>三、承诺事项履行情况</w:t>
      </w:r>
      <w:r>
        <w:rPr>
          <w:b w:val="0"/>
          <w:bCs w:val="0"/>
        </w:rPr>
      </w:r>
    </w:p>
    <w:p>
      <w:pPr>
        <w:spacing w:line="240" w:lineRule="auto" w:before="8"/>
        <w:rPr>
          <w:rFonts w:ascii="宋体" w:hAnsi="宋体" w:cs="宋体" w:eastAsia="宋体" w:hint="default"/>
          <w:b/>
          <w:bCs/>
          <w:sz w:val="25"/>
          <w:szCs w:val="25"/>
        </w:rPr>
      </w:pPr>
    </w:p>
    <w:p>
      <w:pPr>
        <w:pStyle w:val="Heading4"/>
        <w:spacing w:line="254"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4"/>
        </w:rPr>
        <w:t> </w:t>
      </w:r>
      <w:r>
        <w:rPr>
          <w:spacing w:val="-64"/>
        </w:rPr>
      </w:r>
      <w:r>
        <w:rPr/>
        <w:t>截至报告期末尚未履行完毕的承诺事项</w:t>
      </w:r>
      <w:r>
        <w:rPr>
          <w:b w:val="0"/>
          <w:bCs w:val="0"/>
        </w:rPr>
      </w:r>
    </w:p>
    <w:p>
      <w:pPr>
        <w:spacing w:line="240" w:lineRule="auto" w:before="4"/>
        <w:rPr>
          <w:rFonts w:ascii="宋体" w:hAnsi="宋体" w:cs="宋体" w:eastAsia="宋体" w:hint="default"/>
          <w:b/>
          <w:bCs/>
          <w:sz w:val="27"/>
          <w:szCs w:val="27"/>
        </w:rPr>
      </w:pPr>
    </w:p>
    <w:p>
      <w:pPr>
        <w:spacing w:line="328" w:lineRule="auto"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公司报告期不存在公司、股东、实际控制人、收购人、董事、监事、高级管理人员或其他关联方在报告期内履行完毕及截至</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报告期末尚未履行完毕的承诺事项。</w:t>
      </w:r>
    </w:p>
    <w:p>
      <w:pPr>
        <w:spacing w:line="240" w:lineRule="auto" w:before="8"/>
        <w:rPr>
          <w:rFonts w:ascii="宋体" w:hAnsi="宋体" w:cs="宋体" w:eastAsia="宋体" w:hint="default"/>
          <w:sz w:val="21"/>
          <w:szCs w:val="21"/>
        </w:rPr>
      </w:pPr>
    </w:p>
    <w:p>
      <w:pPr>
        <w:pStyle w:val="Heading4"/>
        <w:spacing w:line="256" w:lineRule="auto"/>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2"/>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7"/>
          <w:szCs w:val="27"/>
        </w:rPr>
      </w:pPr>
    </w:p>
    <w:p>
      <w:pPr>
        <w:spacing w:line="338" w:lineRule="auto" w:before="0"/>
        <w:ind w:left="153" w:right="3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8"/>
        <w:rPr>
          <w:rFonts w:ascii="宋体" w:hAnsi="宋体" w:cs="宋体" w:eastAsia="宋体" w:hint="default"/>
          <w:b/>
          <w:bCs/>
          <w:sz w:val="27"/>
          <w:szCs w:val="27"/>
        </w:rPr>
      </w:pPr>
    </w:p>
    <w:p>
      <w:pPr>
        <w:spacing w:line="338" w:lineRule="auto" w:before="0"/>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公司报告期无会计政策、会计估计和核算方法发生变化的情况。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8"/>
        <w:rPr>
          <w:rFonts w:ascii="宋体" w:hAnsi="宋体" w:cs="宋体" w:eastAsia="宋体" w:hint="default"/>
          <w:b/>
          <w:bCs/>
          <w:sz w:val="27"/>
          <w:szCs w:val="27"/>
        </w:rPr>
      </w:pPr>
    </w:p>
    <w:p>
      <w:pPr>
        <w:spacing w:line="343" w:lineRule="auto" w:before="0"/>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公司报告期无重大会计差错更正需追溯重述的情况。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8"/>
        <w:rPr>
          <w:rFonts w:ascii="宋体" w:hAnsi="宋体" w:cs="宋体" w:eastAsia="宋体" w:hint="default"/>
          <w:b/>
          <w:bCs/>
          <w:sz w:val="27"/>
          <w:szCs w:val="27"/>
        </w:rPr>
      </w:pPr>
    </w:p>
    <w:p>
      <w:pPr>
        <w:spacing w:line="338" w:lineRule="auto" w:before="0"/>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公司报告期无合并报表范围发生变化的情况。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t>九、聘任、解聘会计师事务所情况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889"/>
        <w:gridCol w:w="5681"/>
      </w:tblGrid>
      <w:tr>
        <w:trPr>
          <w:trHeight w:val="403" w:hRule="exact"/>
        </w:trPr>
        <w:tc>
          <w:tcPr>
            <w:tcW w:w="3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3" w:hRule="exact"/>
        </w:trPr>
        <w:tc>
          <w:tcPr>
            <w:tcW w:w="3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89"/>
        <w:gridCol w:w="5681"/>
      </w:tblGrid>
      <w:tr>
        <w:trPr>
          <w:trHeight w:val="403" w:hRule="exact"/>
        </w:trPr>
        <w:tc>
          <w:tcPr>
            <w:tcW w:w="3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3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李巧仪、李花</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当期是否改聘会计师事务所</w:t>
      </w:r>
    </w:p>
    <w:p>
      <w:pPr>
        <w:spacing w:line="343" w:lineRule="auto" w:before="115"/>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聘请内部控制审计会计师事务所、财务顾问或保荐人情况</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t>十一、破产重整相关事项</w:t>
      </w:r>
      <w:r>
        <w:rPr>
          <w:b w:val="0"/>
          <w:bCs w:val="0"/>
        </w:rPr>
      </w:r>
    </w:p>
    <w:p>
      <w:pPr>
        <w:spacing w:line="240" w:lineRule="auto" w:before="3"/>
        <w:rPr>
          <w:rFonts w:ascii="宋体" w:hAnsi="宋体" w:cs="宋体" w:eastAsia="宋体" w:hint="default"/>
          <w:b/>
          <w:bCs/>
          <w:sz w:val="27"/>
          <w:szCs w:val="27"/>
        </w:rPr>
      </w:pPr>
    </w:p>
    <w:p>
      <w:pPr>
        <w:spacing w:line="343" w:lineRule="auto" w:before="0"/>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十二、重大诉讼、仲裁事项</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61"/>
        <w:gridCol w:w="1071"/>
        <w:gridCol w:w="1249"/>
        <w:gridCol w:w="941"/>
        <w:gridCol w:w="1373"/>
        <w:gridCol w:w="1249"/>
        <w:gridCol w:w="1066"/>
        <w:gridCol w:w="1061"/>
      </w:tblGrid>
      <w:tr>
        <w:trPr>
          <w:trHeight w:val="715"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686" w:right="79" w:hanging="600"/>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50" w:right="17" w:hanging="327"/>
              <w:jc w:val="left"/>
              <w:rPr>
                <w:rFonts w:ascii="宋体" w:hAnsi="宋体" w:cs="宋体" w:eastAsia="宋体" w:hint="default"/>
                <w:sz w:val="18"/>
                <w:szCs w:val="18"/>
              </w:rPr>
            </w:pPr>
            <w:r>
              <w:rPr>
                <w:rFonts w:ascii="宋体" w:hAnsi="宋体" w:cs="宋体" w:eastAsia="宋体" w:hint="default"/>
                <w:spacing w:val="-13"/>
                <w:sz w:val="18"/>
                <w:szCs w:val="18"/>
              </w:rPr>
              <w:t>涉案金额（万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是否形成预计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83"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5" w:right="74" w:hanging="154"/>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审理</w:t>
            </w:r>
            <w:r>
              <w:rPr>
                <w:rFonts w:ascii="宋体" w:hAnsi="宋体" w:cs="宋体" w:eastAsia="宋体" w:hint="default"/>
                <w:spacing w:val="-71"/>
                <w:sz w:val="18"/>
                <w:szCs w:val="18"/>
              </w:rPr>
              <w:t> </w:t>
            </w:r>
            <w:r>
              <w:rPr>
                <w:rFonts w:ascii="宋体" w:hAnsi="宋体" w:cs="宋体" w:eastAsia="宋体" w:hint="default"/>
                <w:sz w:val="18"/>
                <w:szCs w:val="18"/>
              </w:rPr>
              <w:t>结果及影响</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68" w:right="103" w:hanging="58"/>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w:t>
            </w:r>
            <w:r>
              <w:rPr>
                <w:rFonts w:ascii="宋体" w:hAnsi="宋体" w:cs="宋体" w:eastAsia="宋体" w:hint="default"/>
                <w:spacing w:val="-76"/>
                <w:sz w:val="18"/>
                <w:szCs w:val="18"/>
              </w:rPr>
              <w:t> </w:t>
            </w:r>
            <w:r>
              <w:rPr>
                <w:rFonts w:ascii="宋体" w:hAnsi="宋体" w:cs="宋体" w:eastAsia="宋体" w:hint="default"/>
                <w:sz w:val="18"/>
                <w:szCs w:val="18"/>
              </w:rPr>
              <w:t>决执行情况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7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月，原告</w:t>
            </w:r>
            <w:r>
              <w:rPr>
                <w:rFonts w:ascii="宋体" w:hAnsi="宋体" w:cs="宋体" w:eastAsia="宋体" w:hint="default"/>
                <w:w w:val="101"/>
                <w:sz w:val="18"/>
                <w:szCs w:val="18"/>
              </w:rPr>
              <w:t> </w:t>
            </w:r>
            <w:r>
              <w:rPr>
                <w:rFonts w:ascii="宋体" w:hAnsi="宋体" w:cs="宋体" w:eastAsia="宋体" w:hint="default"/>
                <w:sz w:val="18"/>
                <w:szCs w:val="18"/>
              </w:rPr>
              <w:t>惠州市皖桂贸易有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限公司认为深圳市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天极光电实业股份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有限公司的发起人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电子科技大学系虚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假出资，而本公司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及其他发起人存在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出资不实的情况，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向深圳福田法院起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诉包含本公司的七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名被告，要求被告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连带偿还借款本金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万元及利息罚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33" w:right="0"/>
              <w:jc w:val="left"/>
              <w:rPr>
                <w:rFonts w:ascii="Times New Roman" w:hAnsi="Times New Roman" w:cs="Times New Roman" w:eastAsia="Times New Roman" w:hint="default"/>
                <w:sz w:val="18"/>
                <w:szCs w:val="18"/>
              </w:rPr>
            </w:pPr>
            <w:r>
              <w:rPr>
                <w:rFonts w:ascii="Times New Roman"/>
                <w:sz w:val="18"/>
              </w:rPr>
              <w:t>1,400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3"/>
              <w:ind w:left="24" w:right="17"/>
              <w:jc w:val="left"/>
              <w:rPr>
                <w:rFonts w:ascii="宋体" w:hAnsi="宋体" w:cs="宋体" w:eastAsia="宋体" w:hint="default"/>
                <w:sz w:val="18"/>
                <w:szCs w:val="18"/>
              </w:rPr>
            </w:pPr>
            <w:r>
              <w:rPr>
                <w:rFonts w:ascii="宋体" w:hAnsi="宋体" w:cs="宋体" w:eastAsia="宋体" w:hint="default"/>
                <w:sz w:val="18"/>
                <w:szCs w:val="18"/>
              </w:rPr>
              <w:t>已终审判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决（驳回原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告诉讼请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求）</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6"/>
              <w:jc w:val="left"/>
              <w:rPr>
                <w:rFonts w:ascii="宋体" w:hAnsi="宋体" w:cs="宋体" w:eastAsia="宋体" w:hint="default"/>
                <w:sz w:val="18"/>
                <w:szCs w:val="18"/>
              </w:rPr>
            </w:pPr>
            <w:r>
              <w:rPr>
                <w:rFonts w:ascii="宋体" w:hAnsi="宋体" w:cs="宋体" w:eastAsia="宋体" w:hint="default"/>
                <w:spacing w:val="-3"/>
                <w:sz w:val="18"/>
                <w:szCs w:val="18"/>
              </w:rPr>
              <w:t>根据深圳中级法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院（</w:t>
            </w:r>
            <w:r>
              <w:rPr>
                <w:rFonts w:ascii="Times New Roman" w:hAnsi="Times New Roman" w:cs="Times New Roman" w:eastAsia="Times New Roman" w:hint="default"/>
                <w:sz w:val="18"/>
                <w:szCs w:val="18"/>
              </w:rPr>
              <w:t>2014</w:t>
            </w:r>
            <w:r>
              <w:rPr>
                <w:rFonts w:ascii="宋体" w:hAnsi="宋体" w:cs="宋体" w:eastAsia="宋体" w:hint="default"/>
                <w:sz w:val="18"/>
                <w:szCs w:val="18"/>
              </w:rPr>
              <w:t>）深中</w:t>
            </w:r>
            <w:r>
              <w:rPr>
                <w:rFonts w:ascii="宋体" w:hAnsi="宋体" w:cs="宋体" w:eastAsia="宋体" w:hint="default"/>
                <w:w w:val="101"/>
                <w:sz w:val="18"/>
                <w:szCs w:val="18"/>
              </w:rPr>
              <w:t> </w:t>
            </w:r>
            <w:r>
              <w:rPr>
                <w:rFonts w:ascii="宋体" w:hAnsi="宋体" w:cs="宋体" w:eastAsia="宋体" w:hint="default"/>
                <w:sz w:val="18"/>
                <w:szCs w:val="18"/>
              </w:rPr>
              <w:t>法商终字第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2442</w:t>
            </w:r>
            <w:r>
              <w:rPr>
                <w:rFonts w:ascii="Times New Roman" w:hAnsi="Times New Roman" w:cs="Times New Roman" w:eastAsia="Times New Roman" w:hint="default"/>
                <w:w w:val="101"/>
                <w:sz w:val="18"/>
                <w:szCs w:val="18"/>
              </w:rPr>
              <w:t> </w:t>
            </w:r>
            <w:r>
              <w:rPr>
                <w:rFonts w:ascii="宋体" w:hAnsi="宋体" w:cs="宋体" w:eastAsia="宋体" w:hint="default"/>
                <w:spacing w:val="-7"/>
                <w:sz w:val="18"/>
                <w:szCs w:val="18"/>
              </w:rPr>
              <w:t>号《民事判决书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本公司仅需承担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二审案件受理费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52,900 </w:t>
            </w:r>
            <w:r>
              <w:rPr>
                <w:rFonts w:ascii="宋体" w:hAnsi="宋体" w:cs="宋体" w:eastAsia="宋体" w:hint="default"/>
                <w:spacing w:val="-3"/>
                <w:sz w:val="18"/>
                <w:szCs w:val="18"/>
              </w:rPr>
              <w:t>元。本次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民事诉讼案件判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决结果不会对公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司本期经营成果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产生重大影响。</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已执行</w:t>
            </w:r>
          </w:p>
          <w:p>
            <w:pPr>
              <w:pStyle w:val="TableParagraph"/>
              <w:spacing w:line="4763" w:lineRule="exact"/>
              <w:ind w:right="-50"/>
              <w:jc w:val="left"/>
              <w:rPr>
                <w:rFonts w:ascii="宋体" w:hAnsi="宋体" w:cs="宋体" w:eastAsia="宋体" w:hint="default"/>
                <w:sz w:val="20"/>
                <w:szCs w:val="20"/>
              </w:rPr>
            </w:pPr>
            <w:r>
              <w:rPr>
                <w:rFonts w:ascii="宋体" w:hAnsi="宋体" w:cs="宋体" w:eastAsia="宋体" w:hint="default"/>
                <w:position w:val="-94"/>
                <w:sz w:val="20"/>
                <w:szCs w:val="20"/>
              </w:rPr>
              <w:pict>
                <v:group style="width:61.95pt;height:238.15pt;mso-position-horizontal-relative:char;mso-position-vertical-relative:line" coordorigin="0,0" coordsize="1239,4763">
                  <v:group style="position:absolute;left:0;top:0;width:1239;height:4763" coordorigin="0,0" coordsize="1239,4763">
                    <v:shape style="position:absolute;left:0;top:0;width:1239;height:4763" coordorigin="0,0" coordsize="1239,4763" path="m0,4763l1239,4763,1239,0,0,0,0,4763xe" filled="true" fillcolor="#ffffff" stroked="false">
                      <v:path arrowok="t"/>
                      <v:fill type="solid"/>
                    </v:shape>
                  </v:group>
                  <v:group style="position:absolute;left:24;top:2185;width:1191;height:394" coordorigin="24,2185" coordsize="1191,394">
                    <v:shape style="position:absolute;left:24;top:2185;width:1191;height:394" coordorigin="24,2185" coordsize="1191,394" path="m24,2579l1215,2579,1215,2185,24,2185,24,2579xe" filled="true" fillcolor="#ffffff" stroked="false">
                      <v:path arrowok="t"/>
                      <v:fill type="solid"/>
                    </v:shape>
                  </v:group>
                </v:group>
              </w:pict>
            </w:r>
            <w:r>
              <w:rPr>
                <w:rFonts w:ascii="宋体" w:hAnsi="宋体" w:cs="宋体" w:eastAsia="宋体" w:hint="default"/>
                <w:position w:val="-94"/>
                <w:sz w:val="20"/>
                <w:szCs w:val="20"/>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r>
        <w:rPr/>
        <w:pict>
          <v:shape style="position:absolute;margin-left:360.847687pt;margin-top:-250.22438pt;width:67.75pt;height:238.15pt;mso-position-horizontal-relative:page;mso-position-vertical-relative:paragraph;z-index:-7393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t>十三、处罚及整改情况</w:t>
      </w:r>
      <w:r>
        <w:rPr>
          <w:b w:val="0"/>
          <w:bCs w:val="0"/>
        </w:rPr>
      </w:r>
    </w:p>
    <w:p>
      <w:pPr>
        <w:spacing w:line="240" w:lineRule="auto" w:before="3"/>
        <w:rPr>
          <w:rFonts w:ascii="宋体" w:hAnsi="宋体" w:cs="宋体" w:eastAsia="宋体" w:hint="default"/>
          <w:b/>
          <w:bCs/>
          <w:sz w:val="27"/>
          <w:szCs w:val="27"/>
        </w:rPr>
      </w:pPr>
    </w:p>
    <w:p>
      <w:pPr>
        <w:spacing w:line="343" w:lineRule="auto" w:before="0"/>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公司报告期不存在处罚及整改情况。</w:t>
      </w:r>
    </w:p>
    <w:p>
      <w:pPr>
        <w:spacing w:after="0" w:line="343"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spacing w:line="338" w:lineRule="auto" w:before="0"/>
        <w:ind w:left="153" w:right="3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公司报告期无股权激励计划、员工持股计划或其他员工激励措施及其实施情况。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t>十六、重大关联交易</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0"/>
        <w:rPr>
          <w:rFonts w:ascii="宋体" w:hAnsi="宋体" w:cs="宋体" w:eastAsia="宋体" w:hint="default"/>
          <w:b/>
          <w:bCs/>
          <w:sz w:val="26"/>
          <w:szCs w:val="26"/>
        </w:rPr>
      </w:pPr>
    </w:p>
    <w:p>
      <w:pPr>
        <w:spacing w:line="343" w:lineRule="auto" w:before="0"/>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公司报告期未发生与日常经营相关的关联交易。</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公司报告期未发生共同对外投资的关联交易。</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公司报告期不存在关联债权债务往来。</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公司报告期无其他重大关联交易。</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十七、重大合同及其履行情况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公司报告期不存在托管情况。</w:t>
      </w:r>
    </w:p>
    <w:p>
      <w:pPr>
        <w:spacing w:after="0" w:line="338"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公司报告期不存在承包情况。</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公司报告期不存在租赁情况。</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21"/>
        <w:gridCol w:w="923"/>
        <w:gridCol w:w="1302"/>
        <w:gridCol w:w="1059"/>
        <w:gridCol w:w="1044"/>
        <w:gridCol w:w="1046"/>
        <w:gridCol w:w="790"/>
        <w:gridCol w:w="781"/>
      </w:tblGrid>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0" w:right="83"/>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33" w:right="-4"/>
              <w:jc w:val="left"/>
              <w:rPr>
                <w:rFonts w:ascii="宋体" w:hAnsi="宋体" w:cs="宋体" w:eastAsia="宋体" w:hint="default"/>
                <w:sz w:val="18"/>
                <w:szCs w:val="18"/>
              </w:rPr>
            </w:pPr>
            <w:r>
              <w:rPr>
                <w:rFonts w:ascii="宋体" w:hAnsi="宋体" w:cs="宋体" w:eastAsia="宋体" w:hint="default"/>
                <w:spacing w:val="-3"/>
                <w:sz w:val="18"/>
                <w:szCs w:val="18"/>
              </w:rPr>
              <w:t>（协议签署日）</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0"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7" w:right="19"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公司与子公司之间担保情况</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5" w:right="88"/>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81"/>
              <w:ind w:left="33" w:right="-4"/>
              <w:jc w:val="left"/>
              <w:rPr>
                <w:rFonts w:ascii="宋体" w:hAnsi="宋体" w:cs="宋体" w:eastAsia="宋体" w:hint="default"/>
                <w:sz w:val="18"/>
                <w:szCs w:val="18"/>
              </w:rPr>
            </w:pPr>
            <w:r>
              <w:rPr>
                <w:rFonts w:ascii="宋体" w:hAnsi="宋体" w:cs="宋体" w:eastAsia="宋体" w:hint="default"/>
                <w:spacing w:val="-3"/>
                <w:sz w:val="18"/>
                <w:szCs w:val="18"/>
              </w:rPr>
              <w:t>（协议签署日）</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0"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1"/>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07" w:right="23"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惠州市华宝饲料有</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2,000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1,500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0"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21"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69"/>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203.35</w:t>
            </w:r>
          </w:p>
        </w:tc>
      </w:tr>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93"/>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431" w:right="7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1"/>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02" w:right="28"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2" w:right="22"/>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8"/>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203.35</w:t>
            </w:r>
          </w:p>
        </w:tc>
      </w:tr>
      <w:tr>
        <w:trPr>
          <w:trHeight w:val="409"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1.09%</w:t>
            </w:r>
          </w:p>
        </w:tc>
      </w:tr>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公司报告期无违规对外担保情况。</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830"/>
        <w:gridCol w:w="840"/>
        <w:gridCol w:w="874"/>
        <w:gridCol w:w="806"/>
        <w:gridCol w:w="802"/>
        <w:gridCol w:w="802"/>
        <w:gridCol w:w="806"/>
        <w:gridCol w:w="802"/>
        <w:gridCol w:w="802"/>
        <w:gridCol w:w="806"/>
        <w:gridCol w:w="601"/>
      </w:tblGrid>
      <w:tr>
        <w:trPr>
          <w:trHeight w:val="1340"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07" w:right="32" w:hanging="274"/>
              <w:jc w:val="left"/>
              <w:rPr>
                <w:rFonts w:ascii="宋体" w:hAnsi="宋体" w:cs="宋体" w:eastAsia="宋体" w:hint="default"/>
                <w:sz w:val="18"/>
                <w:szCs w:val="18"/>
              </w:rPr>
            </w:pPr>
            <w:r>
              <w:rPr>
                <w:rFonts w:ascii="宋体" w:hAnsi="宋体" w:cs="宋体" w:eastAsia="宋体" w:hint="default"/>
                <w:sz w:val="18"/>
                <w:szCs w:val="18"/>
              </w:rPr>
              <w:t>受托人名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0" w:right="41" w:hanging="178"/>
              <w:jc w:val="left"/>
              <w:rPr>
                <w:rFonts w:ascii="宋体" w:hAnsi="宋体" w:cs="宋体" w:eastAsia="宋体" w:hint="default"/>
                <w:sz w:val="18"/>
                <w:szCs w:val="18"/>
              </w:rPr>
            </w:pPr>
            <w:r>
              <w:rPr>
                <w:rFonts w:ascii="宋体" w:hAnsi="宋体" w:cs="宋体" w:eastAsia="宋体" w:hint="default"/>
                <w:sz w:val="18"/>
                <w:szCs w:val="18"/>
              </w:rPr>
              <w:t>是否关联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54" w:right="65" w:hanging="183"/>
              <w:jc w:val="left"/>
              <w:rPr>
                <w:rFonts w:ascii="宋体" w:hAnsi="宋体" w:cs="宋体" w:eastAsia="宋体" w:hint="default"/>
                <w:sz w:val="18"/>
                <w:szCs w:val="18"/>
              </w:rPr>
            </w:pPr>
            <w:r>
              <w:rPr>
                <w:rFonts w:ascii="宋体" w:hAnsi="宋体" w:cs="宋体" w:eastAsia="宋体" w:hint="default"/>
                <w:sz w:val="18"/>
                <w:szCs w:val="18"/>
              </w:rPr>
              <w:t>委托理财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16" w:right="31" w:hanging="183"/>
              <w:jc w:val="left"/>
              <w:rPr>
                <w:rFonts w:ascii="宋体" w:hAnsi="宋体" w:cs="宋体" w:eastAsia="宋体" w:hint="default"/>
                <w:sz w:val="18"/>
                <w:szCs w:val="18"/>
              </w:rPr>
            </w:pPr>
            <w:r>
              <w:rPr>
                <w:rFonts w:ascii="宋体" w:hAnsi="宋体" w:cs="宋体" w:eastAsia="宋体" w:hint="default"/>
                <w:sz w:val="18"/>
                <w:szCs w:val="18"/>
              </w:rPr>
              <w:t>报酬确定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8" w:right="31"/>
              <w:jc w:val="center"/>
              <w:rPr>
                <w:rFonts w:ascii="宋体" w:hAnsi="宋体" w:cs="宋体" w:eastAsia="宋体" w:hint="default"/>
                <w:sz w:val="18"/>
                <w:szCs w:val="18"/>
              </w:rPr>
            </w:pPr>
            <w:r>
              <w:rPr>
                <w:rFonts w:ascii="宋体" w:hAnsi="宋体" w:cs="宋体" w:eastAsia="宋体" w:hint="default"/>
                <w:spacing w:val="-2"/>
                <w:sz w:val="18"/>
                <w:szCs w:val="18"/>
              </w:rPr>
              <w:t>本期实际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收回本金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 w:right="27"/>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准备金额</w:t>
            </w:r>
          </w:p>
          <w:p>
            <w:pPr>
              <w:pStyle w:val="TableParagraph"/>
              <w:spacing w:line="240" w:lineRule="auto" w:before="22"/>
              <w:ind w:left="3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pacing w:val="-2"/>
                <w:sz w:val="18"/>
                <w:szCs w:val="18"/>
              </w:rPr>
              <w:t>预计收益</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8" w:right="31"/>
              <w:jc w:val="center"/>
              <w:rPr>
                <w:rFonts w:ascii="宋体" w:hAnsi="宋体" w:cs="宋体" w:eastAsia="宋体" w:hint="default"/>
                <w:sz w:val="18"/>
                <w:szCs w:val="18"/>
              </w:rPr>
            </w:pPr>
            <w:r>
              <w:rPr>
                <w:rFonts w:ascii="宋体" w:hAnsi="宋体" w:cs="宋体" w:eastAsia="宋体" w:hint="default"/>
                <w:spacing w:val="-2"/>
                <w:sz w:val="18"/>
                <w:szCs w:val="18"/>
              </w:rPr>
              <w:t>报告期实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际损益金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2"/>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际收回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r>
      <w:tr>
        <w:trPr>
          <w:trHeight w:val="102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长安财富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895</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85.03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85.04</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民生加银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按会计年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度确认利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86.07</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41"/>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134.56</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民生加银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41"/>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85.23</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1"/>
              <w:jc w:val="both"/>
              <w:rPr>
                <w:rFonts w:ascii="宋体" w:hAnsi="宋体" w:cs="宋体" w:eastAsia="宋体" w:hint="default"/>
                <w:sz w:val="18"/>
                <w:szCs w:val="18"/>
              </w:rPr>
            </w:pPr>
            <w:r>
              <w:rPr>
                <w:rFonts w:ascii="宋体" w:hAnsi="宋体" w:cs="宋体" w:eastAsia="宋体" w:hint="default"/>
                <w:sz w:val="18"/>
                <w:szCs w:val="18"/>
              </w:rPr>
              <w:t>中诚信托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1"/>
              <w:jc w:val="both"/>
              <w:rPr>
                <w:rFonts w:ascii="宋体" w:hAnsi="宋体" w:cs="宋体" w:eastAsia="宋体" w:hint="default"/>
                <w:sz w:val="18"/>
                <w:szCs w:val="18"/>
              </w:rPr>
            </w:pPr>
            <w:r>
              <w:rPr>
                <w:rFonts w:ascii="宋体" w:hAnsi="宋体" w:cs="宋体" w:eastAsia="宋体" w:hint="default"/>
                <w:sz w:val="18"/>
                <w:szCs w:val="18"/>
              </w:rPr>
              <w:t>按会计年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度确认利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59.22</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上海长江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财富资产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41"/>
              <w:jc w:val="both"/>
              <w:rPr>
                <w:rFonts w:ascii="宋体" w:hAnsi="宋体" w:cs="宋体" w:eastAsia="宋体" w:hint="default"/>
                <w:sz w:val="18"/>
                <w:szCs w:val="18"/>
              </w:rPr>
            </w:pPr>
            <w:r>
              <w:rPr>
                <w:rFonts w:ascii="宋体" w:hAnsi="宋体" w:cs="宋体" w:eastAsia="宋体" w:hint="default"/>
                <w:sz w:val="18"/>
                <w:szCs w:val="18"/>
              </w:rPr>
              <w:t>按会计年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度确认利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373.5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144.33</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中诚信托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按会计年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度确认利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94.83</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41"/>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103.72</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中航信托</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非保本浮</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到期收回</w:t>
            </w:r>
          </w:p>
        </w:tc>
        <w:tc>
          <w:tcPr>
            <w:tcW w:w="80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59.52</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2"/>
        <w:gridCol w:w="830"/>
        <w:gridCol w:w="840"/>
        <w:gridCol w:w="874"/>
        <w:gridCol w:w="806"/>
        <w:gridCol w:w="802"/>
        <w:gridCol w:w="802"/>
        <w:gridCol w:w="806"/>
        <w:gridCol w:w="802"/>
        <w:gridCol w:w="802"/>
        <w:gridCol w:w="806"/>
        <w:gridCol w:w="601"/>
      </w:tblGrid>
      <w:tr>
        <w:trPr>
          <w:trHeight w:val="67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41"/>
              <w:jc w:val="left"/>
              <w:rPr>
                <w:rFonts w:ascii="宋体" w:hAnsi="宋体" w:cs="宋体" w:eastAsia="宋体" w:hint="default"/>
                <w:sz w:val="18"/>
                <w:szCs w:val="18"/>
              </w:rPr>
            </w:pP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79"/>
              <w:jc w:val="left"/>
              <w:rPr>
                <w:rFonts w:ascii="宋体" w:hAnsi="宋体" w:cs="宋体" w:eastAsia="宋体" w:hint="default"/>
                <w:sz w:val="18"/>
                <w:szCs w:val="18"/>
              </w:rPr>
            </w:pP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01"/>
              <w:jc w:val="right"/>
              <w:rPr>
                <w:rFonts w:ascii="宋体" w:hAnsi="宋体" w:cs="宋体" w:eastAsia="宋体" w:hint="default"/>
                <w:sz w:val="18"/>
                <w:szCs w:val="18"/>
              </w:rPr>
            </w:pPr>
            <w:r>
              <w:rPr>
                <w:rFonts w:ascii="宋体" w:hAnsi="宋体" w:cs="宋体" w:eastAsia="宋体" w:hint="default"/>
                <w:sz w:val="18"/>
                <w:szCs w:val="18"/>
              </w:rPr>
              <w:t>本息</w:t>
            </w:r>
          </w:p>
        </w:tc>
        <w:tc>
          <w:tcPr>
            <w:tcW w:w="80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九泰基金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101</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31.53</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中信信托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80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368.53</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长安国际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41"/>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184.76</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33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上海长江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财富资产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4" w:right="41"/>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80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540</w:t>
            </w:r>
          </w:p>
        </w:tc>
        <w:tc>
          <w:tcPr>
            <w:tcW w:w="806"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9"/>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06</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41"/>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80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62.76</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3" w:hRule="exact"/>
        </w:trPr>
        <w:tc>
          <w:tcPr>
            <w:tcW w:w="24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25,796</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13,646</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3,291.33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1,500.1</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24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自有闲置资金</w:t>
            </w:r>
          </w:p>
        </w:tc>
      </w:tr>
      <w:tr>
        <w:trPr>
          <w:trHeight w:val="711" w:hRule="exact"/>
        </w:trPr>
        <w:tc>
          <w:tcPr>
            <w:tcW w:w="24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94"/>
              <w:jc w:val="left"/>
              <w:rPr>
                <w:rFonts w:ascii="宋体" w:hAnsi="宋体" w:cs="宋体" w:eastAsia="宋体" w:hint="default"/>
                <w:sz w:val="18"/>
                <w:szCs w:val="18"/>
              </w:rPr>
            </w:pPr>
            <w:r>
              <w:rPr>
                <w:rFonts w:ascii="宋体" w:hAnsi="宋体" w:cs="宋体" w:eastAsia="宋体" w:hint="default"/>
                <w:spacing w:val="-3"/>
                <w:sz w:val="18"/>
                <w:szCs w:val="18"/>
              </w:rPr>
              <w:t>逾期未收回的本金和收益累计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金额</w:t>
            </w:r>
          </w:p>
        </w:tc>
        <w:tc>
          <w:tcPr>
            <w:tcW w:w="71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2473" w:type="dxa"/>
            <w:gridSpan w:val="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涉诉情况（如适用）</w:t>
            </w:r>
          </w:p>
        </w:tc>
        <w:tc>
          <w:tcPr>
            <w:tcW w:w="7102" w:type="dxa"/>
            <w:gridSpan w:val="9"/>
            <w:tcBorders>
              <w:top w:val="single" w:sz="4" w:space="0" w:color="000000"/>
              <w:left w:val="single" w:sz="4" w:space="0" w:color="000000"/>
              <w:bottom w:val="single" w:sz="4" w:space="0" w:color="FFFFFF"/>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2473"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01"/>
              <w:ind w:left="24" w:right="9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委托理财审批董事会公告披露</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日期（如有</w:t>
            </w:r>
            <w:r>
              <w:rPr>
                <w:rFonts w:ascii="Times New Roman" w:hAnsi="Times New Roman" w:cs="Times New Roman" w:eastAsia="Times New Roman" w:hint="default"/>
                <w:sz w:val="18"/>
                <w:szCs w:val="18"/>
              </w:rPr>
              <w:t>)</w:t>
            </w:r>
          </w:p>
        </w:tc>
        <w:tc>
          <w:tcPr>
            <w:tcW w:w="7102" w:type="dxa"/>
            <w:gridSpan w:val="9"/>
            <w:tcBorders>
              <w:top w:val="single" w:sz="4" w:space="0" w:color="FFFFFF"/>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473" w:type="dxa"/>
            <w:gridSpan w:val="3"/>
            <w:vMerge/>
            <w:tcBorders>
              <w:left w:val="single" w:sz="4" w:space="0" w:color="000000"/>
              <w:bottom w:val="single" w:sz="4" w:space="0" w:color="FFFFFF"/>
              <w:right w:val="single" w:sz="4" w:space="0" w:color="000000"/>
            </w:tcBorders>
            <w:shd w:val="clear" w:color="auto" w:fill="D2D2D2"/>
          </w:tcPr>
          <w:p>
            <w:pPr/>
          </w:p>
        </w:tc>
        <w:tc>
          <w:tcPr>
            <w:tcW w:w="7102" w:type="dxa"/>
            <w:gridSpan w:val="9"/>
            <w:tcBorders>
              <w:top w:val="single" w:sz="4" w:space="0" w:color="000000"/>
              <w:left w:val="single" w:sz="4" w:space="0" w:color="000000"/>
              <w:bottom w:val="single" w:sz="4" w:space="0" w:color="FFFFFF"/>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99" w:hRule="exact"/>
        </w:trPr>
        <w:tc>
          <w:tcPr>
            <w:tcW w:w="2473"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4" w:right="9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委托理财审批股东会公告披露</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日期（如有</w:t>
            </w:r>
            <w:r>
              <w:rPr>
                <w:rFonts w:ascii="Times New Roman" w:hAnsi="Times New Roman" w:cs="Times New Roman" w:eastAsia="Times New Roman" w:hint="default"/>
                <w:sz w:val="18"/>
                <w:szCs w:val="18"/>
              </w:rPr>
              <w:t>)</w:t>
            </w:r>
          </w:p>
        </w:tc>
        <w:tc>
          <w:tcPr>
            <w:tcW w:w="7102" w:type="dxa"/>
            <w:gridSpan w:val="9"/>
            <w:tcBorders>
              <w:top w:val="single" w:sz="4" w:space="0" w:color="FFFFFF"/>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473" w:type="dxa"/>
            <w:gridSpan w:val="3"/>
            <w:vMerge/>
            <w:tcBorders>
              <w:left w:val="single" w:sz="4" w:space="0" w:color="000000"/>
              <w:bottom w:val="single" w:sz="4" w:space="0" w:color="000000"/>
              <w:right w:val="single" w:sz="4" w:space="0" w:color="000000"/>
            </w:tcBorders>
            <w:shd w:val="clear" w:color="auto" w:fill="D2D2D2"/>
          </w:tcPr>
          <w:p>
            <w:pPr/>
          </w:p>
        </w:tc>
        <w:tc>
          <w:tcPr>
            <w:tcW w:w="71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4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未来是否还有委托理财计划</w:t>
            </w:r>
          </w:p>
        </w:tc>
        <w:tc>
          <w:tcPr>
            <w:tcW w:w="71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43" w:lineRule="auto" w:before="0"/>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公司报告期不存在委托贷款。</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公司报告期不存在其他重大合同。</w:t>
      </w:r>
    </w:p>
    <w:p>
      <w:pPr>
        <w:spacing w:after="0" w:line="338"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4"/>
          <w:szCs w:val="14"/>
        </w:rPr>
      </w:pPr>
    </w:p>
    <w:p>
      <w:pPr>
        <w:spacing w:line="364" w:lineRule="auto" w:before="0"/>
        <w:ind w:left="633" w:right="0" w:firstLine="0"/>
        <w:jc w:val="left"/>
        <w:rPr>
          <w:rFonts w:ascii="宋体" w:hAnsi="宋体" w:cs="宋体" w:eastAsia="宋体" w:hint="default"/>
          <w:sz w:val="21"/>
          <w:szCs w:val="21"/>
        </w:rPr>
      </w:pPr>
      <w:r>
        <w:rPr>
          <w:rFonts w:ascii="宋体" w:hAnsi="宋体" w:cs="宋体" w:eastAsia="宋体" w:hint="default"/>
          <w:b/>
          <w:bCs/>
          <w:sz w:val="21"/>
          <w:szCs w:val="21"/>
        </w:rPr>
        <w:t>一、并购神州数码</w:t>
      </w:r>
      <w:r>
        <w:rPr>
          <w:rFonts w:ascii="Times New Roman" w:hAnsi="Times New Roman" w:cs="Times New Roman" w:eastAsia="Times New Roman" w:hint="default"/>
          <w:b/>
          <w:bCs/>
          <w:sz w:val="21"/>
          <w:szCs w:val="21"/>
        </w:rPr>
        <w:t>IT</w:t>
      </w:r>
      <w:r>
        <w:rPr>
          <w:rFonts w:ascii="宋体" w:hAnsi="宋体" w:cs="宋体" w:eastAsia="宋体" w:hint="default"/>
          <w:b/>
          <w:bCs/>
          <w:sz w:val="21"/>
          <w:szCs w:val="21"/>
        </w:rPr>
        <w:t>分销业务公司</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报告期内公司开展重大资产购买（构成借壳）暨非公开发行股票工作。公司拟收购神州数码的</w:t>
      </w:r>
      <w:r>
        <w:rPr>
          <w:rFonts w:ascii="Times New Roman" w:hAnsi="Times New Roman" w:cs="Times New Roman" w:eastAsia="Times New Roman" w:hint="default"/>
          <w:spacing w:val="-3"/>
          <w:sz w:val="21"/>
          <w:szCs w:val="21"/>
        </w:rPr>
        <w:t>IT</w:t>
      </w:r>
      <w:r>
        <w:rPr>
          <w:rFonts w:ascii="宋体" w:hAnsi="宋体" w:cs="宋体" w:eastAsia="宋体" w:hint="default"/>
          <w:spacing w:val="-3"/>
          <w:sz w:val="21"/>
          <w:szCs w:val="21"/>
        </w:rPr>
        <w:t>分销</w:t>
      </w:r>
    </w:p>
    <w:p>
      <w:pPr>
        <w:pStyle w:val="BodyText"/>
        <w:spacing w:line="240" w:lineRule="auto" w:before="25"/>
        <w:ind w:right="0"/>
        <w:jc w:val="left"/>
      </w:pPr>
      <w:r>
        <w:rPr>
          <w:spacing w:val="11"/>
        </w:rPr>
        <w:t>业务公司。本次交易完成后，公司控股股东和实际控制人变更为郭为先生。公司已经在巨潮资讯网</w:t>
      </w:r>
    </w:p>
    <w:p>
      <w:pPr>
        <w:pStyle w:val="BodyText"/>
        <w:spacing w:line="240" w:lineRule="auto" w:before="167"/>
        <w:ind w:right="0"/>
        <w:jc w:val="left"/>
      </w:pPr>
      <w:r>
        <w:rPr/>
        <w:t>（</w:t>
      </w:r>
      <w:hyperlink r:id="rId12">
        <w:r>
          <w:rPr>
            <w:rFonts w:ascii="Times New Roman" w:hAnsi="Times New Roman" w:cs="Times New Roman" w:eastAsia="Times New Roman" w:hint="default"/>
          </w:rPr>
          <w:t>http://www.cninfo.com.cn</w:t>
        </w:r>
      </w:hyperlink>
      <w:r>
        <w:rPr/>
        <w:t>）详细披露了该重大资产重组的进展情况，具体查询索引见下表：</w:t>
      </w:r>
    </w:p>
    <w:p>
      <w:pPr>
        <w:spacing w:line="240" w:lineRule="auto" w:before="7"/>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5071"/>
        <w:gridCol w:w="2411"/>
        <w:gridCol w:w="1560"/>
      </w:tblGrid>
      <w:tr>
        <w:trPr>
          <w:trHeight w:val="475"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 w:right="0"/>
              <w:jc w:val="center"/>
              <w:rPr>
                <w:rFonts w:ascii="宋体" w:hAnsi="宋体" w:cs="宋体" w:eastAsia="宋体" w:hint="default"/>
                <w:sz w:val="21"/>
                <w:szCs w:val="21"/>
              </w:rPr>
            </w:pPr>
            <w:r>
              <w:rPr>
                <w:rFonts w:ascii="宋体" w:hAnsi="宋体" w:cs="宋体" w:eastAsia="宋体" w:hint="default"/>
                <w:sz w:val="21"/>
                <w:szCs w:val="21"/>
              </w:rPr>
              <w:t>进展情况</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782" w:right="0"/>
              <w:jc w:val="left"/>
              <w:rPr>
                <w:rFonts w:ascii="宋体" w:hAnsi="宋体" w:cs="宋体" w:eastAsia="宋体" w:hint="default"/>
                <w:sz w:val="21"/>
                <w:szCs w:val="21"/>
              </w:rPr>
            </w:pPr>
            <w:r>
              <w:rPr>
                <w:rFonts w:ascii="宋体" w:hAnsi="宋体" w:cs="宋体" w:eastAsia="宋体" w:hint="default"/>
                <w:sz w:val="21"/>
                <w:szCs w:val="21"/>
              </w:rPr>
              <w:t>查询索引</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355" w:right="0"/>
              <w:jc w:val="left"/>
              <w:rPr>
                <w:rFonts w:ascii="宋体" w:hAnsi="宋体" w:cs="宋体" w:eastAsia="宋体" w:hint="default"/>
                <w:sz w:val="21"/>
                <w:szCs w:val="21"/>
              </w:rPr>
            </w:pPr>
            <w:r>
              <w:rPr>
                <w:rFonts w:ascii="宋体" w:hAnsi="宋体" w:cs="宋体" w:eastAsia="宋体" w:hint="default"/>
                <w:sz w:val="21"/>
                <w:szCs w:val="21"/>
              </w:rPr>
              <w:t>披露日期</w:t>
            </w:r>
          </w:p>
        </w:tc>
      </w:tr>
      <w:tr>
        <w:trPr>
          <w:trHeight w:val="475"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 w:right="0"/>
              <w:jc w:val="left"/>
              <w:rPr>
                <w:rFonts w:ascii="宋体" w:hAnsi="宋体" w:cs="宋体" w:eastAsia="宋体" w:hint="default"/>
                <w:sz w:val="21"/>
                <w:szCs w:val="21"/>
              </w:rPr>
            </w:pPr>
            <w:r>
              <w:rPr>
                <w:rFonts w:ascii="宋体" w:hAnsi="宋体" w:cs="宋体" w:eastAsia="宋体" w:hint="default"/>
                <w:sz w:val="21"/>
                <w:szCs w:val="21"/>
              </w:rPr>
              <w:t>重大事项停牌公告</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2015-02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4" w:right="0"/>
              <w:jc w:val="left"/>
              <w:rPr>
                <w:rFonts w:ascii="Times New Roman" w:hAnsi="Times New Roman" w:cs="Times New Roman" w:eastAsia="Times New Roman" w:hint="default"/>
                <w:sz w:val="21"/>
                <w:szCs w:val="21"/>
              </w:rPr>
            </w:pPr>
            <w:r>
              <w:rPr>
                <w:rFonts w:ascii="Times New Roman"/>
                <w:sz w:val="21"/>
              </w:rPr>
              <w:t>2015-03-24</w:t>
            </w:r>
          </w:p>
        </w:tc>
      </w:tr>
      <w:tr>
        <w:trPr>
          <w:trHeight w:val="475"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 w:right="0"/>
              <w:jc w:val="left"/>
              <w:rPr>
                <w:rFonts w:ascii="宋体" w:hAnsi="宋体" w:cs="宋体" w:eastAsia="宋体" w:hint="default"/>
                <w:sz w:val="21"/>
                <w:szCs w:val="21"/>
              </w:rPr>
            </w:pPr>
            <w:r>
              <w:rPr>
                <w:rFonts w:ascii="宋体" w:hAnsi="宋体" w:cs="宋体" w:eastAsia="宋体" w:hint="default"/>
                <w:sz w:val="21"/>
                <w:szCs w:val="21"/>
              </w:rPr>
              <w:t>八届二次董事会决议公告</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2015-37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4" w:right="0"/>
              <w:jc w:val="left"/>
              <w:rPr>
                <w:rFonts w:ascii="Times New Roman" w:hAnsi="Times New Roman" w:cs="Times New Roman" w:eastAsia="Times New Roman" w:hint="default"/>
                <w:sz w:val="21"/>
                <w:szCs w:val="21"/>
              </w:rPr>
            </w:pPr>
            <w:r>
              <w:rPr>
                <w:rFonts w:ascii="Times New Roman"/>
                <w:sz w:val="21"/>
              </w:rPr>
              <w:t>2015-08-08</w:t>
            </w:r>
          </w:p>
        </w:tc>
      </w:tr>
      <w:tr>
        <w:trPr>
          <w:trHeight w:val="913"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442" w:lineRule="exact" w:before="7"/>
              <w:ind w:left="4" w:right="9"/>
              <w:jc w:val="left"/>
              <w:rPr>
                <w:rFonts w:ascii="宋体" w:hAnsi="宋体" w:cs="宋体" w:eastAsia="宋体" w:hint="default"/>
                <w:sz w:val="21"/>
                <w:szCs w:val="21"/>
              </w:rPr>
            </w:pPr>
            <w:r>
              <w:rPr>
                <w:rFonts w:ascii="宋体" w:hAnsi="宋体" w:cs="宋体" w:eastAsia="宋体" w:hint="default"/>
                <w:spacing w:val="-2"/>
                <w:sz w:val="21"/>
                <w:szCs w:val="21"/>
              </w:rPr>
              <w:t>向特定对象非公开发行股份募集资金购买资产暨关联交</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易报告书</w:t>
            </w:r>
          </w:p>
        </w:tc>
        <w:tc>
          <w:tcPr>
            <w:tcW w:w="241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4" w:right="0"/>
              <w:jc w:val="left"/>
              <w:rPr>
                <w:rFonts w:ascii="Times New Roman" w:hAnsi="Times New Roman" w:cs="Times New Roman" w:eastAsia="Times New Roman" w:hint="default"/>
                <w:sz w:val="21"/>
                <w:szCs w:val="21"/>
              </w:rPr>
            </w:pPr>
            <w:r>
              <w:rPr>
                <w:rFonts w:ascii="Times New Roman"/>
                <w:sz w:val="21"/>
              </w:rPr>
              <w:t>2015-08-08</w:t>
            </w:r>
          </w:p>
        </w:tc>
      </w:tr>
      <w:tr>
        <w:trPr>
          <w:trHeight w:val="475"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年第一次临时股东大会决议公告</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2015-55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4" w:right="0"/>
              <w:jc w:val="left"/>
              <w:rPr>
                <w:rFonts w:ascii="Times New Roman" w:hAnsi="Times New Roman" w:cs="Times New Roman" w:eastAsia="Times New Roman" w:hint="default"/>
                <w:sz w:val="21"/>
                <w:szCs w:val="21"/>
              </w:rPr>
            </w:pPr>
            <w:r>
              <w:rPr>
                <w:rFonts w:ascii="Times New Roman"/>
                <w:sz w:val="21"/>
              </w:rPr>
              <w:t>2015-09-01</w:t>
            </w:r>
          </w:p>
        </w:tc>
      </w:tr>
      <w:tr>
        <w:trPr>
          <w:trHeight w:val="1359" w:hRule="exact"/>
        </w:trPr>
        <w:tc>
          <w:tcPr>
            <w:tcW w:w="5071" w:type="dxa"/>
            <w:tcBorders>
              <w:top w:val="single" w:sz="6" w:space="0" w:color="000000"/>
              <w:left w:val="single" w:sz="6" w:space="0" w:color="000000"/>
              <w:bottom w:val="single" w:sz="6" w:space="0" w:color="000000"/>
              <w:right w:val="single" w:sz="6" w:space="0" w:color="000000"/>
            </w:tcBorders>
          </w:tcPr>
          <w:p>
            <w:pPr>
              <w:pStyle w:val="TableParagraph"/>
              <w:spacing w:line="442" w:lineRule="exact" w:before="7"/>
              <w:ind w:left="4" w:right="1"/>
              <w:jc w:val="both"/>
              <w:rPr>
                <w:rFonts w:ascii="宋体" w:hAnsi="宋体" w:cs="宋体" w:eastAsia="宋体" w:hint="default"/>
                <w:sz w:val="21"/>
                <w:szCs w:val="21"/>
              </w:rPr>
            </w:pPr>
            <w:r>
              <w:rPr>
                <w:rFonts w:ascii="宋体" w:hAnsi="宋体" w:cs="宋体" w:eastAsia="宋体" w:hint="default"/>
                <w:spacing w:val="-1"/>
                <w:sz w:val="21"/>
                <w:szCs w:val="21"/>
              </w:rPr>
              <w:t>关于公司发行股份及支付现金购买资产并募集配套资金</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1"/>
                <w:sz w:val="21"/>
                <w:szCs w:val="21"/>
              </w:rPr>
              <w:t>暨关联交易事项获得中国证监会上市公司并购重组审核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委员会审核有条件通过暨公司股票复牌的公告</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2015-71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4" w:right="0"/>
              <w:jc w:val="left"/>
              <w:rPr>
                <w:rFonts w:ascii="Times New Roman" w:hAnsi="Times New Roman" w:cs="Times New Roman" w:eastAsia="Times New Roman" w:hint="default"/>
                <w:sz w:val="21"/>
                <w:szCs w:val="21"/>
              </w:rPr>
            </w:pPr>
            <w:r>
              <w:rPr>
                <w:rFonts w:ascii="Times New Roman"/>
                <w:sz w:val="21"/>
              </w:rPr>
              <w:t>2015-11-25</w:t>
            </w:r>
          </w:p>
        </w:tc>
      </w:tr>
    </w:tbl>
    <w:p>
      <w:pPr>
        <w:spacing w:line="240" w:lineRule="auto" w:before="3"/>
        <w:rPr>
          <w:rFonts w:ascii="宋体" w:hAnsi="宋体" w:cs="宋体" w:eastAsia="宋体" w:hint="default"/>
          <w:sz w:val="5"/>
          <w:szCs w:val="5"/>
        </w:rPr>
      </w:pPr>
    </w:p>
    <w:p>
      <w:pPr>
        <w:spacing w:line="381" w:lineRule="auto" w:before="36"/>
        <w:ind w:left="633" w:right="1573" w:firstLine="0"/>
        <w:jc w:val="left"/>
        <w:rPr>
          <w:rFonts w:ascii="宋体" w:hAnsi="宋体" w:cs="宋体" w:eastAsia="宋体" w:hint="default"/>
          <w:sz w:val="21"/>
          <w:szCs w:val="21"/>
        </w:rPr>
      </w:pPr>
      <w:r>
        <w:rPr>
          <w:rFonts w:ascii="宋体" w:hAnsi="宋体" w:cs="宋体" w:eastAsia="宋体" w:hint="default"/>
          <w:spacing w:val="-2"/>
          <w:sz w:val="21"/>
          <w:szCs w:val="21"/>
        </w:rPr>
        <w:t>截止本报告签署日，标的公司的交割和股份发行工作尚未完成。</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b/>
          <w:bCs/>
          <w:sz w:val="21"/>
          <w:szCs w:val="21"/>
        </w:rPr>
        <w:t>二、并购维盛网域公司 </w:t>
      </w:r>
      <w:r>
        <w:rPr>
          <w:rFonts w:ascii="Times New Roman" w:hAnsi="Times New Roman" w:cs="Times New Roman" w:eastAsia="Times New Roman" w:hint="default"/>
          <w:b/>
          <w:bCs/>
          <w:sz w:val="21"/>
          <w:szCs w:val="21"/>
        </w:rPr>
        <w:t>100</w:t>
      </w:r>
      <w:r>
        <w:rPr>
          <w:rFonts w:ascii="Times New Roman" w:hAnsi="Times New Roman" w:cs="Times New Roman" w:eastAsia="Times New Roman" w:hint="default"/>
          <w:b/>
          <w:bCs/>
          <w:spacing w:val="-17"/>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股权</w:t>
      </w:r>
      <w:r>
        <w:rPr>
          <w:rFonts w:ascii="宋体" w:hAnsi="宋体" w:cs="宋体" w:eastAsia="宋体" w:hint="default"/>
          <w:sz w:val="21"/>
          <w:szCs w:val="21"/>
        </w:rPr>
      </w:r>
    </w:p>
    <w:p>
      <w:pPr>
        <w:pStyle w:val="BodyText"/>
        <w:spacing w:line="362" w:lineRule="auto" w:before="13"/>
        <w:ind w:right="141" w:firstLine="480"/>
        <w:jc w:val="both"/>
      </w:pPr>
      <w:r>
        <w:rPr>
          <w:spacing w:val="-3"/>
        </w:rPr>
        <w:t>因公司正在讨论涉及股权收购的重大事项存在重大不确定性，经公司申请，公司股票于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24</w:t>
      </w:r>
      <w:r>
        <w:rPr>
          <w:rFonts w:ascii="Times New Roman" w:hAnsi="Times New Roman" w:cs="Times New Roman" w:eastAsia="Times New Roman" w:hint="default"/>
          <w:w w:val="100"/>
        </w:rPr>
        <w:t> </w:t>
      </w:r>
      <w:r>
        <w:rPr>
          <w:spacing w:val="10"/>
        </w:rPr>
        <w:t>日上午开市起停牌。</w:t>
      </w:r>
      <w:r>
        <w:rPr>
          <w:rFonts w:ascii="Times New Roman" w:hAnsi="Times New Roman" w:cs="Times New Roman" w:eastAsia="Times New Roman" w:hint="default"/>
          <w:spacing w:val="10"/>
        </w:rPr>
        <w:t>2016</w:t>
      </w:r>
      <w:r>
        <w:rPr>
          <w:spacing w:val="10"/>
        </w:rPr>
        <w:t>年</w:t>
      </w:r>
      <w:r>
        <w:rPr>
          <w:rFonts w:ascii="Times New Roman" w:hAnsi="Times New Roman" w:cs="Times New Roman" w:eastAsia="Times New Roman" w:hint="default"/>
          <w:spacing w:val="10"/>
        </w:rPr>
        <w:t>1</w:t>
      </w:r>
      <w:r>
        <w:rPr>
          <w:spacing w:val="10"/>
        </w:rPr>
        <w:t>月</w:t>
      </w:r>
      <w:r>
        <w:rPr>
          <w:rFonts w:ascii="Times New Roman" w:hAnsi="Times New Roman" w:cs="Times New Roman" w:eastAsia="Times New Roman" w:hint="default"/>
          <w:spacing w:val="10"/>
        </w:rPr>
        <w:t>4</w:t>
      </w:r>
      <w:r>
        <w:rPr>
          <w:spacing w:val="10"/>
        </w:rPr>
        <w:t>日，公司披露了《关于重大资产重组停牌公告》（详见巨潮资讯网</w:t>
      </w:r>
      <w:r>
        <w:rPr>
          <w:spacing w:val="26"/>
        </w:rPr>
        <w:t> </w:t>
      </w:r>
      <w:r>
        <w:rPr>
          <w:spacing w:val="26"/>
        </w:rPr>
      </w:r>
      <w:r>
        <w:rPr>
          <w:rFonts w:ascii="Times New Roman" w:hAnsi="Times New Roman" w:cs="Times New Roman" w:eastAsia="Times New Roman" w:hint="default"/>
          <w:color w:val="0000FF"/>
          <w:spacing w:val="26"/>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，公告编号：</w:t>
      </w:r>
      <w:r>
        <w:rPr>
          <w:rFonts w:ascii="Times New Roman" w:hAnsi="Times New Roman" w:cs="Times New Roman" w:eastAsia="Times New Roman" w:hint="default"/>
        </w:rPr>
        <w:t>2015-81</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2"/>
        <w:spacing w:line="240" w:lineRule="auto" w:before="26"/>
        <w:ind w:right="0"/>
        <w:jc w:val="left"/>
        <w:rPr>
          <w:b w:val="0"/>
          <w:bCs w:val="0"/>
        </w:rPr>
      </w:pPr>
      <w:r>
        <w:rPr/>
        <w:t>十九、公司子公司重大事项</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t>二十、社会责任情况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4"/>
          <w:szCs w:val="14"/>
        </w:rPr>
      </w:pPr>
    </w:p>
    <w:p>
      <w:pPr>
        <w:pStyle w:val="BodyText"/>
        <w:spacing w:line="386" w:lineRule="auto" w:before="0"/>
        <w:ind w:right="0" w:firstLine="422"/>
        <w:jc w:val="left"/>
      </w:pPr>
      <w:r>
        <w:rPr>
          <w:spacing w:val="-2"/>
        </w:rPr>
        <w:t>公司在做好经营活动的同时，积极在实践中追求企业与社会的和谐共建，以实际行动回报社会，创建</w:t>
      </w:r>
      <w:r>
        <w:rPr>
          <w:w w:val="100"/>
        </w:rPr>
        <w:t> </w:t>
      </w:r>
      <w:r>
        <w:rPr/>
        <w:t>和谐的企业发展环境，履行企业的社会责任。</w:t>
      </w:r>
    </w:p>
    <w:p>
      <w:pPr>
        <w:pStyle w:val="BodyText"/>
        <w:spacing w:line="364" w:lineRule="auto"/>
        <w:ind w:left="575" w:right="0" w:hanging="423"/>
        <w:jc w:val="left"/>
      </w:pPr>
      <w:r>
        <w:rPr>
          <w:rFonts w:ascii="Times New Roman" w:hAnsi="Times New Roman" w:cs="Times New Roman" w:eastAsia="Times New Roman" w:hint="default"/>
        </w:rPr>
        <w:t>1</w:t>
      </w:r>
      <w:r>
        <w:rPr/>
        <w:t>、投资者权益保护</w:t>
      </w:r>
      <w:r>
        <w:rPr>
          <w:spacing w:val="-100"/>
        </w:rPr>
        <w:t> </w:t>
      </w:r>
      <w:r>
        <w:rPr>
          <w:spacing w:val="-100"/>
        </w:rPr>
      </w:r>
      <w:r>
        <w:rPr>
          <w:spacing w:val="-2"/>
        </w:rPr>
        <w:t>保护股东特别是中小股东的利益使公司最基本的社会责任，公司严格依据公司法、证券法等法律法规</w:t>
      </w:r>
    </w:p>
    <w:p>
      <w:pPr>
        <w:spacing w:after="0" w:line="364"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right="0"/>
        <w:jc w:val="left"/>
      </w:pPr>
      <w:r>
        <w:rPr/>
        <w:t>要求，不断完善公司治理结构，健全内部控制制度，切实保障中小股东权益。</w:t>
      </w:r>
    </w:p>
    <w:p>
      <w:pPr>
        <w:pStyle w:val="BodyText"/>
        <w:spacing w:line="360" w:lineRule="auto" w:before="166"/>
        <w:ind w:left="575" w:right="0" w:hanging="423"/>
        <w:jc w:val="left"/>
      </w:pPr>
      <w:r>
        <w:rPr>
          <w:rFonts w:ascii="Times New Roman" w:hAnsi="Times New Roman" w:cs="Times New Roman" w:eastAsia="Times New Roman" w:hint="default"/>
        </w:rPr>
        <w:t>2</w:t>
      </w:r>
      <w:r>
        <w:rPr/>
        <w:t>、员工权益保护</w:t>
      </w:r>
      <w:r>
        <w:rPr>
          <w:spacing w:val="-101"/>
        </w:rPr>
        <w:t> </w:t>
      </w:r>
      <w:r>
        <w:rPr>
          <w:spacing w:val="-101"/>
        </w:rPr>
      </w:r>
      <w:r>
        <w:rPr>
          <w:spacing w:val="-2"/>
        </w:rPr>
        <w:t>公司严格遵守《劳动合同法》、《社会保险法》等国家相关法律、法规以及《公司章程》的规定，与</w:t>
      </w:r>
    </w:p>
    <w:p>
      <w:pPr>
        <w:pStyle w:val="BodyText"/>
        <w:spacing w:line="386" w:lineRule="auto" w:before="61"/>
        <w:ind w:right="0"/>
        <w:jc w:val="left"/>
      </w:pPr>
      <w:r>
        <w:rPr>
          <w:spacing w:val="-2"/>
        </w:rPr>
        <w:t>员工签订《劳动合同》，建立正规、合法的劳动关系，在与实业公司员工解除劳动合时，都给与了合理的</w:t>
      </w:r>
      <w:r>
        <w:rPr>
          <w:spacing w:val="-33"/>
        </w:rPr>
        <w:t> </w:t>
      </w:r>
      <w:r>
        <w:rPr>
          <w:spacing w:val="-33"/>
        </w:rPr>
      </w:r>
      <w:r>
        <w:rPr/>
        <w:t>经济补偿。</w:t>
      </w:r>
    </w:p>
    <w:p>
      <w:pPr>
        <w:pStyle w:val="BodyText"/>
        <w:spacing w:line="386" w:lineRule="auto"/>
        <w:ind w:right="0" w:firstLine="422"/>
        <w:jc w:val="left"/>
      </w:pPr>
      <w:r>
        <w:rPr>
          <w:spacing w:val="-2"/>
        </w:rPr>
        <w:t>员工福利方面，公司在持续优化包括社保等在内的薪酬福利制度的同时，还为公司员工提供了旅游、</w:t>
      </w:r>
      <w:r>
        <w:rPr>
          <w:w w:val="100"/>
        </w:rPr>
        <w:t> </w:t>
      </w:r>
      <w:r>
        <w:rPr/>
        <w:t>常规体检等福利待遇，关心员工身心健康，爱护员工的成长。</w:t>
      </w:r>
      <w:r>
        <w:rPr>
          <w:spacing w:val="-102"/>
        </w:rPr>
        <w:t> </w:t>
      </w:r>
      <w:r>
        <w:rPr>
          <w:spacing w:val="-102"/>
        </w:rPr>
      </w:r>
      <w:r>
        <w:rPr>
          <w:rFonts w:ascii="Times New Roman" w:hAnsi="Times New Roman" w:cs="Times New Roman" w:eastAsia="Times New Roman" w:hint="default"/>
        </w:rPr>
        <w:t>3</w:t>
      </w:r>
      <w:r>
        <w:rPr/>
        <w:t>、纳税：公司严格执行各项税收法规，合法经营，诚信纳税，</w:t>
      </w:r>
      <w:r>
        <w:rPr>
          <w:rFonts w:ascii="Times New Roman" w:hAnsi="Times New Roman" w:cs="Times New Roman" w:eastAsia="Times New Roman" w:hint="default"/>
        </w:rPr>
        <w:t>2015</w:t>
      </w:r>
      <w:r>
        <w:rPr/>
        <w:t>年度纳税</w:t>
      </w:r>
      <w:r>
        <w:rPr>
          <w:rFonts w:ascii="Times New Roman" w:hAnsi="Times New Roman" w:cs="Times New Roman" w:eastAsia="Times New Roman" w:hint="default"/>
        </w:rPr>
        <w:t>1065</w:t>
      </w:r>
      <w:r>
        <w:rPr/>
        <w:t>万元。</w:t>
      </w:r>
    </w:p>
    <w:p>
      <w:pPr>
        <w:pStyle w:val="BodyText"/>
        <w:spacing w:line="240" w:lineRule="auto" w:before="4"/>
        <w:ind w:right="0"/>
        <w:jc w:val="left"/>
      </w:pPr>
      <w:r>
        <w:rPr>
          <w:rFonts w:ascii="Times New Roman" w:hAnsi="Times New Roman" w:cs="Times New Roman" w:eastAsia="Times New Roman" w:hint="default"/>
        </w:rPr>
        <w:t>4</w:t>
      </w:r>
      <w:r>
        <w:rPr/>
        <w:t>、环保节能</w:t>
      </w:r>
    </w:p>
    <w:p>
      <w:pPr>
        <w:pStyle w:val="BodyText"/>
        <w:spacing w:line="372" w:lineRule="auto" w:before="151"/>
        <w:ind w:right="143" w:firstLine="422"/>
        <w:jc w:val="both"/>
      </w:pPr>
      <w:r>
        <w:rPr>
          <w:spacing w:val="-2"/>
        </w:rPr>
        <w:t>公司通过建立并执行</w:t>
      </w:r>
      <w:r>
        <w:rPr>
          <w:rFonts w:ascii="Times New Roman" w:hAnsi="Times New Roman" w:cs="Times New Roman" w:eastAsia="Times New Roman" w:hint="default"/>
          <w:spacing w:val="-2"/>
        </w:rPr>
        <w:t>ISO14000</w:t>
      </w:r>
      <w:r>
        <w:rPr>
          <w:spacing w:val="-2"/>
        </w:rPr>
        <w:t>环境管理体系、实行电话机</w:t>
      </w:r>
      <w:r>
        <w:rPr>
          <w:rFonts w:ascii="Times New Roman" w:hAnsi="Times New Roman" w:cs="Times New Roman" w:eastAsia="Times New Roman" w:hint="default"/>
          <w:spacing w:val="-2"/>
        </w:rPr>
        <w:t>“</w:t>
      </w:r>
      <w:r>
        <w:rPr>
          <w:spacing w:val="-2"/>
        </w:rPr>
        <w:t>无铅化</w:t>
      </w:r>
      <w:r>
        <w:rPr>
          <w:rFonts w:ascii="Times New Roman" w:hAnsi="Times New Roman" w:cs="Times New Roman" w:eastAsia="Times New Roman" w:hint="default"/>
          <w:spacing w:val="-2"/>
        </w:rPr>
        <w:t>”</w:t>
      </w:r>
      <w:r>
        <w:rPr>
          <w:spacing w:val="-2"/>
        </w:rPr>
        <w:t>生产管理、减少纸质文档用量等措</w:t>
      </w:r>
      <w:r>
        <w:rPr>
          <w:w w:val="100"/>
        </w:rPr>
        <w:t> </w:t>
      </w:r>
      <w:r>
        <w:rPr>
          <w:spacing w:val="-2"/>
        </w:rPr>
        <w:t>施降低能耗，节约资源，减少生产活动各个环节对环境可能造成的污染。另外，公司还通过加强管理的物</w:t>
      </w:r>
      <w:r>
        <w:rPr>
          <w:spacing w:val="-33"/>
        </w:rPr>
        <w:t> </w:t>
      </w:r>
      <w:r>
        <w:rPr>
          <w:spacing w:val="-33"/>
        </w:rPr>
      </w:r>
      <w:r>
        <w:rPr/>
        <w:t>业小区的环境美化建设，实现环境友好型的可持续发展。</w:t>
      </w:r>
    </w:p>
    <w:p>
      <w:pPr>
        <w:pStyle w:val="BodyText"/>
        <w:spacing w:line="364" w:lineRule="auto" w:before="51"/>
        <w:ind w:right="0" w:firstLine="422"/>
        <w:jc w:val="left"/>
      </w:pPr>
      <w:r>
        <w:rPr>
          <w:rFonts w:ascii="Times New Roman" w:hAnsi="Times New Roman" w:cs="Times New Roman" w:eastAsia="Times New Roman" w:hint="default"/>
          <w:spacing w:val="-2"/>
        </w:rPr>
        <w:t>2016</w:t>
      </w:r>
      <w:r>
        <w:rPr>
          <w:spacing w:val="-2"/>
        </w:rPr>
        <w:t>年公司将继续维护公司员工的利益，加强与合作伙伴的沟通，推进公司可持续发展。公司还将继</w:t>
      </w:r>
      <w:r>
        <w:rPr>
          <w:w w:val="100"/>
        </w:rPr>
        <w:t> </w:t>
      </w:r>
      <w:r>
        <w:rPr/>
        <w:t>续倡导环保节能、绿色低碳，为建设环境友好型和资源节约型社会做出应有的贡献。</w:t>
      </w:r>
    </w:p>
    <w:p>
      <w:pPr>
        <w:spacing w:line="240" w:lineRule="auto" w:before="12"/>
        <w:rPr>
          <w:rFonts w:ascii="宋体" w:hAnsi="宋体" w:cs="宋体" w:eastAsia="宋体" w:hint="default"/>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上市公司及其子公司是否属于国家环境保护部门规定的重污染行业</w:t>
      </w:r>
    </w:p>
    <w:p>
      <w:pPr>
        <w:spacing w:line="338" w:lineRule="auto" w:before="119"/>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是否发布社会责任报告</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二十一、公司债券相关情况</w:t>
      </w:r>
      <w:r>
        <w:rPr>
          <w:b w:val="0"/>
          <w:bCs w:val="0"/>
        </w:rPr>
      </w:r>
    </w:p>
    <w:p>
      <w:pPr>
        <w:spacing w:line="240" w:lineRule="auto" w:before="7"/>
        <w:rPr>
          <w:rFonts w:ascii="宋体" w:hAnsi="宋体" w:cs="宋体" w:eastAsia="宋体" w:hint="default"/>
          <w:b/>
          <w:bCs/>
          <w:sz w:val="27"/>
          <w:szCs w:val="27"/>
        </w:rPr>
      </w:pPr>
    </w:p>
    <w:p>
      <w:pPr>
        <w:spacing w:line="357" w:lineRule="auto" w:before="0"/>
        <w:ind w:left="153" w:right="113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967" w:right="0"/>
        <w:jc w:val="left"/>
        <w:rPr>
          <w:b w:val="0"/>
          <w:bCs w:val="0"/>
        </w:rPr>
      </w:pPr>
      <w:bookmarkStart w:name="_bookmark5" w:id="6"/>
      <w:bookmarkEnd w:id="6"/>
      <w:r>
        <w:rPr>
          <w:b w:val="0"/>
          <w:bCs w:val="0"/>
        </w:rPr>
      </w:r>
      <w:r>
        <w:rPr/>
        <w:t>第六节</w:t>
      </w:r>
      <w:r>
        <w:rPr>
          <w:spacing w:val="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28"/>
        <w:gridCol w:w="821"/>
        <w:gridCol w:w="826"/>
        <w:gridCol w:w="821"/>
        <w:gridCol w:w="826"/>
        <w:gridCol w:w="821"/>
        <w:gridCol w:w="821"/>
        <w:gridCol w:w="821"/>
        <w:gridCol w:w="797"/>
        <w:gridCol w:w="793"/>
      </w:tblGrid>
      <w:tr>
        <w:trPr>
          <w:trHeight w:val="398"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pacing w:val="-2"/>
                <w:sz w:val="18"/>
                <w:szCs w:val="18"/>
              </w:rPr>
              <w:t>发行新股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17" w:right="36" w:hanging="270"/>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17,916,72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17,916,72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17,901,67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17,901,67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15,052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15,052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15,052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15,052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9"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340,056,8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340,056,8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95.00%</w:t>
            </w:r>
          </w:p>
        </w:tc>
      </w:tr>
      <w:tr>
        <w:trPr>
          <w:trHeight w:val="71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340,056,8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340,056,8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95.00%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0"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357,973,5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357,973,5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line="338" w:lineRule="auto" w:before="120"/>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股份变动的批准情况</w:t>
      </w:r>
    </w:p>
    <w:p>
      <w:pPr>
        <w:spacing w:line="338" w:lineRule="auto" w:before="46"/>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股份变动的过户情况</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43" w:lineRule="auto" w:before="115"/>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公司认为必要或证券监管机构要求披露的其他内容</w:t>
      </w:r>
    </w:p>
    <w:p>
      <w:pPr>
        <w:spacing w:before="3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50"/>
        <w:gridCol w:w="1349"/>
        <w:gridCol w:w="1349"/>
      </w:tblGrid>
      <w:tr>
        <w:trPr>
          <w:trHeight w:val="715"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81" w:right="36" w:hanging="543"/>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81" w:right="36" w:hanging="543"/>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9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林小浓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7,500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7,500</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r>
        <w:rPr/>
        <w:t>二、证券发行与上市情况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spacing w:before="46"/>
        <w:ind w:left="0" w:right="142" w:firstLine="0"/>
        <w:jc w:val="right"/>
        <w:rPr>
          <w:rFonts w:ascii="宋体" w:hAnsi="宋体" w:cs="宋体" w:eastAsia="宋体" w:hint="default"/>
          <w:sz w:val="18"/>
          <w:szCs w:val="18"/>
        </w:rPr>
      </w:pPr>
      <w:r>
        <w:rPr/>
        <w:pict>
          <v:shape style="position:absolute;margin-left:483.299133pt;margin-top:19.557724pt;width:51.9pt;height:82.15pt;mso-position-horizontal-relative:page;mso-position-vertical-relative:paragraph;z-index:-7392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489.309998pt;margin-top:19.557724pt;width:45.9pt;height:82.15pt;mso-position-horizontal-relative:page;mso-position-vertical-relative:paragraph;z-index:-739264" coordorigin="9786,391" coordsize="918,1643">
            <v:group style="position:absolute;left:9786;top:391;width:918;height:1643" coordorigin="9786,391" coordsize="918,1643">
              <v:shape style="position:absolute;left:9786;top:391;width:918;height:1643" coordorigin="9786,391" coordsize="918,1643" path="m9786,2033l10703,2033,10703,391,9786,391,9786,2033xe" filled="true" fillcolor="#ffffff" stroked="false">
                <v:path arrowok="t"/>
                <v:fill type="solid"/>
              </v:shape>
            </v:group>
            <v:group style="position:absolute;left:9805;top:1015;width:875;height:394" coordorigin="9805,1015" coordsize="875,394">
              <v:shape style="position:absolute;left:9805;top:1015;width:875;height:394" coordorigin="9805,1015" coordsize="875,394" path="m9805,1409l10679,1409,10679,1015,9805,1015,9805,1409xe" filled="true" fillcolor="#ffffff" stroked="false">
                <v:path arrowok="t"/>
                <v:fill type="solid"/>
              </v:shape>
            </v:group>
            <w10:wrap type="none"/>
          </v:group>
        </w:pict>
      </w: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1"/>
        <w:gridCol w:w="269"/>
        <w:gridCol w:w="929"/>
        <w:gridCol w:w="485"/>
        <w:gridCol w:w="814"/>
        <w:gridCol w:w="759"/>
        <w:gridCol w:w="336"/>
        <w:gridCol w:w="456"/>
        <w:gridCol w:w="785"/>
        <w:gridCol w:w="218"/>
        <w:gridCol w:w="620"/>
        <w:gridCol w:w="446"/>
        <w:gridCol w:w="905"/>
        <w:gridCol w:w="420"/>
        <w:gridCol w:w="439"/>
        <w:gridCol w:w="488"/>
      </w:tblGrid>
      <w:tr>
        <w:trPr>
          <w:trHeight w:val="1657"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34,242</w:t>
            </w:r>
          </w:p>
        </w:tc>
        <w:tc>
          <w:tcPr>
            <w:tcW w:w="12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1" w:right="3"/>
              <w:jc w:val="both"/>
              <w:rPr>
                <w:rFonts w:ascii="宋体" w:hAnsi="宋体" w:cs="宋体" w:eastAsia="宋体" w:hint="default"/>
                <w:sz w:val="18"/>
                <w:szCs w:val="18"/>
              </w:rPr>
            </w:pPr>
            <w:r>
              <w:rPr>
                <w:rFonts w:ascii="宋体" w:hAnsi="宋体" w:cs="宋体" w:eastAsia="宋体" w:hint="default"/>
                <w:spacing w:val="-3"/>
                <w:sz w:val="18"/>
                <w:szCs w:val="18"/>
              </w:rPr>
              <w:t>年度报告披露日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前上一月末普通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股股东总数</w:t>
            </w:r>
          </w:p>
        </w:tc>
        <w:tc>
          <w:tcPr>
            <w:tcW w:w="1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34,242</w:t>
            </w:r>
          </w:p>
        </w:tc>
        <w:tc>
          <w:tcPr>
            <w:tcW w:w="14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3"/>
                <w:sz w:val="18"/>
                <w:szCs w:val="18"/>
              </w:rPr>
              <w:t>报告期末表决权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恢复的优先股股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6"/>
                <w:w w:val="101"/>
                <w:sz w:val="18"/>
                <w:szCs w:val="18"/>
              </w:rPr>
              <w:t>东总数（如有）（参</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27"/>
              <w:jc w:val="both"/>
              <w:rPr>
                <w:rFonts w:ascii="宋体" w:hAnsi="宋体" w:cs="宋体" w:eastAsia="宋体" w:hint="default"/>
                <w:sz w:val="18"/>
                <w:szCs w:val="18"/>
              </w:rPr>
            </w:pPr>
            <w:r>
              <w:rPr>
                <w:rFonts w:ascii="宋体" w:hAnsi="宋体" w:cs="宋体" w:eastAsia="宋体" w:hint="default"/>
                <w:spacing w:val="-3"/>
                <w:sz w:val="18"/>
                <w:szCs w:val="18"/>
              </w:rPr>
              <w:t>年度报告披露日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前上一月末表决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权恢复的优先股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3"/>
                <w:w w:val="101"/>
                <w:sz w:val="18"/>
                <w:szCs w:val="18"/>
              </w:rPr>
              <w:t>股东总数（如有</w:t>
            </w:r>
            <w:r>
              <w:rPr>
                <w:rFonts w:ascii="宋体" w:hAnsi="宋体" w:cs="宋体" w:eastAsia="宋体" w:hint="default"/>
                <w:spacing w:val="-13"/>
                <w:sz w:val="18"/>
                <w:szCs w:val="18"/>
              </w:rPr>
            </w:r>
          </w:p>
          <w:p>
            <w:pPr>
              <w:pStyle w:val="TableParagraph"/>
              <w:spacing w:line="240" w:lineRule="auto" w:before="23"/>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39" w:type="dxa"/>
            <w:tcBorders>
              <w:top w:val="single" w:sz="4" w:space="0" w:color="000000"/>
              <w:left w:val="single" w:sz="4" w:space="0" w:color="000000"/>
              <w:bottom w:val="single" w:sz="4" w:space="0" w:color="000000"/>
              <w:right w:val="nil" w:sz="6" w:space="0" w:color="auto"/>
            </w:tcBorders>
          </w:tcPr>
          <w:p>
            <w:pPr/>
          </w:p>
        </w:tc>
        <w:tc>
          <w:tcPr>
            <w:tcW w:w="48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70"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40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21" w:lineRule="auto"/>
              <w:ind w:right="22"/>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8" w:right="26"/>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8" w:right="19"/>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8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50" w:right="51"/>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6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15"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62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759" w:type="dxa"/>
            <w:vMerge/>
            <w:tcBorders>
              <w:left w:val="single" w:sz="4" w:space="0" w:color="000000"/>
              <w:bottom w:val="single" w:sz="4" w:space="0" w:color="000000"/>
              <w:right w:val="single" w:sz="4" w:space="0" w:color="000000"/>
            </w:tcBorders>
            <w:shd w:val="clear" w:color="auto" w:fill="D2D2D2"/>
          </w:tcPr>
          <w:p>
            <w:pPr/>
          </w:p>
        </w:tc>
        <w:tc>
          <w:tcPr>
            <w:tcW w:w="792" w:type="dxa"/>
            <w:gridSpan w:val="2"/>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838" w:type="dxa"/>
            <w:gridSpan w:val="2"/>
            <w:vMerge/>
            <w:tcBorders>
              <w:left w:val="single" w:sz="4" w:space="0" w:color="000000"/>
              <w:bottom w:val="single" w:sz="4" w:space="0" w:color="000000"/>
              <w:right w:val="single" w:sz="4" w:space="0" w:color="000000"/>
            </w:tcBorders>
            <w:shd w:val="clear" w:color="auto" w:fill="D2D2D2"/>
          </w:tcPr>
          <w:p>
            <w:pPr/>
          </w:p>
        </w:tc>
        <w:tc>
          <w:tcPr>
            <w:tcW w:w="13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24pt;margin-top:72.019981pt;width:479.25pt;height:692.1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8"/>
                    <w:gridCol w:w="788"/>
                    <w:gridCol w:w="792"/>
                    <w:gridCol w:w="783"/>
                    <w:gridCol w:w="841"/>
                    <w:gridCol w:w="1350"/>
                    <w:gridCol w:w="1348"/>
                  </w:tblGrid>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中国希格玛有限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21.88%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78,306,96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78,306,96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77,208,000</w:t>
                        </w:r>
                      </w:p>
                    </w:tc>
                  </w:tr>
                  <w:tr>
                    <w:trPr>
                      <w:trHeight w:val="71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1"/>
                          <w:jc w:val="left"/>
                          <w:rPr>
                            <w:rFonts w:ascii="宋体" w:hAnsi="宋体" w:cs="宋体" w:eastAsia="宋体" w:hint="default"/>
                            <w:sz w:val="18"/>
                            <w:szCs w:val="18"/>
                          </w:rPr>
                        </w:pPr>
                        <w:r>
                          <w:rPr>
                            <w:rFonts w:ascii="宋体" w:hAnsi="宋体" w:cs="宋体" w:eastAsia="宋体" w:hint="default"/>
                            <w:spacing w:val="-3"/>
                            <w:sz w:val="18"/>
                            <w:szCs w:val="18"/>
                          </w:rPr>
                          <w:t>深圳市宝安建设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投资有限公司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7.34%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26,261,75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26,261,75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1"/>
                          <w:jc w:val="left"/>
                          <w:rPr>
                            <w:rFonts w:ascii="宋体" w:hAnsi="宋体" w:cs="宋体" w:eastAsia="宋体" w:hint="default"/>
                            <w:sz w:val="18"/>
                            <w:szCs w:val="18"/>
                          </w:rPr>
                        </w:pPr>
                        <w:r>
                          <w:rPr>
                            <w:rFonts w:ascii="宋体" w:hAnsi="宋体" w:cs="宋体" w:eastAsia="宋体" w:hint="default"/>
                            <w:spacing w:val="-3"/>
                            <w:sz w:val="18"/>
                            <w:szCs w:val="18"/>
                          </w:rPr>
                          <w:t>华润深国投信托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17,901,67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17,901,67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17,901,671</w:t>
                        </w:r>
                      </w:p>
                    </w:tc>
                  </w:tr>
                  <w:tr>
                    <w:trPr>
                      <w:trHeight w:val="102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重庆润江基础设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施投资有限公司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3.27%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11,702,70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31"/>
                          <w:jc w:val="left"/>
                          <w:rPr>
                            <w:rFonts w:ascii="宋体" w:hAnsi="宋体" w:cs="宋体" w:eastAsia="宋体" w:hint="default"/>
                            <w:sz w:val="18"/>
                            <w:szCs w:val="18"/>
                          </w:rPr>
                        </w:pPr>
                        <w:r>
                          <w:rPr>
                            <w:rFonts w:ascii="宋体" w:hAnsi="宋体" w:cs="宋体" w:eastAsia="宋体" w:hint="default"/>
                            <w:spacing w:val="-3"/>
                            <w:sz w:val="18"/>
                            <w:szCs w:val="18"/>
                          </w:rPr>
                          <w:t>银河资本－招商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银行－涌悦进取</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号资产管理计划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2,986,480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2,986,480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2,986,480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常喜玲</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0.64%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2,276,200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2,276,200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2,276,200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常都喜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0.62%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2,207,000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2,207,000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2,207,000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1"/>
                          <w:jc w:val="both"/>
                          <w:rPr>
                            <w:rFonts w:ascii="宋体" w:hAnsi="宋体" w:cs="宋体" w:eastAsia="宋体" w:hint="default"/>
                            <w:sz w:val="18"/>
                            <w:szCs w:val="18"/>
                          </w:rPr>
                        </w:pPr>
                        <w:r>
                          <w:rPr>
                            <w:rFonts w:ascii="宋体" w:hAnsi="宋体" w:cs="宋体" w:eastAsia="宋体" w:hint="default"/>
                            <w:spacing w:val="-3"/>
                            <w:sz w:val="18"/>
                            <w:szCs w:val="18"/>
                          </w:rPr>
                          <w:t>中国建设银行股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份有限公司－易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方达创新驱动灵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活配置混合型证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0.54%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1,929,526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1,929,526</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1,929,526</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王立群</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0.52%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1,871,600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1,871,600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1,871,600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69" w:type="dxa"/>
                        <w:tcBorders>
                          <w:top w:val="single" w:sz="4" w:space="0" w:color="000000"/>
                          <w:left w:val="single" w:sz="4" w:space="0" w:color="000000"/>
                          <w:bottom w:val="single" w:sz="6" w:space="0" w:color="000000"/>
                          <w:right w:val="single" w:sz="4" w:space="0" w:color="000000"/>
                        </w:tcBorders>
                      </w:tcPr>
                      <w:p>
                        <w:pPr>
                          <w:pStyle w:val="TableParagraph"/>
                          <w:spacing w:line="312"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深圳市海王健康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连锁店有限公司</w:t>
                        </w:r>
                      </w:p>
                    </w:tc>
                    <w:tc>
                      <w:tcPr>
                        <w:tcW w:w="141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0.51%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1,819,143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1,819,143</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17"/>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w w:val="101"/>
                            <w:sz w:val="18"/>
                            <w:szCs w:val="18"/>
                          </w:rPr>
                          <w:t>成为前</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15"/>
                            <w:w w:val="101"/>
                            <w:sz w:val="18"/>
                            <w:szCs w:val="18"/>
                          </w:rPr>
                          <w:t>名股东的情况（如有）（参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9" w:type="dxa"/>
                        <w:gridSpan w:val="7"/>
                        <w:tcBorders>
                          <w:top w:val="single" w:sz="4" w:space="0" w:color="000000"/>
                          <w:left w:val="single" w:sz="8"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9"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1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9" w:type="dxa"/>
                        <w:gridSpan w:val="7"/>
                        <w:vMerge w:val="restart"/>
                        <w:tcBorders>
                          <w:top w:val="single" w:sz="4" w:space="0" w:color="000000"/>
                          <w:left w:val="single" w:sz="4" w:space="0" w:color="000000"/>
                          <w:right w:val="single" w:sz="4" w:space="0" w:color="000000"/>
                        </w:tcBorders>
                      </w:tcPr>
                      <w:p>
                        <w:pPr>
                          <w:pStyle w:val="TableParagraph"/>
                          <w:spacing w:line="319" w:lineRule="auto" w:before="53"/>
                          <w:ind w:left="24" w:right="18"/>
                          <w:jc w:val="left"/>
                          <w:rPr>
                            <w:rFonts w:ascii="宋体" w:hAnsi="宋体" w:cs="宋体" w:eastAsia="宋体" w:hint="default"/>
                            <w:sz w:val="18"/>
                            <w:szCs w:val="18"/>
                          </w:rPr>
                        </w:pPr>
                        <w:r>
                          <w:rPr>
                            <w:rFonts w:ascii="宋体" w:hAnsi="宋体" w:cs="宋体" w:eastAsia="宋体" w:hint="default"/>
                            <w:spacing w:val="-4"/>
                            <w:sz w:val="18"/>
                            <w:szCs w:val="18"/>
                          </w:rPr>
                          <w:t>上述股东中，公司第一大股东与其他股东之间不存在关联关系，也不属于《上市公司</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股东持股变动信息披露管理办法》规定的一致行动人。其他股东之间的关联关系不详</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4"/>
                            <w:sz w:val="18"/>
                            <w:szCs w:val="18"/>
                          </w:rPr>
                          <w:t>也未知其之间是否属于《上市公司股东持股变动信息披露管理办法》规定的一致行动</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人。</w:t>
                        </w:r>
                      </w:p>
                    </w:tc>
                  </w:tr>
                  <w:tr>
                    <w:trPr>
                      <w:trHeight w:val="70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24" w:right="142"/>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明</w:t>
                        </w:r>
                      </w:p>
                    </w:tc>
                    <w:tc>
                      <w:tcPr>
                        <w:tcW w:w="6689" w:type="dxa"/>
                        <w:gridSpan w:val="7"/>
                        <w:vMerge/>
                        <w:tcBorders>
                          <w:left w:val="single" w:sz="4" w:space="0" w:color="000000"/>
                          <w:right w:val="single" w:sz="4" w:space="0" w:color="000000"/>
                        </w:tcBorders>
                      </w:tcPr>
                      <w:p>
                        <w:pPr/>
                      </w:p>
                    </w:tc>
                  </w:tr>
                  <w:tr>
                    <w:trPr>
                      <w:trHeight w:val="31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9" w:type="dxa"/>
                        <w:gridSpan w:val="7"/>
                        <w:vMerge/>
                        <w:tcBorders>
                          <w:left w:val="single" w:sz="4" w:space="0" w:color="000000"/>
                          <w:bottom w:val="single" w:sz="4" w:space="0" w:color="000000"/>
                          <w:right w:val="single" w:sz="4" w:space="0" w:color="000000"/>
                        </w:tcBorders>
                      </w:tcPr>
                      <w:p>
                        <w:pPr/>
                      </w:p>
                    </w:tc>
                  </w:tr>
                  <w:tr>
                    <w:trPr>
                      <w:trHeight w:val="398"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1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1"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1"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9"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1" w:type="dxa"/>
                        <w:gridSpan w:val="5"/>
                        <w:vMerge/>
                        <w:tcBorders>
                          <w:left w:val="single" w:sz="4" w:space="0" w:color="000000"/>
                          <w:bottom w:val="nil" w:sz="6" w:space="0" w:color="auto"/>
                          <w:right w:val="single" w:sz="4" w:space="0" w:color="000000"/>
                        </w:tcBorders>
                        <w:shd w:val="clear" w:color="auto" w:fill="D2D2D2"/>
                      </w:tcPr>
                      <w:p>
                        <w:pP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1"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46"/>
        <w:ind w:left="0" w:right="148"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46"/>
        <w:ind w:left="0" w:right="148" w:firstLine="0"/>
        <w:jc w:val="right"/>
        <w:rPr>
          <w:rFonts w:ascii="宋体" w:hAnsi="宋体" w:cs="宋体" w:eastAsia="宋体" w:hint="default"/>
          <w:sz w:val="18"/>
          <w:szCs w:val="18"/>
        </w:rPr>
      </w:pPr>
      <w:r>
        <w:rPr/>
        <w:pict>
          <v:shape style="position:absolute;margin-left:56.424pt;margin-top:-295.448273pt;width:479.25pt;height:382.2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1"/>
                    <w:gridCol w:w="3991"/>
                    <w:gridCol w:w="1349"/>
                    <w:gridCol w:w="1349"/>
                  </w:tblGrid>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78,306,968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78,306,968</w:t>
                        </w:r>
                      </w:p>
                    </w:tc>
                  </w:tr>
                  <w:tr>
                    <w:trPr>
                      <w:trHeight w:val="39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深圳市宝安建设投资有限公司</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26,261,759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26,261,759</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11,702,704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11,702,704</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银河资本－招商银行－涌悦进取</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pacing w:val="-3"/>
                            <w:sz w:val="18"/>
                            <w:szCs w:val="18"/>
                          </w:rPr>
                          <w:t>号资产管理计划</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2,986,480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2,986,480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常喜玲</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2,276,200</w:t>
                        </w:r>
                      </w:p>
                    </w:tc>
                  </w:tr>
                  <w:tr>
                    <w:trPr>
                      <w:trHeight w:val="399"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常都喜</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2,207,000</w:t>
                        </w:r>
                      </w:p>
                    </w:tc>
                  </w:tr>
                  <w:tr>
                    <w:trPr>
                      <w:trHeight w:val="1027"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42"/>
                          <w:jc w:val="both"/>
                          <w:rPr>
                            <w:rFonts w:ascii="宋体" w:hAnsi="宋体" w:cs="宋体" w:eastAsia="宋体" w:hint="default"/>
                            <w:sz w:val="18"/>
                            <w:szCs w:val="18"/>
                          </w:rPr>
                        </w:pPr>
                        <w:r>
                          <w:rPr>
                            <w:rFonts w:ascii="宋体" w:hAnsi="宋体" w:cs="宋体" w:eastAsia="宋体" w:hint="default"/>
                            <w:spacing w:val="-3"/>
                            <w:sz w:val="18"/>
                            <w:szCs w:val="18"/>
                          </w:rPr>
                          <w:t>中国建设银行股份有限公司－易方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达创新驱动灵活配置混合型证券投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资基金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1,929,526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1,929,526</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王立群</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1,871,600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1,871,600</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深圳市海王健康连锁店有限公司</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1,819,143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1,819,143</w:t>
                        </w:r>
                      </w:p>
                    </w:tc>
                  </w:tr>
                  <w:tr>
                    <w:trPr>
                      <w:trHeight w:val="710"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2"/>
                          <w:jc w:val="left"/>
                          <w:rPr>
                            <w:rFonts w:ascii="宋体" w:hAnsi="宋体" w:cs="宋体" w:eastAsia="宋体" w:hint="default"/>
                            <w:sz w:val="18"/>
                            <w:szCs w:val="18"/>
                          </w:rPr>
                        </w:pPr>
                        <w:r>
                          <w:rPr>
                            <w:rFonts w:ascii="宋体" w:hAnsi="宋体" w:cs="宋体" w:eastAsia="宋体" w:hint="default"/>
                            <w:spacing w:val="-3"/>
                            <w:sz w:val="18"/>
                            <w:szCs w:val="18"/>
                          </w:rPr>
                          <w:t>中海信托股份有限公司－中海－浦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江之星 </w:t>
                        </w:r>
                        <w:r>
                          <w:rPr>
                            <w:rFonts w:ascii="Times New Roman" w:hAnsi="Times New Roman" w:cs="Times New Roman" w:eastAsia="Times New Roman" w:hint="default"/>
                            <w:sz w:val="18"/>
                            <w:szCs w:val="18"/>
                          </w:rPr>
                          <w:t>177</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号集合资金信托</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1,770,420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1,770,420</w:t>
                        </w:r>
                      </w:p>
                    </w:tc>
                  </w:tr>
                  <w:tr>
                    <w:trPr>
                      <w:trHeight w:val="1340"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名无限售流通股股东之间，以</w:t>
                        </w:r>
                      </w:p>
                      <w:p>
                        <w:pPr>
                          <w:pStyle w:val="TableParagraph"/>
                          <w:spacing w:line="312" w:lineRule="auto" w:before="58"/>
                          <w:ind w:left="24"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名无限售流通股股东和前</w:t>
                        </w:r>
                        <w:r>
                          <w:rPr>
                            <w:rFonts w:ascii="宋体" w:hAnsi="宋体" w:cs="宋体" w:eastAsia="宋体" w:hint="default"/>
                            <w:spacing w:val="-33"/>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名股东之间关联关系或一致行动的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说明</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9"/>
                          <w:jc w:val="left"/>
                          <w:rPr>
                            <w:rFonts w:ascii="宋体" w:hAnsi="宋体" w:cs="宋体" w:eastAsia="宋体" w:hint="default"/>
                            <w:sz w:val="18"/>
                            <w:szCs w:val="18"/>
                          </w:rPr>
                        </w:pPr>
                        <w:r>
                          <w:rPr>
                            <w:rFonts w:ascii="宋体" w:hAnsi="宋体" w:cs="宋体" w:eastAsia="宋体" w:hint="default"/>
                            <w:spacing w:val="-4"/>
                            <w:sz w:val="18"/>
                            <w:szCs w:val="18"/>
                          </w:rPr>
                          <w:t>上述股东中，公司第一大股东与其他股东之间不存在关联关系，也不属于《上市公司</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6"/>
                            <w:sz w:val="18"/>
                            <w:szCs w:val="18"/>
                          </w:rPr>
                          <w:t>股东持股变动信息披露管理办法》规定的一致行动人。其他股东之间的关联关系不详</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4"/>
                            <w:sz w:val="18"/>
                            <w:szCs w:val="18"/>
                          </w:rPr>
                          <w:t>也未知其之间是否属于《上市公司股东持股变动信息披露管理办法》规定的一致行动</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人。</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名普通股股东参与融资融券业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w w:val="101"/>
                            <w:sz w:val="18"/>
                            <w:szCs w:val="18"/>
                          </w:rPr>
                          <w:t>务情况说明（如有）（参见注</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4</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spacing w:line="362" w:lineRule="auto" w:before="0"/>
        <w:ind w:left="153" w:right="7055"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控股股东性质：自然人控股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46"/>
        <w:ind w:left="0" w:right="147" w:firstLine="0"/>
        <w:jc w:val="right"/>
        <w:rPr>
          <w:rFonts w:ascii="宋体" w:hAnsi="宋体" w:cs="宋体" w:eastAsia="宋体" w:hint="default"/>
          <w:sz w:val="18"/>
          <w:szCs w:val="18"/>
        </w:rPr>
      </w:pPr>
      <w:r>
        <w:rPr/>
        <w:pict>
          <v:shape style="position:absolute;margin-left:56.424pt;margin-top:-83.208321pt;width:479.25pt;height:179.1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7"/>
                    <w:gridCol w:w="1613"/>
                    <w:gridCol w:w="1724"/>
                    <w:gridCol w:w="1882"/>
                    <w:gridCol w:w="2084"/>
                  </w:tblGrid>
                  <w:tr>
                    <w:trPr>
                      <w:trHeight w:val="716"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84"/>
                          <w:jc w:val="right"/>
                          <w:rPr>
                            <w:rFonts w:ascii="宋体" w:hAnsi="宋体" w:cs="宋体" w:eastAsia="宋体" w:hint="default"/>
                            <w:sz w:val="18"/>
                            <w:szCs w:val="18"/>
                          </w:rPr>
                        </w:pPr>
                        <w:r>
                          <w:rPr>
                            <w:rFonts w:ascii="宋体" w:hAnsi="宋体" w:cs="宋体" w:eastAsia="宋体" w:hint="default"/>
                            <w:spacing w:val="-2"/>
                            <w:sz w:val="18"/>
                            <w:szCs w:val="18"/>
                          </w:rPr>
                          <w:t>控股股东名称</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623" w:right="50" w:hanging="567"/>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责人</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57" w:hRule="exact"/>
                    </w:trPr>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608"/>
                          <w:jc w:val="righ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10203160-9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4"/>
                          <w:jc w:val="left"/>
                          <w:rPr>
                            <w:rFonts w:ascii="宋体" w:hAnsi="宋体" w:cs="宋体" w:eastAsia="宋体" w:hint="default"/>
                            <w:sz w:val="18"/>
                            <w:szCs w:val="18"/>
                          </w:rPr>
                        </w:pPr>
                        <w:r>
                          <w:rPr>
                            <w:rFonts w:ascii="宋体" w:hAnsi="宋体" w:cs="宋体" w:eastAsia="宋体" w:hint="default"/>
                            <w:spacing w:val="-3"/>
                            <w:sz w:val="18"/>
                            <w:szCs w:val="18"/>
                          </w:rPr>
                          <w:t>高新技术、新工艺、新产</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品开发、生产、销售；化</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10"/>
                            <w:w w:val="101"/>
                            <w:sz w:val="18"/>
                            <w:szCs w:val="18"/>
                          </w:rPr>
                          <w:t>工原材料（危险品除外）、</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sz w:val="18"/>
                            <w:szCs w:val="18"/>
                          </w:rPr>
                          <w:t>建筑材料、计算机软硬件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电子电器设备、有线通讯</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设备、机械设备、家用电</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器开发、生产、销售；装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6"/>
                            <w:sz w:val="18"/>
                            <w:szCs w:val="18"/>
                          </w:rPr>
                          <w:t>饰装修工程；百货的销售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上述范围的项目承包、技</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6"/>
        <w:ind w:left="0" w:right="14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7"/>
        <w:gridCol w:w="1613"/>
        <w:gridCol w:w="1724"/>
        <w:gridCol w:w="1882"/>
        <w:gridCol w:w="2084"/>
      </w:tblGrid>
      <w:tr>
        <w:trPr>
          <w:trHeight w:val="360" w:hRule="exact"/>
        </w:trPr>
        <w:tc>
          <w:tcPr>
            <w:tcW w:w="2267"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术咨询、信息咨询。</w:t>
            </w:r>
          </w:p>
        </w:tc>
      </w:tr>
      <w:tr>
        <w:trPr>
          <w:trHeight w:val="1028"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5"/>
              <w:jc w:val="both"/>
              <w:rPr>
                <w:rFonts w:ascii="宋体" w:hAnsi="宋体" w:cs="宋体" w:eastAsia="宋体" w:hint="default"/>
                <w:sz w:val="18"/>
                <w:szCs w:val="18"/>
              </w:rPr>
            </w:pPr>
            <w:r>
              <w:rPr>
                <w:rFonts w:ascii="宋体" w:hAnsi="宋体" w:cs="宋体" w:eastAsia="宋体" w:hint="default"/>
                <w:spacing w:val="-3"/>
                <w:sz w:val="18"/>
                <w:szCs w:val="18"/>
              </w:rPr>
              <w:t>控股股东报告期内控股和参</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股的其他境内外上市公司的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9"/>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公司报告期控股股东未发生变更。</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53" w:right="7055"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实际控制人性质：境内自然人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3328"/>
        <w:gridCol w:w="1997"/>
        <w:gridCol w:w="4245"/>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2"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59"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月至今，王晓岩先生担任中国希格玛有限公司董事长、总裁，北京东</w:t>
            </w:r>
          </w:p>
          <w:p>
            <w:pPr>
              <w:pStyle w:val="TableParagraph"/>
              <w:spacing w:line="304" w:lineRule="auto" w:before="58"/>
              <w:ind w:left="23" w:right="13"/>
              <w:jc w:val="left"/>
              <w:rPr>
                <w:rFonts w:ascii="宋体" w:hAnsi="宋体" w:cs="宋体" w:eastAsia="宋体" w:hint="default"/>
                <w:sz w:val="18"/>
                <w:szCs w:val="18"/>
              </w:rPr>
            </w:pPr>
            <w:r>
              <w:rPr>
                <w:rFonts w:ascii="宋体" w:hAnsi="宋体" w:cs="宋体" w:eastAsia="宋体" w:hint="default"/>
                <w:spacing w:val="-4"/>
                <w:sz w:val="18"/>
                <w:szCs w:val="18"/>
              </w:rPr>
              <w:t>方太阳城房地产开发有限责任公司董事长。</w:t>
            </w:r>
            <w:r>
              <w:rPr>
                <w:rFonts w:ascii="Times New Roman" w:hAnsi="Times New Roman" w:cs="Times New Roman" w:eastAsia="Times New Roman" w:hint="default"/>
                <w:spacing w:val="-4"/>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日至今，担任深圳市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深信泰丰（集团）股份有限公司董事。</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过去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年曾控股的境内外上市公司情况</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65"/>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line="350" w:lineRule="auto" w:before="119"/>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公司报告期实际控制人未发生变更。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公司与实际控制人之间的产权及控制关系的方框图</w:t>
      </w:r>
    </w:p>
    <w:p>
      <w:pPr>
        <w:spacing w:line="240" w:lineRule="auto" w:before="4"/>
        <w:rPr>
          <w:rFonts w:ascii="宋体" w:hAnsi="宋体" w:cs="宋体" w:eastAsia="宋体" w:hint="default"/>
          <w:sz w:val="20"/>
          <w:szCs w:val="20"/>
        </w:rPr>
      </w:pPr>
    </w:p>
    <w:p>
      <w:pPr>
        <w:spacing w:line="2901" w:lineRule="exact"/>
        <w:ind w:left="611" w:right="0" w:firstLine="0"/>
        <w:rPr>
          <w:rFonts w:ascii="宋体" w:hAnsi="宋体" w:cs="宋体" w:eastAsia="宋体" w:hint="default"/>
          <w:sz w:val="20"/>
          <w:szCs w:val="20"/>
        </w:rPr>
      </w:pPr>
      <w:r>
        <w:rPr>
          <w:rFonts w:ascii="宋体" w:hAnsi="宋体" w:cs="宋体" w:eastAsia="宋体" w:hint="default"/>
          <w:position w:val="-57"/>
          <w:sz w:val="20"/>
          <w:szCs w:val="20"/>
        </w:rPr>
        <w:pict>
          <v:group style="width:435.8pt;height:145.1pt;mso-position-horizontal-relative:char;mso-position-vertical-relative:line" coordorigin="0,0" coordsize="8716,2902">
            <v:group style="position:absolute;left:34;top:849;width:1415;height:533" coordorigin="34,849" coordsize="1415,533">
              <v:shape style="position:absolute;left:34;top:849;width:1415;height:533" coordorigin="34,849" coordsize="1415,533" path="m34,1382l1449,1382,1449,849,34,849,34,1382xe" filled="true" fillcolor="#cdcdcd" stroked="false">
                <v:path arrowok="t"/>
                <v:fill opacity="32639f" type="solid"/>
              </v:shape>
            </v:group>
            <v:group style="position:absolute;left:34;top:849;width:1415;height:2" coordorigin="34,849" coordsize="1415,2">
              <v:shape style="position:absolute;left:34;top:849;width:1415;height:2" coordorigin="34,849" coordsize="1415,0" path="m1449,849l34,849e" filled="false" stroked="true" strokeweight=".261206pt" strokecolor="#cdcdcd">
                <v:path arrowok="t"/>
              </v:shape>
            </v:group>
            <v:group style="position:absolute;left:1449;top:849;width:2;height:533" coordorigin="1449,849" coordsize="2,533">
              <v:shape style="position:absolute;left:1449;top:849;width:2;height:533" coordorigin="1449,849" coordsize="0,533" path="m1449,1382l1449,1382,1449,849e" filled="false" stroked="true" strokeweight=".262028pt" strokecolor="#cdcdcd">
                <v:path arrowok="t"/>
              </v:shape>
              <v:shape style="position:absolute;left:3;top:817;width:1431;height:533" type="#_x0000_t75" stroked="false">
                <v:imagedata r:id="rId14" o:title=""/>
              </v:shape>
            </v:group>
            <v:group style="position:absolute;left:3;top:817;width:1431;height:533" coordorigin="3,817" coordsize="1431,533">
              <v:shape style="position:absolute;left:3;top:817;width:1431;height:533" coordorigin="3,817" coordsize="1431,533" path="m3,1350l1433,1350,1433,817,3,817,3,1350xe" filled="false" stroked="true" strokeweight=".261306pt" strokecolor="#404040">
                <v:path arrowok="t"/>
              </v:shape>
            </v:group>
            <v:group style="position:absolute;left:2109;top:34;width:2374;height:361" coordorigin="2109,34" coordsize="2374,361">
              <v:shape style="position:absolute;left:2109;top:34;width:2374;height:361" coordorigin="2109,34" coordsize="2374,361" path="m2109,394l4483,394,4483,34,2109,34,2109,394xe" filled="true" fillcolor="#cdcdcd" stroked="false">
                <v:path arrowok="t"/>
                <v:fill opacity="32639f" type="solid"/>
              </v:shape>
            </v:group>
            <v:group style="position:absolute;left:2109;top:34;width:2374;height:2" coordorigin="2109,34" coordsize="2374,2">
              <v:shape style="position:absolute;left:2109;top:34;width:2374;height:2" coordorigin="2109,34" coordsize="2374,0" path="m4483,34l2109,34e" filled="false" stroked="true" strokeweight=".261206pt" strokecolor="#cdcdcd">
                <v:path arrowok="t"/>
              </v:shape>
            </v:group>
            <v:group style="position:absolute;left:4483;top:34;width:2;height:361" coordorigin="4483,34" coordsize="2,361">
              <v:shape style="position:absolute;left:4483;top:34;width:2;height:361" coordorigin="4483,34" coordsize="0,361" path="m4483,394l4483,394,4483,34e" filled="false" stroked="true" strokeweight=".262028pt" strokecolor="#cdcdcd">
                <v:path arrowok="t"/>
              </v:shape>
              <v:shape style="position:absolute;left:2078;top:3;width:2374;height:360" type="#_x0000_t75" stroked="false">
                <v:imagedata r:id="rId15" o:title=""/>
              </v:shape>
            </v:group>
            <v:group style="position:absolute;left:2078;top:3;width:2374;height:361" coordorigin="2078,3" coordsize="2374,361">
              <v:shape style="position:absolute;left:2078;top:3;width:2374;height:361" coordorigin="2078,3" coordsize="2374,361" path="m2078,363l4452,363,4452,3,2078,3,2078,363xe" filled="false" stroked="true" strokeweight=".261224pt" strokecolor="#404040">
                <v:path arrowok="t"/>
              </v:shape>
            </v:group>
            <v:group style="position:absolute;left:710;top:191;width:1368;height:518" coordorigin="710,191" coordsize="1368,518">
              <v:shape style="position:absolute;left:710;top:191;width:1368;height:518" coordorigin="710,191" coordsize="1368,518" path="m2078,191l710,191,710,708e" filled="false" stroked="true" strokeweight="1.045234pt" strokecolor="#404040">
                <v:path arrowok="t"/>
              </v:shape>
              <v:shape style="position:absolute;left:631;top:661;width:157;height:157" type="#_x0000_t75" stroked="false">
                <v:imagedata r:id="rId16" o:title=""/>
              </v:shape>
            </v:group>
            <v:group style="position:absolute;left:537;top:426;width:299;height:189" coordorigin="537,426" coordsize="299,189">
              <v:shape style="position:absolute;left:537;top:426;width:299;height:189" coordorigin="537,426" coordsize="299,189" path="m537,614l836,614,836,426,537,426,537,614xe" filled="true" fillcolor="#ffffff" stroked="false">
                <v:path arrowok="t"/>
                <v:fill type="solid"/>
              </v:shape>
              <v:shape style="position:absolute;left:1701;top:817;width:1415;height:533" type="#_x0000_t75" stroked="false">
                <v:imagedata r:id="rId17" o:title=""/>
              </v:shape>
              <v:shape style="position:absolute;left:2219;top:353;width:346;height:465" type="#_x0000_t75" stroked="false">
                <v:imagedata r:id="rId18" o:title=""/>
              </v:shape>
              <v:shape style="position:absolute;left:3383;top:817;width:1431;height:533" type="#_x0000_t75" stroked="false">
                <v:imagedata r:id="rId19" o:title=""/>
              </v:shape>
              <v:shape style="position:absolute;left:4043;top:353;width:299;height:465" type="#_x0000_t75" stroked="false">
                <v:imagedata r:id="rId20" o:title=""/>
              </v:shape>
            </v:group>
            <v:group style="position:absolute;left:4174;top:700;width:21;height:2" coordorigin="4174,700" coordsize="21,2">
              <v:shape style="position:absolute;left:4174;top:700;width:21;height:2" coordorigin="4174,700" coordsize="21,0" path="m4174,700l4195,700e" filled="false" stroked="true" strokeweight="1.044823pt" strokecolor="#404040">
                <v:path arrowok="t"/>
              </v:shape>
            </v:group>
            <v:group style="position:absolute;left:4452;top:191;width:1573;height:518" coordorigin="4452,191" coordsize="1573,518">
              <v:shape style="position:absolute;left:4452;top:191;width:1573;height:518" coordorigin="4452,191" coordsize="1573,518" path="m4452,191l6024,191,6024,708e" filled="false" stroked="true" strokeweight="1.045144pt" strokecolor="#404040">
                <v:path arrowok="t"/>
              </v:shape>
            </v:group>
            <v:group style="position:absolute;left:5348;top:849;width:1431;height:533" coordorigin="5348,849" coordsize="1431,533">
              <v:shape style="position:absolute;left:5348;top:849;width:1431;height:533" coordorigin="5348,849" coordsize="1431,533" path="m5348,1382l6779,1382,6779,849,5348,849,5348,1382xe" filled="true" fillcolor="#cdcdcd" stroked="false">
                <v:path arrowok="t"/>
                <v:fill opacity="32639f" type="solid"/>
              </v:shape>
            </v:group>
            <v:group style="position:absolute;left:5348;top:849;width:1431;height:2" coordorigin="5348,849" coordsize="1431,2">
              <v:shape style="position:absolute;left:5348;top:849;width:1431;height:2" coordorigin="5348,849" coordsize="1431,0" path="m6779,849l5348,849e" filled="false" stroked="true" strokeweight=".261206pt" strokecolor="#cdcdcd">
                <v:path arrowok="t"/>
              </v:shape>
            </v:group>
            <v:group style="position:absolute;left:6779;top:849;width:2;height:533" coordorigin="6779,849" coordsize="2,533">
              <v:shape style="position:absolute;left:6779;top:849;width:2;height:533" coordorigin="6779,849" coordsize="0,533" path="m6779,1382l6779,1382,6779,849e" filled="false" stroked="true" strokeweight=".262028pt" strokecolor="#cdcdcd">
                <v:path arrowok="t"/>
              </v:shape>
              <v:shape style="position:absolute;left:5317;top:817;width:1431;height:533" type="#_x0000_t75" stroked="false">
                <v:imagedata r:id="rId14" o:title=""/>
              </v:shape>
            </v:group>
            <v:group style="position:absolute;left:5317;top:817;width:1431;height:533" coordorigin="5317,817" coordsize="1431,533">
              <v:shape style="position:absolute;left:5317;top:817;width:1431;height:533" coordorigin="5317,817" coordsize="1431,533" path="m5317,1350l6747,1350,6747,817,5317,817,5317,1350xe" filled="false" stroked="true" strokeweight=".261306pt" strokecolor="#404040">
                <v:path arrowok="t"/>
              </v:shape>
              <v:shape style="position:absolute;left:5957;top:661;width:148;height:157" type="#_x0000_t75" stroked="false">
                <v:imagedata r:id="rId21" o:title=""/>
              </v:shape>
            </v:group>
            <v:group style="position:absolute;left:5883;top:379;width:299;height:204" coordorigin="5883,379" coordsize="299,204">
              <v:shape style="position:absolute;left:5883;top:379;width:299;height:204" coordorigin="5883,379" coordsize="299,204" path="m5883,582l6181,582,6181,379,5883,379,5883,582xe" filled="true" fillcolor="#ffffff" stroked="false">
                <v:path arrowok="t"/>
                <v:fill type="solid"/>
              </v:shape>
              <v:shape style="position:absolute;left:4813;top:974;width:514;height:204" type="#_x0000_t75" stroked="false">
                <v:imagedata r:id="rId22" o:title=""/>
              </v:shape>
            </v:group>
            <v:group style="position:absolute;left:710;top:1350;width:1258;height:721" coordorigin="710,1350" coordsize="1258,721">
              <v:shape style="position:absolute;left:710;top:1350;width:1258;height:721" coordorigin="710,1350" coordsize="1258,721" path="m710,1350l710,2071,1968,2071e" filled="false" stroked="true" strokeweight="1.045636pt" strokecolor="#404040">
                <v:path arrowok="t"/>
              </v:shape>
              <v:shape style="position:absolute;left:2078;top:1883;width:2374;height:360" type="#_x0000_t75" stroked="false">
                <v:imagedata r:id="rId15" o:title=""/>
              </v:shape>
              <v:shape style="position:absolute;left:1932;top:1992;width:146;height:147" type="#_x0000_t75" stroked="false">
                <v:imagedata r:id="rId23" o:title=""/>
              </v:shape>
            </v:group>
            <v:group style="position:absolute;left:474;top:1601;width:504;height:204" coordorigin="474,1601" coordsize="504,204">
              <v:shape style="position:absolute;left:474;top:1601;width:504;height:204" coordorigin="474,1601" coordsize="504,204" path="m474,1805l977,1805,977,1601,474,1601,474,1805xe" filled="true" fillcolor="#ffffff" stroked="false">
                <v:path arrowok="t"/>
                <v:fill type="solid"/>
              </v:shape>
            </v:group>
            <v:group style="position:absolute;left:7282;top:849;width:1431;height:533" coordorigin="7282,849" coordsize="1431,533">
              <v:shape style="position:absolute;left:7282;top:849;width:1431;height:533" coordorigin="7282,849" coordsize="1431,533" path="m7282,1382l8712,1382,8712,849,7282,849,7282,1382xe" filled="true" fillcolor="#cdcdcd" stroked="false">
                <v:path arrowok="t"/>
                <v:fill opacity="32639f" type="solid"/>
              </v:shape>
            </v:group>
            <v:group style="position:absolute;left:7282;top:849;width:1431;height:2" coordorigin="7282,849" coordsize="1431,2">
              <v:shape style="position:absolute;left:7282;top:849;width:1431;height:2" coordorigin="7282,849" coordsize="1431,0" path="m8712,849l7282,849e" filled="false" stroked="true" strokeweight=".261206pt" strokecolor="#cdcdcd">
                <v:path arrowok="t"/>
              </v:shape>
            </v:group>
            <v:group style="position:absolute;left:8712;top:849;width:2;height:533" coordorigin="8712,849" coordsize="2,533">
              <v:shape style="position:absolute;left:8712;top:849;width:2;height:533" coordorigin="8712,849" coordsize="0,533" path="m8712,1382l8712,1382,8712,849e" filled="false" stroked="true" strokeweight=".262028pt" strokecolor="#cdcdcd">
                <v:path arrowok="t"/>
              </v:shape>
              <v:shape style="position:absolute;left:7250;top:817;width:1431;height:533" type="#_x0000_t75" stroked="false">
                <v:imagedata r:id="rId19" o:title=""/>
              </v:shape>
            </v:group>
            <v:group style="position:absolute;left:7250;top:817;width:1431;height:533" coordorigin="7250,817" coordsize="1431,533">
              <v:shape style="position:absolute;left:7250;top:817;width:1431;height:533" coordorigin="7250,817" coordsize="1431,533" path="m7250,1350l8681,1350,8681,817,7250,817,7250,1350xe" filled="false" stroked="true" strokeweight=".261306pt" strokecolor="#404040">
                <v:path arrowok="t"/>
              </v:shape>
            </v:group>
            <v:group style="position:absolute;left:4562;top:1350;width:3396;height:721" coordorigin="4562,1350" coordsize="3396,721">
              <v:shape style="position:absolute;left:4562;top:1350;width:3396;height:721" coordorigin="4562,1350" coordsize="3396,721" path="m7958,1350l7958,2071,4562,2071e" filled="false" stroked="true" strokeweight="1.044965pt" strokecolor="#404040">
                <v:path arrowok="t"/>
              </v:shape>
              <v:shape style="position:absolute;left:4452;top:1992;width:157;height:147" type="#_x0000_t75" stroked="false">
                <v:imagedata r:id="rId24" o:title=""/>
              </v:shape>
            </v:group>
            <v:group style="position:absolute;left:7675;top:1601;width:504;height:204" coordorigin="7675,1601" coordsize="504,204">
              <v:shape style="position:absolute;left:7675;top:1601;width:504;height:204" coordorigin="7675,1601" coordsize="504,204" path="m7675,1805l8178,1805,8178,1601,7675,1601,7675,1805xe" filled="true" fillcolor="#ffffff" stroked="false">
                <v:path arrowok="t"/>
                <v:fill type="solid"/>
              </v:shape>
            </v:group>
            <v:group style="position:absolute;left:4562;top:1350;width:1463;height:721" coordorigin="4562,1350" coordsize="1463,721">
              <v:shape style="position:absolute;left:4562;top:1350;width:1463;height:721" coordorigin="4562,1350" coordsize="1463,721" path="m6024,1350l6024,2071,4562,2071e" filled="false" stroked="true" strokeweight="1.045466pt" strokecolor="#404040">
                <v:path arrowok="t"/>
              </v:shape>
              <v:shape style="position:absolute;left:4452;top:1992;width:157;height:147" type="#_x0000_t75" stroked="false">
                <v:imagedata r:id="rId24" o:title=""/>
              </v:shape>
            </v:group>
            <v:group style="position:absolute;left:5741;top:1601;width:582;height:204" coordorigin="5741,1601" coordsize="582,204">
              <v:shape style="position:absolute;left:5741;top:1601;width:582;height:204" coordorigin="5741,1601" coordsize="582,204" path="m5741,1805l6323,1805,6323,1601,5741,1601,5741,1805xe" filled="true" fillcolor="#ffffff" stroked="false">
                <v:path arrowok="t"/>
                <v:fill type="solid"/>
              </v:shape>
            </v:group>
            <v:group style="position:absolute;left:2408;top:1350;width:2;height:157" coordorigin="2408,1350" coordsize="2,157">
              <v:shape style="position:absolute;left:2408;top:1350;width:2;height:157" coordorigin="2408,1350" coordsize="0,157" path="m2408,1350l2408,1507e" filled="false" stroked="true" strokeweight="1.048110pt" strokecolor="#404040">
                <v:path arrowok="t"/>
              </v:shape>
              <v:shape style="position:absolute;left:2329;top:1700;width:157;height:183" type="#_x0000_t75" stroked="false">
                <v:imagedata r:id="rId25" o:title=""/>
              </v:shape>
            </v:group>
            <v:group style="position:absolute;left:4106;top:1350;width:2;height:157" coordorigin="4106,1350" coordsize="2,157">
              <v:shape style="position:absolute;left:4106;top:1350;width:2;height:157" coordorigin="4106,1350" coordsize="0,157" path="m4106,1350l4106,1507e" filled="false" stroked="true" strokeweight="1.048110pt" strokecolor="#404040">
                <v:path arrowok="t"/>
              </v:shape>
              <v:shape style="position:absolute;left:4026;top:1700;width:148;height:183" type="#_x0000_t75" stroked="false">
                <v:imagedata r:id="rId26" o:title=""/>
              </v:shape>
              <v:shape style="position:absolute;left:2078;top:2510;width:2374;height:376" type="#_x0000_t75" stroked="false">
                <v:imagedata r:id="rId27" o:title=""/>
              </v:shape>
              <v:shape style="position:absolute;left:3194;top:2233;width:148;height:277" type="#_x0000_t75" stroked="false">
                <v:imagedata r:id="rId28" o:title=""/>
              </v:shape>
            </v:group>
            <v:group style="position:absolute;left:3021;top:2291;width:504;height:189" coordorigin="3021,2291" coordsize="504,189">
              <v:shape style="position:absolute;left:3021;top:2291;width:504;height:189" coordorigin="3021,2291" coordsize="504,189" path="m3021,2479l3524,2479,3524,2291,3021,2291,3021,2479xe" filled="true" fillcolor="#ffffff" stroked="false">
                <v:path arrowok="t"/>
                <v:fill type="solid"/>
              </v:shape>
              <v:shape style="position:absolute;left:2092;top:16;width:2376;height:362" type="#_x0000_t202" filled="false" stroked="false">
                <v:textbox inset="0,0,0,0">
                  <w:txbxContent>
                    <w:p>
                      <w:pPr>
                        <w:spacing w:before="38"/>
                        <w:ind w:left="0" w:right="21" w:firstLine="0"/>
                        <w:jc w:val="center"/>
                        <w:rPr>
                          <w:rFonts w:ascii="宋体" w:hAnsi="宋体" w:cs="宋体" w:eastAsia="宋体" w:hint="default"/>
                          <w:sz w:val="16"/>
                          <w:szCs w:val="16"/>
                        </w:rPr>
                      </w:pPr>
                      <w:r>
                        <w:rPr>
                          <w:rFonts w:ascii="宋体" w:hAnsi="宋体" w:cs="宋体" w:eastAsia="宋体" w:hint="default"/>
                          <w:w w:val="105"/>
                          <w:sz w:val="16"/>
                          <w:szCs w:val="16"/>
                        </w:rPr>
                        <w:t>王晓岩</w:t>
                      </w:r>
                      <w:r>
                        <w:rPr>
                          <w:rFonts w:ascii="宋体" w:hAnsi="宋体" w:cs="宋体" w:eastAsia="宋体" w:hint="default"/>
                          <w:sz w:val="16"/>
                          <w:szCs w:val="16"/>
                        </w:rPr>
                      </w:r>
                    </w:p>
                  </w:txbxContent>
                </v:textbox>
                <w10:wrap type="none"/>
              </v:shape>
              <v:shape style="position:absolute;left:17;top:831;width:1425;height:535" type="#_x0000_t202" filled="false" stroked="false">
                <v:textbox inset="0,0,0,0">
                  <w:txbxContent>
                    <w:p>
                      <w:pPr>
                        <w:spacing w:line="249" w:lineRule="auto" w:before="2"/>
                        <w:ind w:left="192" w:right="139" w:hanging="84"/>
                        <w:jc w:val="left"/>
                        <w:rPr>
                          <w:rFonts w:ascii="宋体" w:hAnsi="宋体" w:cs="宋体" w:eastAsia="宋体" w:hint="default"/>
                          <w:sz w:val="16"/>
                          <w:szCs w:val="16"/>
                        </w:rPr>
                      </w:pPr>
                      <w:r>
                        <w:rPr>
                          <w:rFonts w:ascii="宋体" w:hAnsi="宋体" w:cs="宋体" w:eastAsia="宋体" w:hint="default"/>
                          <w:w w:val="105"/>
                          <w:sz w:val="16"/>
                          <w:szCs w:val="16"/>
                        </w:rPr>
                        <w:t>北京深海鸿投资</w:t>
                      </w:r>
                      <w:r>
                        <w:rPr>
                          <w:rFonts w:ascii="宋体" w:hAnsi="宋体" w:cs="宋体" w:eastAsia="宋体" w:hint="default"/>
                          <w:w w:val="104"/>
                          <w:sz w:val="16"/>
                          <w:szCs w:val="16"/>
                        </w:rPr>
                        <w:t> </w:t>
                      </w:r>
                      <w:r>
                        <w:rPr>
                          <w:rFonts w:ascii="宋体" w:hAnsi="宋体" w:cs="宋体" w:eastAsia="宋体" w:hint="default"/>
                          <w:w w:val="105"/>
                          <w:sz w:val="16"/>
                          <w:szCs w:val="16"/>
                        </w:rPr>
                        <w:t>顾问有限公司</w:t>
                      </w:r>
                      <w:r>
                        <w:rPr>
                          <w:rFonts w:ascii="宋体" w:hAnsi="宋体" w:cs="宋体" w:eastAsia="宋体" w:hint="default"/>
                          <w:sz w:val="16"/>
                          <w:szCs w:val="16"/>
                        </w:rPr>
                      </w:r>
                    </w:p>
                  </w:txbxContent>
                </v:textbox>
                <w10:wrap type="none"/>
              </v:shape>
              <v:shape style="position:absolute;left:5331;top:831;width:1432;height:535" type="#_x0000_t202" filled="false" stroked="false">
                <v:textbox inset="0,0,0,0">
                  <w:txbxContent>
                    <w:p>
                      <w:pPr>
                        <w:spacing w:line="249" w:lineRule="auto" w:before="2"/>
                        <w:ind w:left="197" w:right="142" w:hanging="84"/>
                        <w:jc w:val="left"/>
                        <w:rPr>
                          <w:rFonts w:ascii="宋体" w:hAnsi="宋体" w:cs="宋体" w:eastAsia="宋体" w:hint="default"/>
                          <w:sz w:val="16"/>
                          <w:szCs w:val="16"/>
                        </w:rPr>
                      </w:pPr>
                      <w:r>
                        <w:rPr>
                          <w:rFonts w:ascii="宋体" w:hAnsi="宋体" w:cs="宋体" w:eastAsia="宋体" w:hint="default"/>
                          <w:sz w:val="16"/>
                          <w:szCs w:val="16"/>
                        </w:rPr>
                        <w:t>北京金英合投资</w:t>
                      </w:r>
                      <w:r>
                        <w:rPr>
                          <w:rFonts w:ascii="宋体" w:hAnsi="宋体" w:cs="宋体" w:eastAsia="宋体" w:hint="default"/>
                          <w:spacing w:val="-27"/>
                          <w:sz w:val="16"/>
                          <w:szCs w:val="16"/>
                        </w:rPr>
                        <w:t> </w:t>
                      </w:r>
                      <w:r>
                        <w:rPr>
                          <w:rFonts w:ascii="宋体" w:hAnsi="宋体" w:cs="宋体" w:eastAsia="宋体" w:hint="default"/>
                          <w:w w:val="105"/>
                          <w:sz w:val="16"/>
                          <w:szCs w:val="16"/>
                        </w:rPr>
                        <w:t>咨询有限公司</w:t>
                      </w:r>
                      <w:r>
                        <w:rPr>
                          <w:rFonts w:ascii="宋体" w:hAnsi="宋体" w:cs="宋体" w:eastAsia="宋体" w:hint="default"/>
                          <w:sz w:val="16"/>
                          <w:szCs w:val="16"/>
                        </w:rPr>
                      </w:r>
                    </w:p>
                  </w:txbxContent>
                </v:textbox>
                <w10:wrap type="none"/>
              </v:shape>
              <v:shape style="position:absolute;left:7265;top:831;width:1432;height:535" type="#_x0000_t202" filled="false" stroked="false">
                <v:textbox inset="0,0,0,0">
                  <w:txbxContent>
                    <w:p>
                      <w:pPr>
                        <w:spacing w:line="249" w:lineRule="auto" w:before="2"/>
                        <w:ind w:left="446" w:right="145" w:hanging="336"/>
                        <w:jc w:val="left"/>
                        <w:rPr>
                          <w:rFonts w:ascii="宋体" w:hAnsi="宋体" w:cs="宋体" w:eastAsia="宋体" w:hint="default"/>
                          <w:sz w:val="16"/>
                          <w:szCs w:val="16"/>
                        </w:rPr>
                      </w:pPr>
                      <w:r>
                        <w:rPr>
                          <w:rFonts w:ascii="宋体" w:hAnsi="宋体" w:cs="宋体" w:eastAsia="宋体" w:hint="default"/>
                          <w:sz w:val="16"/>
                          <w:szCs w:val="16"/>
                        </w:rPr>
                        <w:t>浙江瑞和投资有</w:t>
                      </w:r>
                      <w:r>
                        <w:rPr>
                          <w:rFonts w:ascii="宋体" w:hAnsi="宋体" w:cs="宋体" w:eastAsia="宋体" w:hint="default"/>
                          <w:spacing w:val="-27"/>
                          <w:sz w:val="16"/>
                          <w:szCs w:val="16"/>
                        </w:rPr>
                        <w:t> </w:t>
                      </w:r>
                      <w:r>
                        <w:rPr>
                          <w:rFonts w:ascii="宋体" w:hAnsi="宋体" w:cs="宋体" w:eastAsia="宋体" w:hint="default"/>
                          <w:w w:val="105"/>
                          <w:sz w:val="16"/>
                          <w:szCs w:val="16"/>
                        </w:rPr>
                        <w:t>限公司</w:t>
                      </w:r>
                      <w:r>
                        <w:rPr>
                          <w:rFonts w:ascii="宋体" w:hAnsi="宋体" w:cs="宋体" w:eastAsia="宋体" w:hint="default"/>
                          <w:sz w:val="16"/>
                          <w:szCs w:val="16"/>
                        </w:rPr>
                      </w:r>
                    </w:p>
                  </w:txbxContent>
                </v:textbox>
                <w10:wrap type="none"/>
              </v:shape>
              <v:shape style="position:absolute;left:6035;top:1628;width:290;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z w:val="16"/>
                        </w:rPr>
                        <w:t>26%</w:t>
                      </w:r>
                    </w:p>
                  </w:txbxContent>
                </v:textbox>
                <w10:wrap type="none"/>
              </v:shape>
              <v:shape style="position:absolute;left:7681;top:1628;width:298;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z w:val="16"/>
                        </w:rPr>
                        <w:t>9.96</w:t>
                      </w:r>
                    </w:p>
                  </w:txbxContent>
                </v:textbox>
                <w10:wrap type="none"/>
              </v:shape>
              <v:shape style="position:absolute;left:538;top:443;width:290;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z w:val="16"/>
                        </w:rPr>
                        <w:t>80%</w:t>
                      </w:r>
                    </w:p>
                  </w:txbxContent>
                </v:textbox>
                <w10:wrap type="none"/>
              </v:shape>
              <v:shape style="position:absolute;left:2226;top:517;width:332;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pacing w:val="-1"/>
                          <w:w w:val="105"/>
                          <w:sz w:val="16"/>
                        </w:rPr>
                        <w:t>6.9%</w:t>
                      </w:r>
                      <w:r>
                        <w:rPr>
                          <w:rFonts w:ascii="Calibri"/>
                          <w:spacing w:val="-1"/>
                          <w:sz w:val="16"/>
                        </w:rPr>
                      </w:r>
                    </w:p>
                  </w:txbxContent>
                </v:textbox>
                <w10:wrap type="none"/>
              </v:shape>
              <v:shape style="position:absolute;left:4044;top:517;width:290;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z w:val="16"/>
                        </w:rPr>
                        <w:t>30%</w:t>
                      </w:r>
                    </w:p>
                  </w:txbxContent>
                </v:textbox>
                <w10:wrap type="none"/>
              </v:shape>
              <v:shape style="position:absolute;left:5886;top:407;width:290;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z w:val="16"/>
                        </w:rPr>
                        <w:t>52%</w:t>
                      </w:r>
                    </w:p>
                  </w:txbxContent>
                </v:textbox>
                <w10:wrap type="none"/>
              </v:shape>
              <v:shape style="position:absolute;left:4921;top:1006;width:290;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z w:val="16"/>
                        </w:rPr>
                        <w:t>40%</w:t>
                      </w:r>
                    </w:p>
                  </w:txbxContent>
                </v:textbox>
                <w10:wrap type="none"/>
              </v:shape>
              <v:shape style="position:absolute;left:468;top:1628;width:503;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z w:val="16"/>
                        </w:rPr>
                        <w:t>29.89%</w:t>
                      </w:r>
                    </w:p>
                  </w:txbxContent>
                </v:textbox>
                <w10:wrap type="none"/>
              </v:shape>
              <v:shape style="position:absolute;left:2113;top:1539;width:588;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z w:val="16"/>
                        </w:rPr>
                        <w:t>19.926%</w:t>
                      </w:r>
                    </w:p>
                  </w:txbxContent>
                </v:textbox>
                <w10:wrap type="none"/>
              </v:shape>
              <v:shape style="position:absolute;left:3806;top:1539;width:588;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z w:val="16"/>
                        </w:rPr>
                        <w:t>20.295%</w:t>
                      </w:r>
                    </w:p>
                  </w:txbxContent>
                </v:textbox>
                <w10:wrap type="none"/>
              </v:shape>
              <v:shape style="position:absolute;left:5738;top:1628;width:298;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z w:val="16"/>
                        </w:rPr>
                        <w:t>19.9</w:t>
                      </w:r>
                    </w:p>
                  </w:txbxContent>
                </v:textbox>
                <w10:wrap type="none"/>
              </v:shape>
              <v:shape style="position:absolute;left:7979;top:1628;width:205;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pacing w:val="-1"/>
                          <w:w w:val="105"/>
                          <w:sz w:val="16"/>
                        </w:rPr>
                        <w:t>3%</w:t>
                      </w:r>
                      <w:r>
                        <w:rPr>
                          <w:rFonts w:ascii="Calibri"/>
                          <w:spacing w:val="-1"/>
                          <w:sz w:val="16"/>
                        </w:rPr>
                      </w:r>
                    </w:p>
                  </w:txbxContent>
                </v:textbox>
                <w10:wrap type="none"/>
              </v:shape>
              <v:shape style="position:absolute;left:3017;top:2309;width:503;height:168" type="#_x0000_t202" filled="false" stroked="false">
                <v:textbox inset="0,0,0,0">
                  <w:txbxContent>
                    <w:p>
                      <w:pPr>
                        <w:spacing w:line="167" w:lineRule="exact" w:before="0"/>
                        <w:ind w:left="0" w:right="0" w:firstLine="0"/>
                        <w:jc w:val="left"/>
                        <w:rPr>
                          <w:rFonts w:ascii="Calibri" w:hAnsi="Calibri" w:cs="Calibri" w:eastAsia="Calibri" w:hint="default"/>
                          <w:sz w:val="16"/>
                          <w:szCs w:val="16"/>
                        </w:rPr>
                      </w:pPr>
                      <w:r>
                        <w:rPr>
                          <w:rFonts w:ascii="Calibri"/>
                          <w:sz w:val="16"/>
                        </w:rPr>
                        <w:t>21.88%</w:t>
                      </w:r>
                    </w:p>
                  </w:txbxContent>
                </v:textbox>
                <w10:wrap type="none"/>
              </v:shape>
              <v:shape style="position:absolute;left:1707;top:831;width:1425;height:535" type="#_x0000_t202" filled="false" stroked="true" strokeweight=".261308pt" strokecolor="#404040">
                <v:textbox inset="0,0,0,0">
                  <w:txbxContent>
                    <w:p>
                      <w:pPr>
                        <w:spacing w:line="249" w:lineRule="auto" w:before="0"/>
                        <w:ind w:left="445" w:right="133" w:hanging="336"/>
                        <w:jc w:val="left"/>
                        <w:rPr>
                          <w:rFonts w:ascii="宋体" w:hAnsi="宋体" w:cs="宋体" w:eastAsia="宋体" w:hint="default"/>
                          <w:sz w:val="16"/>
                          <w:szCs w:val="16"/>
                        </w:rPr>
                      </w:pPr>
                      <w:r>
                        <w:rPr>
                          <w:rFonts w:ascii="宋体" w:hAnsi="宋体" w:cs="宋体" w:eastAsia="宋体" w:hint="default"/>
                          <w:w w:val="105"/>
                          <w:sz w:val="16"/>
                          <w:szCs w:val="16"/>
                        </w:rPr>
                        <w:t>吉林万隆置业有</w:t>
                      </w:r>
                      <w:r>
                        <w:rPr>
                          <w:rFonts w:ascii="宋体" w:hAnsi="宋体" w:cs="宋体" w:eastAsia="宋体" w:hint="default"/>
                          <w:w w:val="104"/>
                          <w:sz w:val="16"/>
                          <w:szCs w:val="16"/>
                        </w:rPr>
                        <w:t> </w:t>
                      </w:r>
                      <w:r>
                        <w:rPr>
                          <w:rFonts w:ascii="宋体" w:hAnsi="宋体" w:cs="宋体" w:eastAsia="宋体" w:hint="default"/>
                          <w:w w:val="105"/>
                          <w:sz w:val="16"/>
                          <w:szCs w:val="16"/>
                        </w:rPr>
                        <w:t>限公司</w:t>
                      </w:r>
                      <w:r>
                        <w:rPr>
                          <w:rFonts w:ascii="宋体" w:hAnsi="宋体" w:cs="宋体" w:eastAsia="宋体" w:hint="default"/>
                          <w:sz w:val="16"/>
                          <w:szCs w:val="16"/>
                        </w:rPr>
                      </w:r>
                    </w:p>
                  </w:txbxContent>
                </v:textbox>
                <w10:wrap type="none"/>
              </v:shape>
              <v:shape style="position:absolute;left:3397;top:831;width:1432;height:535" type="#_x0000_t202" filled="false" stroked="true" strokeweight=".261306pt" strokecolor="#404040">
                <v:textbox inset="0,0,0,0">
                  <w:txbxContent>
                    <w:p>
                      <w:pPr>
                        <w:spacing w:line="249" w:lineRule="auto" w:before="0"/>
                        <w:ind w:left="197" w:right="137" w:hanging="84"/>
                        <w:jc w:val="left"/>
                        <w:rPr>
                          <w:rFonts w:ascii="宋体" w:hAnsi="宋体" w:cs="宋体" w:eastAsia="宋体" w:hint="default"/>
                          <w:sz w:val="16"/>
                          <w:szCs w:val="16"/>
                        </w:rPr>
                      </w:pPr>
                      <w:r>
                        <w:rPr>
                          <w:rFonts w:ascii="宋体" w:hAnsi="宋体" w:cs="宋体" w:eastAsia="宋体" w:hint="default"/>
                          <w:w w:val="105"/>
                          <w:sz w:val="16"/>
                          <w:szCs w:val="16"/>
                        </w:rPr>
                        <w:t>北京天地缘投资</w:t>
                      </w:r>
                      <w:r>
                        <w:rPr>
                          <w:rFonts w:ascii="宋体" w:hAnsi="宋体" w:cs="宋体" w:eastAsia="宋体" w:hint="default"/>
                          <w:w w:val="104"/>
                          <w:sz w:val="16"/>
                          <w:szCs w:val="16"/>
                        </w:rPr>
                        <w:t> </w:t>
                      </w:r>
                      <w:r>
                        <w:rPr>
                          <w:rFonts w:ascii="宋体" w:hAnsi="宋体" w:cs="宋体" w:eastAsia="宋体" w:hint="default"/>
                          <w:w w:val="105"/>
                          <w:sz w:val="16"/>
                          <w:szCs w:val="16"/>
                        </w:rPr>
                        <w:t>管理有限公司</w:t>
                      </w:r>
                      <w:r>
                        <w:rPr>
                          <w:rFonts w:ascii="宋体" w:hAnsi="宋体" w:cs="宋体" w:eastAsia="宋体" w:hint="default"/>
                          <w:sz w:val="16"/>
                          <w:szCs w:val="16"/>
                        </w:rPr>
                      </w:r>
                    </w:p>
                  </w:txbxContent>
                </v:textbox>
                <w10:wrap type="none"/>
              </v:shape>
              <v:shape style="position:absolute;left:2092;top:1896;width:2376;height:362" type="#_x0000_t202" filled="false" stroked="true" strokeweight=".261224pt" strokecolor="#404040">
                <v:textbox inset="0,0,0,0">
                  <w:txbxContent>
                    <w:p>
                      <w:pPr>
                        <w:spacing w:before="35"/>
                        <w:ind w:left="753" w:right="0" w:firstLine="0"/>
                        <w:jc w:val="left"/>
                        <w:rPr>
                          <w:rFonts w:ascii="宋体" w:hAnsi="宋体" w:cs="宋体" w:eastAsia="宋体" w:hint="default"/>
                          <w:sz w:val="16"/>
                          <w:szCs w:val="16"/>
                        </w:rPr>
                      </w:pPr>
                      <w:r>
                        <w:rPr>
                          <w:rFonts w:ascii="宋体" w:hAnsi="宋体" w:cs="宋体" w:eastAsia="宋体" w:hint="default"/>
                          <w:w w:val="105"/>
                          <w:sz w:val="16"/>
                          <w:szCs w:val="16"/>
                        </w:rPr>
                        <w:t>希格玛公司</w:t>
                      </w:r>
                      <w:r>
                        <w:rPr>
                          <w:rFonts w:ascii="宋体" w:hAnsi="宋体" w:cs="宋体" w:eastAsia="宋体" w:hint="default"/>
                          <w:sz w:val="16"/>
                          <w:szCs w:val="16"/>
                        </w:rPr>
                      </w:r>
                    </w:p>
                  </w:txbxContent>
                </v:textbox>
                <w10:wrap type="none"/>
              </v:shape>
              <v:shape style="position:absolute;left:2092;top:2523;width:2376;height:379" type="#_x0000_t202" filled="false" stroked="true" strokeweight=".261226pt" strokecolor="#404040">
                <v:textbox inset="0,0,0,0">
                  <w:txbxContent>
                    <w:p>
                      <w:pPr>
                        <w:spacing w:before="45"/>
                        <w:ind w:left="0" w:right="21" w:firstLine="0"/>
                        <w:jc w:val="center"/>
                        <w:rPr>
                          <w:rFonts w:ascii="宋体" w:hAnsi="宋体" w:cs="宋体" w:eastAsia="宋体" w:hint="default"/>
                          <w:sz w:val="16"/>
                          <w:szCs w:val="16"/>
                        </w:rPr>
                      </w:pPr>
                      <w:r>
                        <w:rPr>
                          <w:rFonts w:ascii="宋体" w:hAnsi="宋体" w:cs="宋体" w:eastAsia="宋体" w:hint="default"/>
                          <w:w w:val="105"/>
                          <w:sz w:val="16"/>
                          <w:szCs w:val="16"/>
                        </w:rPr>
                        <w:t>深信泰丰</w:t>
                      </w:r>
                      <w:r>
                        <w:rPr>
                          <w:rFonts w:ascii="宋体" w:hAnsi="宋体" w:cs="宋体" w:eastAsia="宋体" w:hint="default"/>
                          <w:sz w:val="16"/>
                          <w:szCs w:val="16"/>
                        </w:rPr>
                      </w:r>
                    </w:p>
                  </w:txbxContent>
                </v:textbox>
                <w10:wrap type="none"/>
              </v:shape>
            </v:group>
          </v:group>
        </w:pict>
      </w:r>
      <w:r>
        <w:rPr>
          <w:rFonts w:ascii="宋体" w:hAnsi="宋体" w:cs="宋体" w:eastAsia="宋体" w:hint="default"/>
          <w:position w:val="-57"/>
          <w:sz w:val="20"/>
          <w:szCs w:val="20"/>
        </w:rPr>
      </w:r>
    </w:p>
    <w:p>
      <w:pPr>
        <w:spacing w:line="240" w:lineRule="auto" w:before="3"/>
        <w:rPr>
          <w:rFonts w:ascii="宋体" w:hAnsi="宋体" w:cs="宋体" w:eastAsia="宋体" w:hint="default"/>
          <w:sz w:val="20"/>
          <w:szCs w:val="20"/>
        </w:rPr>
      </w:pPr>
    </w:p>
    <w:p>
      <w:pPr>
        <w:pStyle w:val="Heading3"/>
        <w:spacing w:line="240" w:lineRule="auto" w:before="26"/>
        <w:ind w:right="0"/>
        <w:jc w:val="left"/>
      </w:pPr>
      <w:r>
        <w:rPr/>
        <w:t>实际控制人通过信托或其他资产管理方式控制公司</w:t>
      </w:r>
    </w:p>
    <w:p>
      <w:pPr>
        <w:spacing w:line="240" w:lineRule="auto" w:before="7"/>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283" w:right="0"/>
        <w:jc w:val="left"/>
        <w:rPr>
          <w:b w:val="0"/>
          <w:bCs w:val="0"/>
        </w:rPr>
      </w:pPr>
      <w:bookmarkStart w:name="_bookmark6" w:id="7"/>
      <w:bookmarkEnd w:id="7"/>
      <w:r>
        <w:rPr>
          <w:b w:val="0"/>
          <w:bCs w:val="0"/>
        </w:rPr>
      </w:r>
      <w:r>
        <w:rPr/>
        <w:t>第七节 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6"/>
        <w:ind w:left="153" w:right="70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报告期公司不存在优先股。</w:t>
      </w:r>
    </w:p>
    <w:p>
      <w:pPr>
        <w:spacing w:after="0" w:line="338"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680" w:right="0"/>
        <w:jc w:val="left"/>
        <w:rPr>
          <w:b w:val="0"/>
          <w:bCs w:val="0"/>
        </w:rPr>
      </w:pPr>
      <w:bookmarkStart w:name="_bookmark7" w:id="8"/>
      <w:bookmarkEnd w:id="8"/>
      <w:r>
        <w:rPr>
          <w:b w:val="0"/>
          <w:bCs w:val="0"/>
        </w:rPr>
      </w:r>
      <w:r>
        <w:rPr/>
        <w:t>第八节</w:t>
      </w:r>
      <w:r>
        <w:rPr>
          <w:spacing w:val="-2"/>
        </w:rPr>
        <w:t> </w:t>
      </w:r>
      <w:r>
        <w:rPr/>
        <w:t>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90.007599pt;margin-top:33.451614pt;width:45.2pt;height:50.7pt;mso-position-horizontal-relative:page;mso-position-vertical-relative:paragraph;z-index:-73864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4" w:right="26"/>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27"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18"/>
                <w:w w:val="101"/>
                <w:sz w:val="18"/>
                <w:szCs w:val="18"/>
              </w:rPr>
              <w:t>变动（股</w:t>
            </w:r>
            <w:r>
              <w:rPr>
                <w:rFonts w:ascii="宋体" w:hAnsi="宋体" w:cs="宋体" w:eastAsia="宋体" w:hint="default"/>
                <w:spacing w:val="-18"/>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3" w:right="27"/>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陈冬元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鲁功亮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叶翔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高良玉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梁缉永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王祖荣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费泳洁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龙志辉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张小立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梁侠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4,403</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林小浓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4" w:lineRule="auto"/>
              <w:ind w:left="24" w:right="36"/>
              <w:jc w:val="left"/>
              <w:rPr>
                <w:rFonts w:ascii="宋体" w:hAnsi="宋体" w:cs="宋体" w:eastAsia="宋体" w:hint="default"/>
                <w:sz w:val="18"/>
                <w:szCs w:val="18"/>
              </w:rPr>
            </w:pPr>
            <w:r>
              <w:rPr>
                <w:rFonts w:ascii="宋体" w:hAnsi="宋体" w:cs="宋体" w:eastAsia="宋体" w:hint="default"/>
                <w:sz w:val="18"/>
                <w:szCs w:val="18"/>
              </w:rPr>
              <w:t>总经理助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孙德志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3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14,403</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50"/>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自身原因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费泳洁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r>
        <w:rPr/>
        <w:t>三、任职情况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spacing w:line="240" w:lineRule="auto" w:before="8"/>
        <w:rPr>
          <w:rFonts w:ascii="宋体" w:hAnsi="宋体" w:cs="宋体" w:eastAsia="宋体" w:hint="default"/>
          <w:sz w:val="15"/>
          <w:szCs w:val="15"/>
        </w:rPr>
      </w:pPr>
    </w:p>
    <w:p>
      <w:pPr>
        <w:pStyle w:val="BodyText"/>
        <w:spacing w:line="386" w:lineRule="auto" w:before="0"/>
        <w:ind w:right="145" w:firstLine="422"/>
        <w:jc w:val="both"/>
      </w:pPr>
      <w:r>
        <w:rPr>
          <w:spacing w:val="-2"/>
        </w:rPr>
        <w:t>（一）王晓岩，最近五年担任中国希格玛有限公司董事长兼总裁、北京东方太阳城房地产开发有限责</w:t>
      </w:r>
      <w:r>
        <w:rPr>
          <w:w w:val="100"/>
        </w:rPr>
        <w:t> </w:t>
      </w:r>
      <w:r>
        <w:rPr/>
        <w:t>任公司董事长、深圳市深信泰丰（集团）股份有限公司董事。</w:t>
      </w:r>
    </w:p>
    <w:p>
      <w:pPr>
        <w:pStyle w:val="BodyText"/>
        <w:spacing w:line="240" w:lineRule="auto" w:before="38"/>
        <w:ind w:left="575" w:right="0"/>
        <w:jc w:val="left"/>
      </w:pPr>
      <w:r>
        <w:rPr/>
        <w:t>（二）晏群，最近五年在深圳市深信泰丰（集团）股份有限公司工作，任董事长、总经理。</w:t>
      </w:r>
    </w:p>
    <w:p>
      <w:pPr>
        <w:pStyle w:val="BodyText"/>
        <w:spacing w:line="386" w:lineRule="auto" w:before="162"/>
        <w:ind w:right="145" w:firstLine="422"/>
        <w:jc w:val="both"/>
      </w:pPr>
      <w:r>
        <w:rPr>
          <w:spacing w:val="-2"/>
        </w:rPr>
        <w:t>（三）陈冬元，最近五年曾任深圳市宝安区投资管理有限公司企业管理部副部长，深圳市滨海置业有</w:t>
      </w:r>
      <w:r>
        <w:rPr>
          <w:w w:val="100"/>
        </w:rPr>
        <w:t> </w:t>
      </w:r>
      <w:r>
        <w:rPr>
          <w:spacing w:val="-2"/>
        </w:rPr>
        <w:t>限公司总经理；现任深圳市宝安建设投资有限公司投资发展部负责人，深圳市深信泰丰（集团）股份有限</w:t>
      </w:r>
      <w:r>
        <w:rPr>
          <w:spacing w:val="-33"/>
        </w:rPr>
        <w:t> </w:t>
      </w:r>
      <w:r>
        <w:rPr>
          <w:spacing w:val="-33"/>
        </w:rPr>
      </w:r>
      <w:r>
        <w:rPr/>
        <w:t>公司董事。</w:t>
      </w:r>
    </w:p>
    <w:p>
      <w:pPr>
        <w:pStyle w:val="BodyText"/>
        <w:spacing w:line="386" w:lineRule="auto"/>
        <w:ind w:right="146" w:firstLine="422"/>
        <w:jc w:val="both"/>
      </w:pPr>
      <w:r>
        <w:rPr>
          <w:spacing w:val="-2"/>
        </w:rPr>
        <w:t>（四）鲁功亮，最近五年在重庆润江基础设施投资有限公司工作，任部门经理，深圳市深信泰丰（集</w:t>
      </w:r>
      <w:r>
        <w:rPr>
          <w:w w:val="100"/>
        </w:rPr>
        <w:t> </w:t>
      </w:r>
      <w:r>
        <w:rPr/>
        <w:t>团）股份有限公司董事。</w:t>
      </w:r>
    </w:p>
    <w:p>
      <w:pPr>
        <w:spacing w:after="0" w:line="386" w:lineRule="auto"/>
        <w:jc w:val="both"/>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left="566" w:right="0"/>
        <w:jc w:val="left"/>
      </w:pPr>
      <w:r>
        <w:rPr/>
        <w:t>（五）叶翔，最近五年曾任香港证监会总监，现任汇信资本有限公司董事、总经理，深圳市深信泰丰</w:t>
      </w:r>
    </w:p>
    <w:p>
      <w:pPr>
        <w:pStyle w:val="BodyText"/>
        <w:spacing w:line="240" w:lineRule="auto" w:before="166"/>
        <w:ind w:right="0"/>
        <w:jc w:val="left"/>
      </w:pPr>
      <w:r>
        <w:rPr/>
        <w:t>（集团）股份有限公司独立董事。</w:t>
      </w:r>
    </w:p>
    <w:p>
      <w:pPr>
        <w:pStyle w:val="BodyText"/>
        <w:spacing w:line="386" w:lineRule="auto" w:before="162"/>
        <w:ind w:right="0" w:firstLine="412"/>
        <w:jc w:val="left"/>
      </w:pPr>
      <w:r>
        <w:rPr>
          <w:spacing w:val="-4"/>
        </w:rPr>
        <w:t>（六）高良玉，最近五年曾任南方基金管理有限公司副董事长，现任南方东英资产管理有限公司主席，</w:t>
      </w:r>
      <w:r>
        <w:rPr>
          <w:w w:val="100"/>
        </w:rPr>
        <w:t> </w:t>
      </w:r>
      <w:r>
        <w:rPr/>
        <w:t>深圳市深信泰丰（集团）股份有限公司独立董事。</w:t>
      </w:r>
    </w:p>
    <w:p>
      <w:pPr>
        <w:pStyle w:val="BodyText"/>
        <w:spacing w:line="384" w:lineRule="auto" w:before="38"/>
        <w:ind w:right="225" w:firstLine="412"/>
        <w:jc w:val="both"/>
      </w:pPr>
      <w:r>
        <w:rPr>
          <w:spacing w:val="-2"/>
        </w:rPr>
        <w:t>（七）王能光，最近五年曾任北京联想投资顾问有限公司董事总经理兼财务总监，现任北京君联资本</w:t>
      </w:r>
      <w:r>
        <w:rPr>
          <w:w w:val="100"/>
        </w:rPr>
        <w:t> </w:t>
      </w:r>
      <w:r>
        <w:rPr>
          <w:spacing w:val="-2"/>
        </w:rPr>
        <w:t>管理有限公司董事总经理兼首席财务官，神州数码信息服务股份有限公司独立董事，深圳市深信泰丰（集</w:t>
      </w:r>
      <w:r>
        <w:rPr>
          <w:spacing w:val="-33"/>
        </w:rPr>
        <w:t> </w:t>
      </w:r>
      <w:r>
        <w:rPr>
          <w:spacing w:val="-33"/>
        </w:rPr>
      </w:r>
      <w:r>
        <w:rPr/>
        <w:t>团）股份有限公司独立董事。</w:t>
      </w:r>
    </w:p>
    <w:p>
      <w:pPr>
        <w:pStyle w:val="BodyText"/>
        <w:spacing w:line="384" w:lineRule="auto" w:before="40"/>
        <w:ind w:right="223" w:firstLine="412"/>
        <w:jc w:val="both"/>
      </w:pPr>
      <w:r>
        <w:rPr>
          <w:spacing w:val="-2"/>
        </w:rPr>
        <w:t>（八）梁缉永，最近五年曾任深圳市深水宝安水务有限公司副董事长，深圳市宝安区供水资源整合工</w:t>
      </w:r>
      <w:r>
        <w:rPr>
          <w:w w:val="100"/>
        </w:rPr>
        <w:t> </w:t>
      </w:r>
      <w:r>
        <w:rPr>
          <w:spacing w:val="-2"/>
        </w:rPr>
        <w:t>作领导小组办公室副主任；现任深圳市宝安建设投资有限公司副总经理，深圳市深信泰丰（集团）股份有</w:t>
      </w:r>
      <w:r>
        <w:rPr>
          <w:spacing w:val="-31"/>
        </w:rPr>
        <w:t> </w:t>
      </w:r>
      <w:r>
        <w:rPr>
          <w:spacing w:val="-31"/>
        </w:rPr>
      </w:r>
      <w:r>
        <w:rPr/>
        <w:t>限公司监事会主席。</w:t>
      </w:r>
    </w:p>
    <w:p>
      <w:pPr>
        <w:pStyle w:val="BodyText"/>
        <w:spacing w:line="381" w:lineRule="auto" w:before="40"/>
        <w:ind w:right="0" w:firstLine="422"/>
        <w:jc w:val="left"/>
      </w:pPr>
      <w:r>
        <w:rPr>
          <w:spacing w:val="-4"/>
        </w:rPr>
        <w:t>（九）王祖荣，最近五年担任深圳市宝岩投资咨询有限公司董事、副总经理，深圳市深信泰丰（集团）</w:t>
      </w:r>
      <w:r>
        <w:rPr>
          <w:w w:val="100"/>
        </w:rPr>
        <w:t> </w:t>
      </w:r>
      <w:r>
        <w:rPr/>
        <w:t>股份有限公司监事。</w:t>
      </w:r>
    </w:p>
    <w:p>
      <w:pPr>
        <w:pStyle w:val="BodyText"/>
        <w:spacing w:line="386" w:lineRule="auto" w:before="43"/>
        <w:ind w:right="225" w:firstLine="422"/>
        <w:jc w:val="both"/>
      </w:pPr>
      <w:r>
        <w:rPr>
          <w:spacing w:val="-2"/>
        </w:rPr>
        <w:t>（十）龙志辉，最近五年在深圳市深信泰丰（集团）股份有限公司工作；现任公司职工代表监事，公</w:t>
      </w:r>
      <w:r>
        <w:rPr>
          <w:w w:val="100"/>
        </w:rPr>
        <w:t> </w:t>
      </w:r>
      <w:r>
        <w:rPr/>
        <w:t>司行政人事部部长。</w:t>
      </w:r>
    </w:p>
    <w:p>
      <w:pPr>
        <w:pStyle w:val="BodyText"/>
        <w:spacing w:line="240" w:lineRule="auto"/>
        <w:ind w:left="575" w:right="0"/>
        <w:jc w:val="left"/>
      </w:pPr>
      <w:r>
        <w:rPr/>
        <w:t>（十一）张小立，最近五年在深圳市深信泰丰（集团）股份有限公司工作，现任副总经理。</w:t>
      </w:r>
    </w:p>
    <w:p>
      <w:pPr>
        <w:pStyle w:val="BodyText"/>
        <w:spacing w:line="386" w:lineRule="auto" w:before="166"/>
        <w:ind w:right="202" w:firstLine="422"/>
        <w:jc w:val="both"/>
      </w:pPr>
      <w:r>
        <w:rPr>
          <w:spacing w:val="-2"/>
        </w:rPr>
        <w:t>（十二）梁侠，最近五年在深圳市深信泰丰（集团）股份有限公司工作，任总会计师、党总支书记、</w:t>
      </w:r>
      <w:r>
        <w:rPr>
          <w:w w:val="100"/>
        </w:rPr>
        <w:t> </w:t>
      </w:r>
      <w:r>
        <w:rPr/>
        <w:t>工委会主席；</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日起担任深圳信隆实业股份有限公司独立董事。</w:t>
      </w:r>
    </w:p>
    <w:p>
      <w:pPr>
        <w:pStyle w:val="BodyText"/>
        <w:spacing w:line="386" w:lineRule="auto" w:before="4"/>
        <w:ind w:right="226" w:firstLine="422"/>
        <w:jc w:val="both"/>
      </w:pPr>
      <w:r>
        <w:rPr>
          <w:spacing w:val="-2"/>
        </w:rPr>
        <w:t>（十三）林小浓，最近五年在深圳市深信泰丰（集团）股份有限公司工作，现任资金财务部部长、工</w:t>
      </w:r>
      <w:r>
        <w:rPr>
          <w:w w:val="100"/>
        </w:rPr>
        <w:t> </w:t>
      </w:r>
      <w:r>
        <w:rPr/>
        <w:t>委会副主席、总经理助理。</w:t>
      </w:r>
    </w:p>
    <w:p>
      <w:pPr>
        <w:pStyle w:val="BodyText"/>
        <w:spacing w:line="381" w:lineRule="auto" w:before="38"/>
        <w:ind w:right="226" w:firstLine="422"/>
        <w:jc w:val="both"/>
      </w:pPr>
      <w:r>
        <w:rPr>
          <w:spacing w:val="-2"/>
        </w:rPr>
        <w:t>（十四）孙德志，最近五年在深圳市深信泰丰（集团）股份有限公司工作，现任董事会秘书、党总支</w:t>
      </w:r>
      <w:r>
        <w:rPr>
          <w:w w:val="100"/>
        </w:rPr>
        <w:t> </w:t>
      </w:r>
      <w:r>
        <w:rPr/>
        <w:t>副书记。</w:t>
      </w:r>
    </w:p>
    <w:p>
      <w:pPr>
        <w:spacing w:line="240" w:lineRule="auto" w:before="3"/>
        <w:rPr>
          <w:rFonts w:ascii="宋体" w:hAnsi="宋体" w:cs="宋体" w:eastAsia="宋体" w:hint="default"/>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20"/>
        <w:gridCol w:w="3227"/>
        <w:gridCol w:w="1080"/>
        <w:gridCol w:w="1210"/>
        <w:gridCol w:w="1350"/>
        <w:gridCol w:w="1484"/>
      </w:tblGrid>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74"/>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6" w:right="99"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398"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12"/>
                <w:sz w:val="18"/>
                <w:szCs w:val="18"/>
              </w:rPr>
              <w:t>董事长、总裁</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梁缉永</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深圳市宝安建设投资有限公司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陈冬元</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深圳市宝安建设投资有限公司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8" w:right="137"/>
              <w:jc w:val="left"/>
              <w:rPr>
                <w:rFonts w:ascii="宋体" w:hAnsi="宋体" w:cs="宋体" w:eastAsia="宋体" w:hint="default"/>
                <w:sz w:val="18"/>
                <w:szCs w:val="18"/>
              </w:rPr>
            </w:pPr>
            <w:r>
              <w:rPr>
                <w:rFonts w:ascii="宋体" w:hAnsi="宋体" w:cs="宋体" w:eastAsia="宋体" w:hint="default"/>
                <w:spacing w:val="-2"/>
                <w:sz w:val="18"/>
                <w:szCs w:val="18"/>
              </w:rPr>
              <w:t>投资发展部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负责人</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鲁功亮</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部门经理</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before="11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0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30"/>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84"/>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8" w:right="46"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81"/>
              <w:jc w:val="left"/>
              <w:rPr>
                <w:rFonts w:ascii="宋体" w:hAnsi="宋体" w:cs="宋体" w:eastAsia="宋体" w:hint="default"/>
                <w:sz w:val="18"/>
                <w:szCs w:val="18"/>
              </w:rPr>
            </w:pPr>
            <w:r>
              <w:rPr>
                <w:rFonts w:ascii="宋体" w:hAnsi="宋体" w:cs="宋体" w:eastAsia="宋体" w:hint="default"/>
                <w:spacing w:val="-3"/>
                <w:sz w:val="18"/>
                <w:szCs w:val="18"/>
              </w:rPr>
              <w:t>北京东方太阳城房地产开发有限责任公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叶翔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汇信资本有限公司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高良玉</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南方东英资产管理有限公司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北京君联资本管理有限公司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51"/>
              <w:jc w:val="both"/>
              <w:rPr>
                <w:rFonts w:ascii="宋体" w:hAnsi="宋体" w:cs="宋体" w:eastAsia="宋体" w:hint="default"/>
                <w:sz w:val="18"/>
                <w:szCs w:val="18"/>
              </w:rPr>
            </w:pPr>
            <w:r>
              <w:rPr>
                <w:rFonts w:ascii="宋体" w:hAnsi="宋体" w:cs="宋体" w:eastAsia="宋体" w:hint="default"/>
                <w:spacing w:val="-2"/>
                <w:sz w:val="18"/>
                <w:szCs w:val="18"/>
              </w:rPr>
              <w:t>董事总经理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兼首席财务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官</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p>
    <w:p>
      <w:pPr>
        <w:spacing w:line="240" w:lineRule="auto" w:before="8"/>
        <w:rPr>
          <w:rFonts w:ascii="宋体" w:hAnsi="宋体" w:cs="宋体" w:eastAsia="宋体" w:hint="default"/>
          <w:sz w:val="15"/>
          <w:szCs w:val="15"/>
        </w:rPr>
      </w:pPr>
    </w:p>
    <w:p>
      <w:pPr>
        <w:pStyle w:val="BodyText"/>
        <w:spacing w:line="376" w:lineRule="auto" w:before="0"/>
        <w:ind w:right="145" w:firstLine="340"/>
        <w:jc w:val="both"/>
      </w:pPr>
      <w:r>
        <w:rPr/>
        <w:t>公司依据</w:t>
      </w:r>
      <w:r>
        <w:rPr>
          <w:rFonts w:ascii="Times New Roman" w:hAnsi="Times New Roman" w:cs="Times New Roman" w:eastAsia="Times New Roman" w:hint="default"/>
        </w:rPr>
        <w:t>2015</w:t>
      </w:r>
      <w:r>
        <w:rPr/>
        <w:t>年度经营管理考核办法对高管人员实行考核，按考核结果发放考核奖励。公司董事会绩</w:t>
      </w:r>
      <w:r>
        <w:rPr>
          <w:w w:val="100"/>
        </w:rPr>
        <w:t> </w:t>
      </w:r>
      <w:r>
        <w:rPr>
          <w:spacing w:val="-2"/>
        </w:rPr>
        <w:t>效与薪酬委员会负责审查公司的薪酬计划与方案，负责审查公司董事（不含独立董事）、监事及高管人员</w:t>
      </w:r>
      <w:r>
        <w:rPr>
          <w:spacing w:val="-33"/>
        </w:rPr>
        <w:t> </w:t>
      </w:r>
      <w:r>
        <w:rPr>
          <w:spacing w:val="-33"/>
        </w:rPr>
      </w:r>
      <w:r>
        <w:rPr>
          <w:spacing w:val="-2"/>
        </w:rPr>
        <w:t>的薪酬方案与考核标准，负责考核公司董事、监事及高管人员履行职责的情况，并依照考核标准、薪酬方</w:t>
      </w:r>
      <w:r>
        <w:rPr>
          <w:spacing w:val="-33"/>
        </w:rPr>
        <w:t> </w:t>
      </w:r>
      <w:r>
        <w:rPr>
          <w:spacing w:val="-33"/>
        </w:rPr>
      </w:r>
      <w:r>
        <w:rPr/>
        <w:t>案进行年度绩效考核。</w:t>
      </w:r>
    </w:p>
    <w:p>
      <w:pPr>
        <w:pStyle w:val="BodyText"/>
        <w:spacing w:line="381" w:lineRule="auto" w:before="47"/>
        <w:ind w:left="494" w:right="0" w:hanging="341"/>
        <w:jc w:val="left"/>
      </w:pPr>
      <w:r>
        <w:rPr/>
        <w:t>董事、监事、高级管理人员报酬确定依据：</w:t>
      </w:r>
      <w:r>
        <w:rPr>
          <w:spacing w:val="-103"/>
        </w:rPr>
        <w:t> </w:t>
      </w:r>
      <w:r>
        <w:rPr>
          <w:spacing w:val="-103"/>
        </w:rPr>
      </w:r>
      <w:r>
        <w:rPr/>
        <w:t>制定公司薪酬标准的主要原则是：（</w:t>
      </w:r>
      <w:r>
        <w:rPr>
          <w:rFonts w:ascii="Times New Roman" w:hAnsi="Times New Roman" w:cs="Times New Roman" w:eastAsia="Times New Roman" w:hint="default"/>
        </w:rPr>
        <w:t>1</w:t>
      </w:r>
      <w:r>
        <w:rPr/>
        <w:t>）公司总体经营情况和盈利水平；（</w:t>
      </w:r>
      <w:r>
        <w:rPr>
          <w:rFonts w:ascii="Times New Roman" w:hAnsi="Times New Roman" w:cs="Times New Roman" w:eastAsia="Times New Roman" w:hint="default"/>
        </w:rPr>
        <w:t>2</w:t>
      </w:r>
      <w:r>
        <w:rPr/>
        <w:t>）公司总体薪酬水平和历</w:t>
      </w:r>
    </w:p>
    <w:p>
      <w:pPr>
        <w:pStyle w:val="BodyText"/>
        <w:spacing w:line="362" w:lineRule="auto" w:before="13"/>
        <w:ind w:right="148"/>
        <w:jc w:val="both"/>
      </w:pPr>
      <w:r>
        <w:rPr/>
        <w:t>年薪酬动态指标；（</w:t>
      </w:r>
      <w:r>
        <w:rPr>
          <w:rFonts w:ascii="Times New Roman" w:hAnsi="Times New Roman" w:cs="Times New Roman" w:eastAsia="Times New Roman" w:hint="default"/>
        </w:rPr>
        <w:t>3</w:t>
      </w:r>
      <w:r>
        <w:rPr/>
        <w:t>）职位、职责的大小；（</w:t>
      </w:r>
      <w:r>
        <w:rPr>
          <w:rFonts w:ascii="Times New Roman" w:hAnsi="Times New Roman" w:cs="Times New Roman" w:eastAsia="Times New Roman" w:hint="default"/>
        </w:rPr>
        <w:t>4</w:t>
      </w:r>
      <w:r>
        <w:rPr/>
        <w:t>）岗位的重要性、风险性、特殊性；（</w:t>
      </w:r>
      <w:r>
        <w:rPr>
          <w:rFonts w:ascii="Times New Roman" w:hAnsi="Times New Roman" w:cs="Times New Roman" w:eastAsia="Times New Roman" w:hint="default"/>
        </w:rPr>
        <w:t>5</w:t>
      </w:r>
      <w:r>
        <w:rPr/>
        <w:t>）同行业相关岗</w:t>
      </w:r>
      <w:r>
        <w:rPr>
          <w:spacing w:val="-30"/>
        </w:rPr>
        <w:t> </w:t>
      </w:r>
      <w:r>
        <w:rPr>
          <w:spacing w:val="-30"/>
        </w:rPr>
      </w:r>
      <w:r>
        <w:rPr>
          <w:spacing w:val="-2"/>
        </w:rPr>
        <w:t>位的薪酬水平；（</w:t>
      </w:r>
      <w:r>
        <w:rPr>
          <w:rFonts w:ascii="Times New Roman" w:hAnsi="Times New Roman" w:cs="Times New Roman" w:eastAsia="Times New Roman" w:hint="default"/>
          <w:spacing w:val="-2"/>
        </w:rPr>
        <w:t>6</w:t>
      </w:r>
      <w:r>
        <w:rPr>
          <w:spacing w:val="-2"/>
        </w:rPr>
        <w:t>）个人学识水平和专业技能；（</w:t>
      </w:r>
      <w:r>
        <w:rPr>
          <w:rFonts w:ascii="Times New Roman" w:hAnsi="Times New Roman" w:cs="Times New Roman" w:eastAsia="Times New Roman" w:hint="default"/>
          <w:spacing w:val="-2"/>
        </w:rPr>
        <w:t>7</w:t>
      </w:r>
      <w:r>
        <w:rPr>
          <w:spacing w:val="-2"/>
        </w:rPr>
        <w:t>）尽可能量化的工作指标。董事、监事和高级管理人</w:t>
      </w:r>
      <w:r>
        <w:rPr>
          <w:spacing w:val="-35"/>
        </w:rPr>
        <w:t> </w:t>
      </w:r>
      <w:r>
        <w:rPr>
          <w:spacing w:val="-35"/>
        </w:rPr>
      </w:r>
      <w:r>
        <w:rPr/>
        <w:t>员报酬的实际支付情况：按月只发放基本薪酬，经年度考核后发放年度绩效考核奖励。</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19"/>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陈冬元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鲁功亮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叶翔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高良玉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梁缉永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王祖荣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费泳洁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龙志辉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张小立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林小浓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孙德志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z w:val="18"/>
              </w:rPr>
              <w:t>448</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公司董事、监事、高级管理人员报告期内被授予的股权激励情况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五、公司员工情况</w:t>
      </w:r>
      <w:r>
        <w:rPr>
          <w:b w:val="0"/>
          <w:bCs w:val="0"/>
        </w:rPr>
      </w:r>
    </w:p>
    <w:p>
      <w:pPr>
        <w:spacing w:line="240" w:lineRule="auto" w:before="4"/>
        <w:rPr>
          <w:rFonts w:ascii="宋体" w:hAnsi="宋体" w:cs="宋体" w:eastAsia="宋体" w:hint="default"/>
          <w:b/>
          <w:bCs/>
          <w:sz w:val="25"/>
          <w:szCs w:val="25"/>
        </w:rPr>
      </w:pPr>
    </w:p>
    <w:p>
      <w:pPr>
        <w:pStyle w:val="BodyText"/>
        <w:spacing w:line="273" w:lineRule="auto" w:before="0"/>
        <w:ind w:right="4663"/>
        <w:jc w:val="left"/>
      </w:pPr>
      <w:r>
        <w:rPr/>
        <w:t>（一）在职员工的数量：</w:t>
      </w:r>
      <w:r>
        <w:rPr>
          <w:spacing w:val="-102"/>
        </w:rPr>
        <w:t> </w:t>
      </w:r>
      <w:r>
        <w:rPr>
          <w:spacing w:val="-102"/>
        </w:rPr>
      </w: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日，公司在职员工总数为</w:t>
      </w:r>
      <w:r>
        <w:rPr>
          <w:rFonts w:ascii="Times New Roman" w:hAnsi="Times New Roman" w:cs="Times New Roman" w:eastAsia="Times New Roman" w:hint="default"/>
          <w:spacing w:val="-1"/>
        </w:rPr>
        <w:t>936</w:t>
      </w:r>
      <w:r>
        <w:rPr>
          <w:spacing w:val="-1"/>
        </w:rPr>
        <w:t>人。</w:t>
      </w:r>
    </w:p>
    <w:p>
      <w:pPr>
        <w:pStyle w:val="BodyText"/>
        <w:spacing w:line="264" w:lineRule="exact" w:before="0"/>
        <w:ind w:right="0"/>
        <w:jc w:val="left"/>
      </w:pPr>
      <w:r>
        <w:rPr/>
        <w:t>（二）专业构成及教育程度情况如下：</w:t>
      </w:r>
    </w:p>
    <w:p>
      <w:pPr>
        <w:pStyle w:val="BodyText"/>
        <w:spacing w:line="240" w:lineRule="auto" w:before="37"/>
        <w:ind w:right="0"/>
        <w:jc w:val="left"/>
      </w:pPr>
      <w:r>
        <w:rPr/>
        <w:t>（</w:t>
      </w:r>
      <w:r>
        <w:rPr>
          <w:rFonts w:ascii="Times New Roman" w:hAnsi="Times New Roman" w:cs="Times New Roman" w:eastAsia="Times New Roman" w:hint="default"/>
        </w:rPr>
        <w:t>1</w:t>
      </w:r>
      <w:r>
        <w:rPr/>
        <w:t>）专业构成类别</w:t>
      </w:r>
    </w:p>
    <w:p>
      <w:pPr>
        <w:spacing w:line="240" w:lineRule="auto" w:before="10"/>
        <w:rPr>
          <w:rFonts w:ascii="宋体" w:hAnsi="宋体" w:cs="宋体" w:eastAsia="宋体" w:hint="default"/>
          <w:sz w:val="2"/>
          <w:szCs w:val="2"/>
        </w:rPr>
      </w:pPr>
    </w:p>
    <w:tbl>
      <w:tblPr>
        <w:tblW w:w="0" w:type="auto"/>
        <w:jc w:val="left"/>
        <w:tblInd w:w="1202" w:type="dxa"/>
        <w:tblLayout w:type="fixed"/>
        <w:tblCellMar>
          <w:top w:w="0" w:type="dxa"/>
          <w:left w:w="0" w:type="dxa"/>
          <w:bottom w:w="0" w:type="dxa"/>
          <w:right w:w="0" w:type="dxa"/>
        </w:tblCellMar>
        <w:tblLook w:val="01E0"/>
      </w:tblPr>
      <w:tblGrid>
        <w:gridCol w:w="2091"/>
        <w:gridCol w:w="1364"/>
        <w:gridCol w:w="1416"/>
      </w:tblGrid>
      <w:tr>
        <w:trPr>
          <w:trHeight w:val="339" w:hRule="exact"/>
        </w:trPr>
        <w:tc>
          <w:tcPr>
            <w:tcW w:w="2091" w:type="dxa"/>
            <w:tcBorders>
              <w:top w:val="nil" w:sz="6" w:space="0" w:color="auto"/>
              <w:left w:val="nil" w:sz="6" w:space="0" w:color="auto"/>
              <w:bottom w:val="single" w:sz="6" w:space="0" w:color="000000"/>
              <w:right w:val="single" w:sz="6"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专业构成的类别</w:t>
            </w:r>
            <w:r>
              <w:rPr>
                <w:rFonts w:ascii="宋体" w:hAnsi="宋体" w:cs="宋体" w:eastAsia="宋体" w:hint="default"/>
                <w:sz w:val="21"/>
                <w:szCs w:val="21"/>
              </w:rPr>
            </w:r>
          </w:p>
        </w:tc>
        <w:tc>
          <w:tcPr>
            <w:tcW w:w="1364" w:type="dxa"/>
            <w:tcBorders>
              <w:top w:val="nil" w:sz="6" w:space="0" w:color="auto"/>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1416" w:type="dxa"/>
            <w:tcBorders>
              <w:top w:val="nil" w:sz="6" w:space="0" w:color="auto"/>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1" w:hRule="exact"/>
        </w:trPr>
        <w:tc>
          <w:tcPr>
            <w:tcW w:w="2091"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646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
              <w:jc w:val="right"/>
              <w:rPr>
                <w:rFonts w:ascii="Times New Roman" w:hAnsi="Times New Roman" w:cs="Times New Roman" w:eastAsia="Times New Roman" w:hint="default"/>
                <w:sz w:val="21"/>
                <w:szCs w:val="21"/>
              </w:rPr>
            </w:pPr>
            <w:r>
              <w:rPr>
                <w:rFonts w:ascii="Times New Roman"/>
                <w:sz w:val="21"/>
              </w:rPr>
              <w:t>69.02%</w:t>
            </w:r>
          </w:p>
        </w:tc>
      </w:tr>
      <w:tr>
        <w:trPr>
          <w:trHeight w:val="336" w:hRule="exact"/>
        </w:trPr>
        <w:tc>
          <w:tcPr>
            <w:tcW w:w="209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160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17.09%</w:t>
            </w:r>
          </w:p>
        </w:tc>
      </w:tr>
      <w:tr>
        <w:trPr>
          <w:trHeight w:val="336" w:hRule="exact"/>
        </w:trPr>
        <w:tc>
          <w:tcPr>
            <w:tcW w:w="209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47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5.02%</w:t>
            </w:r>
          </w:p>
        </w:tc>
      </w:tr>
      <w:tr>
        <w:trPr>
          <w:trHeight w:val="336" w:hRule="exact"/>
        </w:trPr>
        <w:tc>
          <w:tcPr>
            <w:tcW w:w="209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66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7.05%</w:t>
            </w:r>
          </w:p>
        </w:tc>
      </w:tr>
      <w:tr>
        <w:trPr>
          <w:trHeight w:val="337" w:hRule="exact"/>
        </w:trPr>
        <w:tc>
          <w:tcPr>
            <w:tcW w:w="2091"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
              <w:jc w:val="right"/>
              <w:rPr>
                <w:rFonts w:ascii="Times New Roman" w:hAnsi="Times New Roman" w:cs="Times New Roman" w:eastAsia="Times New Roman" w:hint="default"/>
                <w:sz w:val="21"/>
                <w:szCs w:val="21"/>
              </w:rPr>
            </w:pPr>
            <w:r>
              <w:rPr>
                <w:rFonts w:ascii="Times New Roman"/>
                <w:sz w:val="21"/>
              </w:rPr>
              <w:t>1.82%</w:t>
            </w:r>
          </w:p>
        </w:tc>
      </w:tr>
      <w:tr>
        <w:trPr>
          <w:trHeight w:val="341" w:hRule="exact"/>
        </w:trPr>
        <w:tc>
          <w:tcPr>
            <w:tcW w:w="2091"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总计</w:t>
            </w:r>
            <w:r>
              <w:rPr>
                <w:rFonts w:ascii="宋体" w:hAnsi="宋体" w:cs="宋体" w:eastAsia="宋体" w:hint="default"/>
                <w:sz w:val="21"/>
                <w:szCs w:val="21"/>
              </w:rPr>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z w:val="21"/>
              </w:rPr>
              <w:t>936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36"/>
        <w:ind w:right="0"/>
        <w:jc w:val="left"/>
      </w:pPr>
      <w:r>
        <w:rPr/>
        <w:t>（</w:t>
      </w:r>
      <w:r>
        <w:rPr>
          <w:rFonts w:ascii="Times New Roman" w:hAnsi="Times New Roman" w:cs="Times New Roman" w:eastAsia="Times New Roman" w:hint="default"/>
        </w:rPr>
        <w:t>2</w:t>
      </w:r>
      <w:r>
        <w:rPr/>
        <w:t>）人员专业构成饼状图</w:t>
      </w:r>
    </w:p>
    <w:p>
      <w:pPr>
        <w:spacing w:line="240" w:lineRule="auto" w:before="10"/>
        <w:rPr>
          <w:rFonts w:ascii="宋体" w:hAnsi="宋体" w:cs="宋体" w:eastAsia="宋体" w:hint="default"/>
          <w:sz w:val="5"/>
          <w:szCs w:val="5"/>
        </w:rPr>
      </w:pPr>
    </w:p>
    <w:p>
      <w:pPr>
        <w:spacing w:line="3018" w:lineRule="exact"/>
        <w:ind w:left="153"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893739" cy="1916811"/>
            <wp:effectExtent l="0" t="0" r="0" b="0"/>
            <wp:docPr id="1" name="image16.png" descr=""/>
            <wp:cNvGraphicFramePr>
              <a:graphicFrameLocks noChangeAspect="1"/>
            </wp:cNvGraphicFramePr>
            <a:graphic>
              <a:graphicData uri="http://schemas.openxmlformats.org/drawingml/2006/picture">
                <pic:pic>
                  <pic:nvPicPr>
                    <pic:cNvPr id="2" name="image16.png"/>
                    <pic:cNvPicPr/>
                  </pic:nvPicPr>
                  <pic:blipFill>
                    <a:blip r:embed="rId29" cstate="print"/>
                    <a:stretch>
                      <a:fillRect/>
                    </a:stretch>
                  </pic:blipFill>
                  <pic:spPr>
                    <a:xfrm>
                      <a:off x="0" y="0"/>
                      <a:ext cx="3893739" cy="1916811"/>
                    </a:xfrm>
                    <a:prstGeom prst="rect">
                      <a:avLst/>
                    </a:prstGeom>
                  </pic:spPr>
                </pic:pic>
              </a:graphicData>
            </a:graphic>
          </wp:inline>
        </w:drawing>
      </w:r>
      <w:r>
        <w:rPr>
          <w:rFonts w:ascii="宋体" w:hAnsi="宋体" w:cs="宋体" w:eastAsia="宋体" w:hint="default"/>
          <w:position w:val="-59"/>
          <w:sz w:val="20"/>
          <w:szCs w:val="20"/>
        </w:rPr>
      </w:r>
    </w:p>
    <w:p>
      <w:pPr>
        <w:spacing w:after="0" w:line="3018" w:lineRule="exact"/>
        <w:rPr>
          <w:rFonts w:ascii="宋体" w:hAnsi="宋体" w:cs="宋体" w:eastAsia="宋体" w:hint="default"/>
          <w:sz w:val="20"/>
          <w:szCs w:val="20"/>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36"/>
        <w:ind w:right="0"/>
        <w:jc w:val="left"/>
      </w:pPr>
      <w:r>
        <w:rPr/>
        <w:t>（</w:t>
      </w:r>
      <w:r>
        <w:rPr>
          <w:rFonts w:ascii="Times New Roman" w:hAnsi="Times New Roman" w:cs="Times New Roman" w:eastAsia="Times New Roman" w:hint="default"/>
        </w:rPr>
        <w:t>3</w:t>
      </w:r>
      <w:r>
        <w:rPr/>
        <w:t>）教育程度类别</w:t>
      </w:r>
    </w:p>
    <w:p>
      <w:pPr>
        <w:spacing w:line="240" w:lineRule="auto" w:before="8"/>
        <w:rPr>
          <w:rFonts w:ascii="宋体" w:hAnsi="宋体" w:cs="宋体" w:eastAsia="宋体" w:hint="default"/>
          <w:sz w:val="26"/>
          <w:szCs w:val="26"/>
        </w:rPr>
      </w:pPr>
    </w:p>
    <w:tbl>
      <w:tblPr>
        <w:tblW w:w="0" w:type="auto"/>
        <w:jc w:val="left"/>
        <w:tblInd w:w="1380" w:type="dxa"/>
        <w:tblLayout w:type="fixed"/>
        <w:tblCellMar>
          <w:top w:w="0" w:type="dxa"/>
          <w:left w:w="0" w:type="dxa"/>
          <w:bottom w:w="0" w:type="dxa"/>
          <w:right w:w="0" w:type="dxa"/>
        </w:tblCellMar>
        <w:tblLook w:val="01E0"/>
      </w:tblPr>
      <w:tblGrid>
        <w:gridCol w:w="1716"/>
        <w:gridCol w:w="1076"/>
        <w:gridCol w:w="970"/>
      </w:tblGrid>
      <w:tr>
        <w:trPr>
          <w:trHeight w:val="541" w:hRule="exact"/>
        </w:trPr>
        <w:tc>
          <w:tcPr>
            <w:tcW w:w="1716" w:type="dxa"/>
            <w:tcBorders>
              <w:top w:val="nil" w:sz="6" w:space="0" w:color="auto"/>
              <w:left w:val="nil" w:sz="6" w:space="0" w:color="auto"/>
              <w:bottom w:val="single" w:sz="6" w:space="0" w:color="000000"/>
              <w:right w:val="single" w:sz="6" w:space="0" w:color="000000"/>
            </w:tcBorders>
          </w:tcPr>
          <w:p>
            <w:pPr>
              <w:pStyle w:val="TableParagraph"/>
              <w:spacing w:line="240" w:lineRule="auto" w:before="96"/>
              <w:ind w:left="28" w:right="0"/>
              <w:jc w:val="left"/>
              <w:rPr>
                <w:rFonts w:ascii="宋体" w:hAnsi="宋体" w:cs="宋体" w:eastAsia="宋体" w:hint="default"/>
                <w:sz w:val="21"/>
                <w:szCs w:val="21"/>
              </w:rPr>
            </w:pPr>
            <w:r>
              <w:rPr>
                <w:rFonts w:ascii="宋体" w:hAnsi="宋体" w:cs="宋体" w:eastAsia="宋体" w:hint="default"/>
                <w:b/>
                <w:bCs/>
                <w:sz w:val="21"/>
                <w:szCs w:val="21"/>
              </w:rPr>
              <w:t>教育程度的类别</w:t>
            </w:r>
            <w:r>
              <w:rPr>
                <w:rFonts w:ascii="宋体" w:hAnsi="宋体" w:cs="宋体" w:eastAsia="宋体" w:hint="default"/>
                <w:sz w:val="21"/>
                <w:szCs w:val="21"/>
              </w:rPr>
            </w:r>
          </w:p>
        </w:tc>
        <w:tc>
          <w:tcPr>
            <w:tcW w:w="107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6"/>
              <w:ind w:right="0"/>
              <w:jc w:val="righ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9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6"/>
              <w:ind w:left="4"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
              <w:jc w:val="right"/>
              <w:rPr>
                <w:rFonts w:ascii="Times New Roman" w:hAnsi="Times New Roman" w:cs="Times New Roman" w:eastAsia="Times New Roman" w:hint="default"/>
                <w:sz w:val="21"/>
                <w:szCs w:val="21"/>
              </w:rPr>
            </w:pPr>
            <w:r>
              <w:rPr>
                <w:rFonts w:ascii="Times New Roman"/>
                <w:w w:val="100"/>
                <w:sz w:val="21"/>
              </w:rPr>
              <w:t>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4"/>
              <w:jc w:val="right"/>
              <w:rPr>
                <w:rFonts w:ascii="Times New Roman" w:hAnsi="Times New Roman" w:cs="Times New Roman" w:eastAsia="Times New Roman" w:hint="default"/>
                <w:sz w:val="21"/>
                <w:szCs w:val="21"/>
              </w:rPr>
            </w:pPr>
            <w:r>
              <w:rPr>
                <w:rFonts w:ascii="Times New Roman"/>
                <w:sz w:val="21"/>
              </w:rPr>
              <w:t>0.11%</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
              <w:jc w:val="right"/>
              <w:rPr>
                <w:rFonts w:ascii="Times New Roman" w:hAnsi="Times New Roman" w:cs="Times New Roman" w:eastAsia="Times New Roman" w:hint="default"/>
                <w:sz w:val="21"/>
                <w:szCs w:val="21"/>
              </w:rPr>
            </w:pPr>
            <w:r>
              <w:rPr>
                <w:rFonts w:ascii="Times New Roman"/>
                <w:sz w:val="21"/>
              </w:rPr>
              <w:t>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4"/>
              <w:jc w:val="right"/>
              <w:rPr>
                <w:rFonts w:ascii="Times New Roman" w:hAnsi="Times New Roman" w:cs="Times New Roman" w:eastAsia="Times New Roman" w:hint="default"/>
                <w:sz w:val="21"/>
                <w:szCs w:val="21"/>
              </w:rPr>
            </w:pPr>
            <w:r>
              <w:rPr>
                <w:rFonts w:ascii="Times New Roman"/>
                <w:sz w:val="21"/>
              </w:rPr>
              <w:t>1.07%</w:t>
            </w:r>
          </w:p>
        </w:tc>
      </w:tr>
      <w:tr>
        <w:trPr>
          <w:trHeight w:val="533"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大学本科及以上</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
              <w:jc w:val="right"/>
              <w:rPr>
                <w:rFonts w:ascii="Times New Roman" w:hAnsi="Times New Roman" w:cs="Times New Roman" w:eastAsia="Times New Roman" w:hint="default"/>
                <w:sz w:val="21"/>
                <w:szCs w:val="21"/>
              </w:rPr>
            </w:pPr>
            <w:r>
              <w:rPr>
                <w:rFonts w:ascii="Times New Roman"/>
                <w:sz w:val="21"/>
              </w:rPr>
              <w:t>60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4"/>
              <w:jc w:val="right"/>
              <w:rPr>
                <w:rFonts w:ascii="Times New Roman" w:hAnsi="Times New Roman" w:cs="Times New Roman" w:eastAsia="Times New Roman" w:hint="default"/>
                <w:sz w:val="21"/>
                <w:szCs w:val="21"/>
              </w:rPr>
            </w:pPr>
            <w:r>
              <w:rPr>
                <w:rFonts w:ascii="Times New Roman"/>
                <w:sz w:val="21"/>
              </w:rPr>
              <w:t>6.41%</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28"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right"/>
              <w:rPr>
                <w:rFonts w:ascii="Times New Roman" w:hAnsi="Times New Roman" w:cs="Times New Roman" w:eastAsia="Times New Roman" w:hint="default"/>
                <w:sz w:val="21"/>
                <w:szCs w:val="21"/>
              </w:rPr>
            </w:pPr>
            <w:r>
              <w:rPr>
                <w:rFonts w:ascii="Times New Roman"/>
                <w:sz w:val="21"/>
              </w:rPr>
              <w:t>61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
              <w:jc w:val="right"/>
              <w:rPr>
                <w:rFonts w:ascii="Times New Roman" w:hAnsi="Times New Roman" w:cs="Times New Roman" w:eastAsia="Times New Roman" w:hint="default"/>
                <w:sz w:val="21"/>
                <w:szCs w:val="21"/>
              </w:rPr>
            </w:pPr>
            <w:r>
              <w:rPr>
                <w:rFonts w:ascii="Times New Roman"/>
                <w:sz w:val="21"/>
              </w:rPr>
              <w:t>6.52%</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5"/>
              <w:jc w:val="left"/>
              <w:rPr>
                <w:rFonts w:ascii="宋体" w:hAnsi="宋体" w:cs="宋体" w:eastAsia="宋体" w:hint="default"/>
                <w:sz w:val="21"/>
                <w:szCs w:val="21"/>
              </w:rPr>
            </w:pPr>
            <w:r>
              <w:rPr>
                <w:rFonts w:ascii="宋体" w:hAnsi="宋体" w:cs="宋体" w:eastAsia="宋体" w:hint="default"/>
                <w:sz w:val="21"/>
                <w:szCs w:val="21"/>
              </w:rPr>
              <w:t>中专、技校及高中</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
              <w:jc w:val="right"/>
              <w:rPr>
                <w:rFonts w:ascii="Times New Roman" w:hAnsi="Times New Roman" w:cs="Times New Roman" w:eastAsia="Times New Roman" w:hint="default"/>
                <w:sz w:val="21"/>
                <w:szCs w:val="21"/>
              </w:rPr>
            </w:pPr>
            <w:r>
              <w:rPr>
                <w:rFonts w:ascii="Times New Roman"/>
                <w:sz w:val="21"/>
              </w:rPr>
              <w:t>237</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3"/>
              <w:jc w:val="right"/>
              <w:rPr>
                <w:rFonts w:ascii="Times New Roman" w:hAnsi="Times New Roman" w:cs="Times New Roman" w:eastAsia="Times New Roman" w:hint="default"/>
                <w:sz w:val="21"/>
                <w:szCs w:val="21"/>
              </w:rPr>
            </w:pPr>
            <w:r>
              <w:rPr>
                <w:rFonts w:ascii="Times New Roman"/>
                <w:sz w:val="21"/>
              </w:rPr>
              <w:t>25.32%</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初中及以下</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
              <w:jc w:val="right"/>
              <w:rPr>
                <w:rFonts w:ascii="Times New Roman" w:hAnsi="Times New Roman" w:cs="Times New Roman" w:eastAsia="Times New Roman" w:hint="default"/>
                <w:sz w:val="21"/>
                <w:szCs w:val="21"/>
              </w:rPr>
            </w:pPr>
            <w:r>
              <w:rPr>
                <w:rFonts w:ascii="Times New Roman"/>
                <w:sz w:val="21"/>
              </w:rPr>
              <w:t>567</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3"/>
              <w:jc w:val="right"/>
              <w:rPr>
                <w:rFonts w:ascii="Times New Roman" w:hAnsi="Times New Roman" w:cs="Times New Roman" w:eastAsia="Times New Roman" w:hint="default"/>
                <w:sz w:val="21"/>
                <w:szCs w:val="21"/>
              </w:rPr>
            </w:pPr>
            <w:r>
              <w:rPr>
                <w:rFonts w:ascii="Times New Roman"/>
                <w:sz w:val="21"/>
              </w:rPr>
              <w:t>60.58%</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b/>
                <w:bCs/>
                <w:sz w:val="21"/>
                <w:szCs w:val="21"/>
              </w:rPr>
              <w:t>总计</w:t>
            </w:r>
            <w:r>
              <w:rPr>
                <w:rFonts w:ascii="宋体" w:hAnsi="宋体" w:cs="宋体" w:eastAsia="宋体" w:hint="default"/>
                <w:sz w:val="21"/>
                <w:szCs w:val="21"/>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
              <w:jc w:val="right"/>
              <w:rPr>
                <w:rFonts w:ascii="Times New Roman" w:hAnsi="Times New Roman" w:cs="Times New Roman" w:eastAsia="Times New Roman" w:hint="default"/>
                <w:sz w:val="21"/>
                <w:szCs w:val="21"/>
              </w:rPr>
            </w:pPr>
            <w:r>
              <w:rPr>
                <w:rFonts w:ascii="Times New Roman"/>
                <w:sz w:val="21"/>
              </w:rPr>
              <w:t>936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3"/>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6"/>
        <w:ind w:right="0"/>
        <w:jc w:val="left"/>
      </w:pPr>
      <w:r>
        <w:rPr/>
        <w:t>（</w:t>
      </w:r>
      <w:r>
        <w:rPr>
          <w:rFonts w:ascii="Times New Roman" w:hAnsi="Times New Roman" w:cs="Times New Roman" w:eastAsia="Times New Roman" w:hint="default"/>
        </w:rPr>
        <w:t>4</w:t>
      </w:r>
      <w:r>
        <w:rPr/>
        <w:t>）人员教育构成饼状图</w:t>
      </w:r>
    </w:p>
    <w:p>
      <w:pPr>
        <w:spacing w:line="240" w:lineRule="auto" w:before="10"/>
        <w:rPr>
          <w:rFonts w:ascii="宋体" w:hAnsi="宋体" w:cs="宋体" w:eastAsia="宋体" w:hint="default"/>
          <w:sz w:val="11"/>
          <w:szCs w:val="11"/>
        </w:rPr>
      </w:pPr>
    </w:p>
    <w:p>
      <w:pPr>
        <w:spacing w:line="4125" w:lineRule="exact"/>
        <w:ind w:left="153"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363930" cy="2619375"/>
            <wp:effectExtent l="0" t="0" r="0" b="0"/>
            <wp:docPr id="3" name="image17.png" descr=""/>
            <wp:cNvGraphicFramePr>
              <a:graphicFrameLocks noChangeAspect="1"/>
            </wp:cNvGraphicFramePr>
            <a:graphic>
              <a:graphicData uri="http://schemas.openxmlformats.org/drawingml/2006/picture">
                <pic:pic>
                  <pic:nvPicPr>
                    <pic:cNvPr id="4" name="image17.png"/>
                    <pic:cNvPicPr/>
                  </pic:nvPicPr>
                  <pic:blipFill>
                    <a:blip r:embed="rId30" cstate="print"/>
                    <a:stretch>
                      <a:fillRect/>
                    </a:stretch>
                  </pic:blipFill>
                  <pic:spPr>
                    <a:xfrm>
                      <a:off x="0" y="0"/>
                      <a:ext cx="4363930" cy="2619375"/>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企业薪酬成本情况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6"/>
        <w:gridCol w:w="5844"/>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z w:val="18"/>
              </w:rPr>
              <w:t>936</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当期总体薪酬发生额（万元）</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4,940.46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总体薪酬占当期营业收入比例</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10.78%</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80.2</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所有员工人均薪酬金额（万元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人）</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z w:val="18"/>
              </w:rPr>
              <w:t>5.28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751" w:right="3804"/>
        <w:jc w:val="center"/>
        <w:rPr>
          <w:b w:val="0"/>
          <w:bCs w:val="0"/>
        </w:rPr>
      </w:pPr>
      <w:bookmarkStart w:name="_bookmark8" w:id="9"/>
      <w:bookmarkEnd w:id="9"/>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6"/>
        <w:rPr>
          <w:rFonts w:ascii="宋体" w:hAnsi="宋体" w:cs="宋体" w:eastAsia="宋体" w:hint="default"/>
          <w:b/>
          <w:bCs/>
          <w:sz w:val="34"/>
          <w:szCs w:val="34"/>
        </w:rPr>
      </w:pPr>
    </w:p>
    <w:p>
      <w:pPr>
        <w:pStyle w:val="BodyText"/>
        <w:spacing w:line="376" w:lineRule="auto" w:before="0"/>
        <w:ind w:right="202" w:firstLine="340"/>
        <w:jc w:val="both"/>
      </w:pPr>
      <w:r>
        <w:rPr>
          <w:spacing w:val="-2"/>
        </w:rPr>
        <w:t>报告期内，公司按照《公司法》、《证券法》、《上市公司治理准则》及《深圳证券交易所主板上市</w:t>
      </w:r>
      <w:r>
        <w:rPr>
          <w:w w:val="100"/>
        </w:rPr>
        <w:t> </w:t>
      </w:r>
      <w:r>
        <w:rPr>
          <w:spacing w:val="-2"/>
        </w:rPr>
        <w:t>公司规范运作指引（</w:t>
      </w:r>
      <w:r>
        <w:rPr>
          <w:rFonts w:ascii="Times New Roman" w:hAnsi="Times New Roman" w:cs="Times New Roman" w:eastAsia="Times New Roman" w:hint="default"/>
          <w:spacing w:val="-2"/>
        </w:rPr>
        <w:t>2015</w:t>
      </w:r>
      <w:r>
        <w:rPr>
          <w:spacing w:val="-2"/>
        </w:rPr>
        <w:t>年修订）》等法律法规及规范性文件的要求，不断完善公司法人治理结构，建立</w:t>
      </w:r>
      <w:r>
        <w:rPr>
          <w:spacing w:val="-34"/>
        </w:rPr>
        <w:t> </w:t>
      </w:r>
      <w:r>
        <w:rPr>
          <w:spacing w:val="-34"/>
        </w:rPr>
      </w:r>
      <w:r>
        <w:rPr>
          <w:spacing w:val="-6"/>
        </w:rPr>
        <w:t>健全现代企业制度，以促进公司规范运作。报告期内，公司根据中国证监会《上市公司股东大会规则（</w:t>
      </w:r>
      <w:r>
        <w:rPr>
          <w:rFonts w:ascii="Times New Roman" w:hAnsi="Times New Roman" w:cs="Times New Roman" w:eastAsia="Times New Roman" w:hint="default"/>
          <w:spacing w:val="-6"/>
        </w:rPr>
        <w:t>2014</w:t>
      </w:r>
      <w:r>
        <w:rPr>
          <w:rFonts w:ascii="Times New Roman" w:hAnsi="Times New Roman" w:cs="Times New Roman" w:eastAsia="Times New Roman" w:hint="default"/>
          <w:spacing w:val="15"/>
        </w:rPr>
        <w:t> </w:t>
      </w:r>
      <w:r>
        <w:rPr>
          <w:spacing w:val="-2"/>
        </w:rPr>
        <w:t>年修订）》修改了《公司股东大会议事规则》及《公司章程》。截至报告期末，公司已建立了较为完善的</w:t>
      </w:r>
      <w:r>
        <w:rPr>
          <w:spacing w:val="-38"/>
        </w:rPr>
        <w:t> </w:t>
      </w:r>
      <w:r>
        <w:rPr>
          <w:spacing w:val="-38"/>
        </w:rPr>
      </w:r>
      <w:r>
        <w:rPr>
          <w:spacing w:val="-2"/>
        </w:rPr>
        <w:t>法人治理结构，公司法人治理的实际状况与中国证监会发布的有关上市公司治理的规范性文件的要求基本</w:t>
      </w:r>
      <w:r>
        <w:rPr>
          <w:spacing w:val="-33"/>
        </w:rPr>
        <w:t> </w:t>
      </w:r>
      <w:r>
        <w:rPr>
          <w:spacing w:val="-33"/>
        </w:rPr>
      </w:r>
      <w:r>
        <w:rPr/>
        <w:t>一致。</w:t>
      </w:r>
    </w:p>
    <w:p>
      <w:pPr>
        <w:pStyle w:val="BodyText"/>
        <w:spacing w:line="360" w:lineRule="auto" w:before="47"/>
        <w:ind w:left="575" w:right="0"/>
        <w:jc w:val="left"/>
      </w:pPr>
      <w:r>
        <w:rPr>
          <w:rFonts w:ascii="Times New Roman" w:hAnsi="Times New Roman" w:cs="Times New Roman" w:eastAsia="Times New Roman" w:hint="default"/>
        </w:rPr>
        <w:t>1</w:t>
      </w:r>
      <w:r>
        <w:rPr/>
        <w:t>、关于股东与股东大会</w:t>
      </w:r>
      <w:r>
        <w:rPr>
          <w:spacing w:val="-103"/>
        </w:rPr>
        <w:t> </w:t>
      </w:r>
      <w:r>
        <w:rPr>
          <w:spacing w:val="-103"/>
        </w:rPr>
      </w:r>
      <w:r>
        <w:rPr>
          <w:spacing w:val="-2"/>
        </w:rPr>
        <w:t>公司严格按照《股东大会规范意见》的要求召集、召开股东大会，并由律师出席见证：公司与股东保</w:t>
      </w:r>
    </w:p>
    <w:p>
      <w:pPr>
        <w:pStyle w:val="BodyText"/>
        <w:spacing w:line="364" w:lineRule="auto" w:before="62"/>
        <w:ind w:right="202"/>
        <w:jc w:val="both"/>
      </w:pPr>
      <w:r>
        <w:rPr>
          <w:spacing w:val="-2"/>
        </w:rPr>
        <w:t>持了有效的沟通，确保所有股东平等、充分地行使权利。报告期内，公司召开了</w:t>
      </w:r>
      <w:r>
        <w:rPr>
          <w:rFonts w:ascii="Times New Roman" w:hAnsi="Times New Roman" w:cs="Times New Roman" w:eastAsia="Times New Roman" w:hint="default"/>
          <w:spacing w:val="-2"/>
        </w:rPr>
        <w:t>2014</w:t>
      </w:r>
      <w:r>
        <w:rPr>
          <w:spacing w:val="-2"/>
        </w:rPr>
        <w:t>年度股东大会和两次</w:t>
      </w:r>
      <w:r>
        <w:rPr>
          <w:spacing w:val="-26"/>
        </w:rPr>
        <w:t> </w:t>
      </w:r>
      <w:r>
        <w:rPr>
          <w:spacing w:val="-26"/>
        </w:rPr>
      </w:r>
      <w:r>
        <w:rPr/>
        <w:t>临时股东大会。</w:t>
      </w:r>
    </w:p>
    <w:p>
      <w:pPr>
        <w:pStyle w:val="BodyText"/>
        <w:spacing w:line="364" w:lineRule="auto" w:before="52"/>
        <w:ind w:left="575" w:right="0"/>
        <w:jc w:val="left"/>
      </w:pPr>
      <w:r>
        <w:rPr>
          <w:rFonts w:ascii="Times New Roman" w:hAnsi="Times New Roman" w:cs="Times New Roman" w:eastAsia="Times New Roman" w:hint="default"/>
        </w:rPr>
        <w:t>2</w:t>
      </w:r>
      <w:r>
        <w:rPr/>
        <w:t>、关于控股股东与公司的关系</w:t>
      </w:r>
      <w:r>
        <w:rPr>
          <w:spacing w:val="-99"/>
        </w:rPr>
        <w:t> </w:t>
      </w:r>
      <w:r>
        <w:rPr>
          <w:spacing w:val="-99"/>
        </w:rPr>
      </w:r>
      <w:r>
        <w:rPr>
          <w:spacing w:val="-2"/>
        </w:rPr>
        <w:t>公司与控股股东在资产、人员、机构等方面保持独立，控股股东没有超越股东大会直接或间接干预公</w:t>
      </w:r>
    </w:p>
    <w:p>
      <w:pPr>
        <w:pStyle w:val="BodyText"/>
        <w:spacing w:line="240" w:lineRule="auto" w:before="58"/>
        <w:ind w:right="0"/>
        <w:jc w:val="left"/>
      </w:pPr>
      <w:r>
        <w:rPr/>
        <w:t>司的决策和经营活动，不存在控股股东及其关联方占用公司资金或资产的情况。</w:t>
      </w:r>
    </w:p>
    <w:p>
      <w:pPr>
        <w:pStyle w:val="BodyText"/>
        <w:spacing w:line="364" w:lineRule="auto" w:before="162"/>
        <w:ind w:left="575" w:right="0"/>
        <w:jc w:val="left"/>
      </w:pPr>
      <w:r>
        <w:rPr>
          <w:rFonts w:ascii="Times New Roman" w:hAnsi="Times New Roman" w:cs="Times New Roman" w:eastAsia="Times New Roman" w:hint="default"/>
        </w:rPr>
        <w:t>3</w:t>
      </w:r>
      <w:r>
        <w:rPr/>
        <w:t>、关于董事与董事会</w:t>
      </w:r>
      <w:r>
        <w:rPr>
          <w:spacing w:val="-99"/>
        </w:rPr>
        <w:t> </w:t>
      </w:r>
      <w:r>
        <w:rPr>
          <w:spacing w:val="-99"/>
        </w:rPr>
      </w:r>
      <w:r>
        <w:rPr>
          <w:spacing w:val="-2"/>
        </w:rPr>
        <w:t>报告期内，公司董事会能够严格按照相关法律法规及《公司章程》的规定召开董事会会议、召集股东</w:t>
      </w:r>
    </w:p>
    <w:p>
      <w:pPr>
        <w:pStyle w:val="BodyText"/>
        <w:spacing w:line="374" w:lineRule="auto" w:before="57"/>
        <w:ind w:right="203"/>
        <w:jc w:val="both"/>
      </w:pPr>
      <w:r>
        <w:rPr>
          <w:spacing w:val="-2"/>
        </w:rPr>
        <w:t>大会。公司设有三名独立董事，占董事会总人数的三分之一以上：公司各位董事能够严格按照《董事会议</w:t>
      </w:r>
      <w:r>
        <w:rPr>
          <w:spacing w:val="-30"/>
        </w:rPr>
        <w:t> </w:t>
      </w:r>
      <w:r>
        <w:rPr>
          <w:spacing w:val="-30"/>
        </w:rPr>
      </w:r>
      <w:r>
        <w:rPr>
          <w:spacing w:val="-2"/>
        </w:rPr>
        <w:t>事规则》的要求，以认真负责的态度出席董事会和股东大会，公司全体董事均能够亲自出席报告期内召开</w:t>
      </w:r>
      <w:r>
        <w:rPr>
          <w:spacing w:val="-33"/>
        </w:rPr>
        <w:t> </w:t>
      </w:r>
      <w:r>
        <w:rPr>
          <w:spacing w:val="-33"/>
        </w:rPr>
      </w:r>
      <w:r>
        <w:rPr/>
        <w:t>的</w:t>
      </w:r>
      <w:r>
        <w:rPr>
          <w:rFonts w:ascii="Times New Roman" w:hAnsi="Times New Roman" w:cs="Times New Roman" w:eastAsia="Times New Roman" w:hint="default"/>
        </w:rPr>
        <w:t>9</w:t>
      </w:r>
      <w:r>
        <w:rPr/>
        <w:t>次董事会，同时，公司董事还能够为公司的经营和发展献计献策，能够积极参加中国证监会组织的相</w:t>
      </w:r>
      <w:r>
        <w:rPr>
          <w:spacing w:val="-31"/>
        </w:rPr>
        <w:t> </w:t>
      </w:r>
      <w:r>
        <w:rPr>
          <w:spacing w:val="-31"/>
        </w:rPr>
      </w:r>
      <w:r>
        <w:rPr/>
        <w:t>关培训。报告期内，公司董事会召开了</w:t>
      </w:r>
      <w:r>
        <w:rPr>
          <w:rFonts w:ascii="Times New Roman" w:hAnsi="Times New Roman" w:cs="Times New Roman" w:eastAsia="Times New Roman" w:hint="default"/>
        </w:rPr>
        <w:t>7</w:t>
      </w:r>
      <w:r>
        <w:rPr/>
        <w:t>次董事会，召集了一次</w:t>
      </w:r>
      <w:r>
        <w:rPr>
          <w:rFonts w:ascii="Times New Roman" w:hAnsi="Times New Roman" w:cs="Times New Roman" w:eastAsia="Times New Roman" w:hint="default"/>
        </w:rPr>
        <w:t>2014</w:t>
      </w:r>
      <w:r>
        <w:rPr/>
        <w:t>年度股东大会和两次</w:t>
      </w:r>
      <w:r>
        <w:rPr>
          <w:rFonts w:ascii="Times New Roman" w:hAnsi="Times New Roman" w:cs="Times New Roman" w:eastAsia="Times New Roman" w:hint="default"/>
        </w:rPr>
        <w:t>2015</w:t>
      </w:r>
      <w:r>
        <w:rPr/>
        <w:t>年临时股东</w:t>
      </w:r>
      <w:r>
        <w:rPr>
          <w:spacing w:val="-32"/>
        </w:rPr>
        <w:t> </w:t>
      </w:r>
      <w:r>
        <w:rPr/>
        <w:t>大会。</w:t>
      </w:r>
    </w:p>
    <w:p>
      <w:pPr>
        <w:pStyle w:val="BodyText"/>
        <w:spacing w:line="364" w:lineRule="auto" w:before="49"/>
        <w:ind w:left="575" w:right="0"/>
        <w:jc w:val="left"/>
      </w:pPr>
      <w:r>
        <w:rPr>
          <w:rFonts w:ascii="Times New Roman" w:hAnsi="Times New Roman" w:cs="Times New Roman" w:eastAsia="Times New Roman" w:hint="default"/>
        </w:rPr>
        <w:t>4</w:t>
      </w:r>
      <w:r>
        <w:rPr/>
        <w:t>、关于监事和监事会</w:t>
      </w:r>
      <w:r>
        <w:rPr>
          <w:spacing w:val="-99"/>
        </w:rPr>
        <w:t> </w:t>
      </w:r>
      <w:r>
        <w:rPr>
          <w:spacing w:val="-99"/>
        </w:rPr>
      </w:r>
      <w:r>
        <w:rPr>
          <w:spacing w:val="-2"/>
        </w:rPr>
        <w:t>报告期内，公司严格按照相关法律法规及《公司章程》的规定召开监事会会议。公司监事能勤勉履行</w:t>
      </w:r>
    </w:p>
    <w:p>
      <w:pPr>
        <w:pStyle w:val="BodyText"/>
        <w:spacing w:line="374" w:lineRule="auto" w:before="52"/>
        <w:ind w:left="575" w:right="0" w:hanging="423"/>
        <w:jc w:val="left"/>
      </w:pPr>
      <w:r>
        <w:rPr/>
        <w:t>职责，对公司经营情况以及董事和高级管理人员履行职责的合法性进行监督，并独立发表意见。</w:t>
      </w:r>
      <w:r>
        <w:rPr>
          <w:spacing w:val="-102"/>
        </w:rPr>
        <w:t> </w:t>
      </w:r>
      <w:r>
        <w:rPr>
          <w:spacing w:val="-102"/>
        </w:rPr>
      </w:r>
      <w:r>
        <w:rPr>
          <w:rFonts w:ascii="Times New Roman" w:hAnsi="Times New Roman" w:cs="Times New Roman" w:eastAsia="Times New Roman" w:hint="default"/>
        </w:rPr>
        <w:t>5</w:t>
      </w:r>
      <w:r>
        <w:rPr/>
        <w:t>、关于信息披露与透明度</w:t>
      </w:r>
      <w:r>
        <w:rPr>
          <w:w w:val="100"/>
        </w:rPr>
        <w:t> </w:t>
      </w:r>
      <w:r>
        <w:rPr>
          <w:spacing w:val="-5"/>
        </w:rPr>
        <w:t>报告期内，公司认真接待股东来访和咨询，及时答复投资者在线提问；来访接待工作坚持公平、公正、</w:t>
      </w:r>
    </w:p>
    <w:p>
      <w:pPr>
        <w:pStyle w:val="BodyText"/>
        <w:spacing w:line="240" w:lineRule="auto" w:before="44"/>
        <w:ind w:right="0"/>
        <w:jc w:val="left"/>
      </w:pPr>
      <w:r>
        <w:rPr/>
        <w:t>公开的原则，有利地保障了所有投资者平等地享有知情权及其他合法权益。</w:t>
      </w:r>
    </w:p>
    <w:p>
      <w:pPr>
        <w:spacing w:after="0" w:line="240" w:lineRule="auto"/>
        <w:jc w:val="left"/>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38" w:lineRule="auto" w:before="119"/>
        <w:ind w:left="153" w:right="19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34"/>
          <w:szCs w:val="34"/>
        </w:rPr>
      </w:pPr>
    </w:p>
    <w:p>
      <w:pPr>
        <w:pStyle w:val="BodyText"/>
        <w:spacing w:line="374" w:lineRule="auto" w:before="0"/>
        <w:ind w:right="0" w:firstLine="422"/>
        <w:jc w:val="left"/>
      </w:pPr>
      <w:r>
        <w:rPr/>
        <w:t>截至报告期末，中国希格玛有限公司为本公司控股股东，持有本公司</w:t>
      </w:r>
      <w:r>
        <w:rPr>
          <w:rFonts w:ascii="Times New Roman" w:hAnsi="Times New Roman" w:cs="Times New Roman" w:eastAsia="Times New Roman" w:hint="default"/>
        </w:rPr>
        <w:t>78,306,968</w:t>
      </w:r>
      <w:r>
        <w:rPr/>
        <w:t>股股份，占公司总股</w:t>
      </w:r>
      <w:r>
        <w:rPr>
          <w:w w:val="100"/>
        </w:rPr>
        <w:t> </w:t>
      </w:r>
      <w:r>
        <w:rPr>
          <w:spacing w:val="-2"/>
        </w:rPr>
        <w:t>本的</w:t>
      </w:r>
      <w:r>
        <w:rPr>
          <w:rFonts w:ascii="Times New Roman" w:hAnsi="Times New Roman" w:cs="Times New Roman" w:eastAsia="Times New Roman" w:hint="default"/>
          <w:spacing w:val="-2"/>
        </w:rPr>
        <w:t>21.88%</w:t>
      </w:r>
      <w:r>
        <w:rPr>
          <w:spacing w:val="-2"/>
        </w:rPr>
        <w:t>。本公司法人治理结构健全，在业务、人员、资产、机构、财务等方面与控股股东完全分开，</w:t>
      </w:r>
      <w:r>
        <w:rPr>
          <w:spacing w:val="-5"/>
        </w:rPr>
        <w:t> </w:t>
      </w:r>
      <w:r>
        <w:rPr>
          <w:spacing w:val="-5"/>
        </w:rPr>
      </w:r>
      <w:r>
        <w:rPr/>
        <w:t>具有独立完整的业务及自主经营能力。</w:t>
      </w:r>
      <w:r>
        <w:rPr>
          <w:rFonts w:ascii="Times New Roman" w:hAnsi="Times New Roman" w:cs="Times New Roman" w:eastAsia="Times New Roman" w:hint="default"/>
        </w:rPr>
        <w:t>1</w:t>
      </w:r>
      <w:r>
        <w:rPr/>
        <w:t>、公司业务独立。公司具有独立完整的业务及自主经营能力，与</w:t>
      </w:r>
      <w:r>
        <w:rPr>
          <w:w w:val="100"/>
        </w:rPr>
        <w:t> </w:t>
      </w:r>
      <w:r>
        <w:rPr/>
        <w:t>控股股东及其下属企业之间不存在同业竞争，控股股东不存在直接或间接干预公司经营活动的情况。</w:t>
      </w:r>
      <w:r>
        <w:rPr>
          <w:rFonts w:ascii="Times New Roman" w:hAnsi="Times New Roman" w:cs="Times New Roman" w:eastAsia="Times New Roman" w:hint="default"/>
        </w:rPr>
        <w:t>2</w:t>
      </w:r>
      <w:r>
        <w:rPr/>
        <w:t>、</w:t>
      </w:r>
      <w:r>
        <w:rPr>
          <w:spacing w:val="-102"/>
        </w:rPr>
        <w:t> </w:t>
      </w:r>
      <w:r>
        <w:rPr>
          <w:spacing w:val="-2"/>
        </w:rPr>
        <w:t>公司人员独立。公司与控股股东在劳动、人事及工资管理等方面相互独立，有独立完善的人事制度和劳资</w:t>
      </w:r>
      <w:r>
        <w:rPr>
          <w:spacing w:val="-33"/>
        </w:rPr>
        <w:t> </w:t>
      </w:r>
      <w:r>
        <w:rPr>
          <w:spacing w:val="-33"/>
        </w:rPr>
      </w:r>
      <w:r>
        <w:rPr>
          <w:spacing w:val="-2"/>
        </w:rPr>
        <w:t>管理体系。董事长未担任公司股东单位的法定代表人；公司总经理、副总经理、总会计师、董事会秘书等</w:t>
      </w:r>
      <w:r>
        <w:rPr>
          <w:spacing w:val="-38"/>
        </w:rPr>
        <w:t> </w:t>
      </w:r>
      <w:r>
        <w:rPr>
          <w:spacing w:val="-38"/>
        </w:rPr>
      </w:r>
      <w:r>
        <w:rPr>
          <w:spacing w:val="-2"/>
        </w:rPr>
        <w:t>高管人员均属专职，未有在控股股东兼职的情况，均在本公司领取报酬。公司所有的董事、监事均通过合</w:t>
      </w:r>
      <w:r>
        <w:rPr>
          <w:spacing w:val="-33"/>
        </w:rPr>
        <w:t> </w:t>
      </w:r>
      <w:r>
        <w:rPr>
          <w:spacing w:val="-33"/>
        </w:rPr>
      </w:r>
      <w:r>
        <w:rPr>
          <w:spacing w:val="-2"/>
        </w:rPr>
        <w:t>法程序选举产生，总经理、副总经理、总会计师及董事会秘书均由董事会聘任，其他各级管理人员由总经</w:t>
      </w:r>
      <w:r>
        <w:rPr>
          <w:spacing w:val="-33"/>
        </w:rPr>
        <w:t> </w:t>
      </w:r>
      <w:r>
        <w:rPr>
          <w:spacing w:val="-33"/>
        </w:rPr>
      </w:r>
      <w:r>
        <w:rPr/>
        <w:t>理聘任，公司拥有独立的人事任免权。</w:t>
      </w:r>
      <w:r>
        <w:rPr>
          <w:rFonts w:ascii="Times New Roman" w:hAnsi="Times New Roman" w:cs="Times New Roman" w:eastAsia="Times New Roman" w:hint="default"/>
        </w:rPr>
        <w:t>3</w:t>
      </w:r>
      <w:r>
        <w:rPr/>
        <w:t>、公司资产独立。公司具有独立完整的资产，公司的资产全部处</w:t>
      </w:r>
      <w:r>
        <w:rPr>
          <w:w w:val="100"/>
        </w:rPr>
        <w:t> </w:t>
      </w:r>
      <w:r>
        <w:rPr/>
        <w:t>于公司的控制之下，并为公司独立拥有和运营。公司不存在资金、资产被控股股东占用的情形。</w:t>
      </w:r>
      <w:r>
        <w:rPr>
          <w:spacing w:val="-18"/>
        </w:rPr>
        <w:t> </w:t>
      </w:r>
      <w:r>
        <w:rPr>
          <w:rFonts w:ascii="Times New Roman" w:hAnsi="Times New Roman" w:cs="Times New Roman" w:eastAsia="Times New Roman" w:hint="default"/>
        </w:rPr>
        <w:t>4</w:t>
      </w:r>
      <w:r>
        <w:rPr/>
        <w:t>、公司</w:t>
      </w:r>
      <w:r>
        <w:rPr>
          <w:w w:val="100"/>
        </w:rPr>
        <w:t> </w:t>
      </w:r>
      <w:r>
        <w:rPr>
          <w:spacing w:val="-2"/>
        </w:rPr>
        <w:t>机构独立。公司生产经营及办公机构与控股股东完全分开，设立了健全的组织机构体系，董事会、监事会</w:t>
      </w:r>
      <w:r>
        <w:rPr>
          <w:spacing w:val="-33"/>
        </w:rPr>
        <w:t> </w:t>
      </w:r>
      <w:r>
        <w:rPr>
          <w:spacing w:val="-33"/>
        </w:rPr>
      </w:r>
      <w:r>
        <w:rPr/>
        <w:t>及其他内部机构独立运作。控股股东及其职能部门与公司及其职能部门之间不存在从属关系。</w:t>
      </w:r>
      <w:r>
        <w:rPr>
          <w:spacing w:val="-18"/>
        </w:rPr>
        <w:t> </w:t>
      </w:r>
      <w:r>
        <w:rPr>
          <w:rFonts w:ascii="Times New Roman" w:hAnsi="Times New Roman" w:cs="Times New Roman" w:eastAsia="Times New Roman" w:hint="default"/>
        </w:rPr>
        <w:t>5</w:t>
      </w:r>
      <w:r>
        <w:rPr/>
        <w:t>、财务方</w:t>
      </w:r>
      <w:r>
        <w:rPr>
          <w:w w:val="100"/>
        </w:rPr>
        <w:t> </w:t>
      </w:r>
      <w:r>
        <w:rPr>
          <w:spacing w:val="-2"/>
        </w:rPr>
        <w:t>面独立。公司设有独立的财会部门，配备了充足的专职财务会计人员，并建立了独立的会计核算体系和财</w:t>
      </w:r>
      <w:r>
        <w:rPr>
          <w:spacing w:val="-33"/>
        </w:rPr>
        <w:t> </w:t>
      </w:r>
      <w:r>
        <w:rPr>
          <w:spacing w:val="-33"/>
        </w:rPr>
      </w:r>
      <w:r>
        <w:rPr>
          <w:spacing w:val="-2"/>
        </w:rPr>
        <w:t>务管理制度。公司独立开设银行账户、独立纳税，严格遵循各项财务制度，独立运作、规范管理。不存在</w:t>
      </w:r>
      <w:r>
        <w:rPr>
          <w:spacing w:val="-33"/>
        </w:rPr>
        <w:t> </w:t>
      </w:r>
      <w:r>
        <w:rPr>
          <w:spacing w:val="-33"/>
        </w:rPr>
      </w:r>
      <w:r>
        <w:rPr/>
        <w:t>控股股东干预公司财务、会计活动的情况。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三、同业竞争情况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30"/>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74"/>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tabs>
                <w:tab w:pos="744" w:val="left" w:leader="none"/>
              </w:tabs>
              <w:spacing w:line="333" w:lineRule="auto" w:before="53"/>
              <w:ind w:left="23" w:right="67"/>
              <w:jc w:val="left"/>
              <w:rPr>
                <w:rFonts w:ascii="宋体" w:hAnsi="宋体" w:cs="宋体" w:eastAsia="宋体" w:hint="default"/>
                <w:sz w:val="18"/>
                <w:szCs w:val="18"/>
              </w:rPr>
            </w:pPr>
            <w:r>
              <w:rPr>
                <w:rFonts w:ascii="宋体" w:hAnsi="宋体" w:cs="宋体" w:eastAsia="宋体" w:hint="default"/>
                <w:sz w:val="18"/>
                <w:szCs w:val="18"/>
              </w:rPr>
              <w:t>聚潮资讯网</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w</w:t>
            </w:r>
            <w:hyperlink r:id="rId31">
              <w:r>
                <w:rPr>
                  <w:rFonts w:ascii="Times New Roman" w:hAnsi="Times New Roman" w:cs="Times New Roman" w:eastAsia="Times New Roman" w:hint="default"/>
                  <w:spacing w:val="-3"/>
                  <w:sz w:val="18"/>
                  <w:szCs w:val="18"/>
                </w:rPr>
                <w:t>www.cninfo.com.c</w:t>
              </w:r>
            </w:hyperlink>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13"/>
                <w:sz w:val="18"/>
                <w:szCs w:val="18"/>
              </w:rPr>
            </w:r>
            <w:r>
              <w:rPr>
                <w:rFonts w:ascii="Times New Roman" w:hAnsi="Times New Roman" w:cs="Times New Roman" w:eastAsia="Times New Roman" w:hint="default"/>
                <w:sz w:val="18"/>
                <w:szCs w:val="18"/>
              </w:rPr>
              <w:t>n</w:t>
              <w:tab/>
            </w:r>
            <w:r>
              <w:rPr>
                <w:rFonts w:ascii="宋体" w:hAnsi="宋体" w:cs="宋体" w:eastAsia="宋体" w:hint="default"/>
                <w:sz w:val="18"/>
                <w:szCs w:val="18"/>
              </w:rPr>
              <w:t>公告编号</w:t>
            </w:r>
          </w:p>
          <w:p>
            <w:pPr>
              <w:pStyle w:val="TableParagraph"/>
              <w:spacing w:line="240" w:lineRule="auto" w:before="32"/>
              <w:ind w:left="23" w:right="0"/>
              <w:jc w:val="left"/>
              <w:rPr>
                <w:rFonts w:ascii="Times New Roman" w:hAnsi="Times New Roman" w:cs="Times New Roman" w:eastAsia="Times New Roman" w:hint="default"/>
                <w:sz w:val="18"/>
                <w:szCs w:val="18"/>
              </w:rPr>
            </w:pPr>
            <w:r>
              <w:rPr>
                <w:rFonts w:ascii="Times New Roman"/>
                <w:sz w:val="18"/>
              </w:rPr>
              <w:t>2015-19</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134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30"/>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tabs>
                <w:tab w:pos="744" w:val="left" w:leader="none"/>
              </w:tabs>
              <w:spacing w:line="333" w:lineRule="auto" w:before="53"/>
              <w:ind w:left="23" w:right="67"/>
              <w:jc w:val="left"/>
              <w:rPr>
                <w:rFonts w:ascii="宋体" w:hAnsi="宋体" w:cs="宋体" w:eastAsia="宋体" w:hint="default"/>
                <w:sz w:val="18"/>
                <w:szCs w:val="18"/>
              </w:rPr>
            </w:pPr>
            <w:r>
              <w:rPr>
                <w:rFonts w:ascii="宋体" w:hAnsi="宋体" w:cs="宋体" w:eastAsia="宋体" w:hint="default"/>
                <w:sz w:val="18"/>
                <w:szCs w:val="18"/>
              </w:rPr>
              <w:t>聚潮资讯网</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w</w:t>
            </w:r>
            <w:hyperlink r:id="rId31">
              <w:r>
                <w:rPr>
                  <w:rFonts w:ascii="Times New Roman" w:hAnsi="Times New Roman" w:cs="Times New Roman" w:eastAsia="Times New Roman" w:hint="default"/>
                  <w:spacing w:val="-3"/>
                  <w:sz w:val="18"/>
                  <w:szCs w:val="18"/>
                </w:rPr>
                <w:t>www.cninfo.com.c</w:t>
              </w:r>
            </w:hyperlink>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13"/>
                <w:sz w:val="18"/>
                <w:szCs w:val="18"/>
              </w:rPr>
            </w:r>
            <w:r>
              <w:rPr>
                <w:rFonts w:ascii="Times New Roman" w:hAnsi="Times New Roman" w:cs="Times New Roman" w:eastAsia="Times New Roman" w:hint="default"/>
                <w:sz w:val="18"/>
                <w:szCs w:val="18"/>
              </w:rPr>
              <w:t>n</w:t>
              <w:tab/>
            </w:r>
            <w:r>
              <w:rPr>
                <w:rFonts w:ascii="宋体" w:hAnsi="宋体" w:cs="宋体" w:eastAsia="宋体" w:hint="default"/>
                <w:sz w:val="18"/>
                <w:szCs w:val="18"/>
              </w:rPr>
              <w:t>公告编号</w:t>
            </w:r>
          </w:p>
          <w:p>
            <w:pPr>
              <w:pStyle w:val="TableParagraph"/>
              <w:spacing w:line="240" w:lineRule="auto" w:before="32"/>
              <w:ind w:left="23" w:right="0"/>
              <w:jc w:val="left"/>
              <w:rPr>
                <w:rFonts w:ascii="Times New Roman" w:hAnsi="Times New Roman" w:cs="Times New Roman" w:eastAsia="Times New Roman" w:hint="default"/>
                <w:sz w:val="18"/>
                <w:szCs w:val="18"/>
              </w:rPr>
            </w:pPr>
            <w:r>
              <w:rPr>
                <w:rFonts w:ascii="Times New Roman"/>
                <w:sz w:val="18"/>
              </w:rPr>
              <w:t>2015-55</w:t>
            </w:r>
          </w:p>
        </w:tc>
      </w:tr>
      <w:tr>
        <w:trPr>
          <w:trHeight w:val="134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30"/>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tabs>
                <w:tab w:pos="744" w:val="left" w:leader="none"/>
              </w:tabs>
              <w:spacing w:line="333" w:lineRule="auto" w:before="53"/>
              <w:ind w:left="23" w:right="67"/>
              <w:jc w:val="left"/>
              <w:rPr>
                <w:rFonts w:ascii="宋体" w:hAnsi="宋体" w:cs="宋体" w:eastAsia="宋体" w:hint="default"/>
                <w:sz w:val="18"/>
                <w:szCs w:val="18"/>
              </w:rPr>
            </w:pPr>
            <w:r>
              <w:rPr>
                <w:rFonts w:ascii="宋体" w:hAnsi="宋体" w:cs="宋体" w:eastAsia="宋体" w:hint="default"/>
                <w:sz w:val="18"/>
                <w:szCs w:val="18"/>
              </w:rPr>
              <w:t>聚潮资讯网</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w</w:t>
            </w:r>
            <w:hyperlink r:id="rId31">
              <w:r>
                <w:rPr>
                  <w:rFonts w:ascii="Times New Roman" w:hAnsi="Times New Roman" w:cs="Times New Roman" w:eastAsia="Times New Roman" w:hint="default"/>
                  <w:spacing w:val="-3"/>
                  <w:sz w:val="18"/>
                  <w:szCs w:val="18"/>
                </w:rPr>
                <w:t>www.cninfo.com.c</w:t>
              </w:r>
            </w:hyperlink>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13"/>
                <w:sz w:val="18"/>
                <w:szCs w:val="18"/>
              </w:rPr>
            </w:r>
            <w:r>
              <w:rPr>
                <w:rFonts w:ascii="Times New Roman" w:hAnsi="Times New Roman" w:cs="Times New Roman" w:eastAsia="Times New Roman" w:hint="default"/>
                <w:sz w:val="18"/>
                <w:szCs w:val="18"/>
              </w:rPr>
              <w:t>n</w:t>
              <w:tab/>
            </w:r>
            <w:r>
              <w:rPr>
                <w:rFonts w:ascii="宋体" w:hAnsi="宋体" w:cs="宋体" w:eastAsia="宋体" w:hint="default"/>
                <w:sz w:val="18"/>
                <w:szCs w:val="18"/>
              </w:rPr>
              <w:t>公告编号</w:t>
            </w:r>
          </w:p>
          <w:p>
            <w:pPr>
              <w:pStyle w:val="TableParagraph"/>
              <w:spacing w:line="240" w:lineRule="auto" w:before="32"/>
              <w:ind w:left="23" w:right="0"/>
              <w:jc w:val="left"/>
              <w:rPr>
                <w:rFonts w:ascii="Times New Roman" w:hAnsi="Times New Roman" w:cs="Times New Roman" w:eastAsia="Times New Roman" w:hint="default"/>
                <w:sz w:val="18"/>
                <w:szCs w:val="18"/>
              </w:rPr>
            </w:pPr>
            <w:r>
              <w:rPr>
                <w:rFonts w:ascii="Times New Roman"/>
                <w:sz w:val="18"/>
              </w:rPr>
              <w:t>2015-74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机构投资者情况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机构投资者名称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9"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3"/>
        <w:gridCol w:w="1325"/>
        <w:gridCol w:w="1325"/>
        <w:gridCol w:w="1325"/>
        <w:gridCol w:w="1326"/>
        <w:gridCol w:w="1325"/>
        <w:gridCol w:w="1321"/>
      </w:tblGrid>
      <w:tr>
        <w:trPr>
          <w:trHeight w:val="40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独立董事出席董事会情况</w:t>
            </w:r>
          </w:p>
        </w:tc>
      </w:tr>
      <w:tr>
        <w:trPr>
          <w:trHeight w:val="71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06" w:right="22" w:hanging="178"/>
              <w:jc w:val="left"/>
              <w:rPr>
                <w:rFonts w:ascii="宋体" w:hAnsi="宋体" w:cs="宋体" w:eastAsia="宋体" w:hint="default"/>
                <w:sz w:val="18"/>
                <w:szCs w:val="18"/>
              </w:rPr>
            </w:pPr>
            <w:r>
              <w:rPr>
                <w:rFonts w:ascii="宋体" w:hAnsi="宋体" w:cs="宋体" w:eastAsia="宋体" w:hint="default"/>
                <w:spacing w:val="-3"/>
                <w:sz w:val="18"/>
                <w:szCs w:val="18"/>
              </w:rPr>
              <w:t>本报告期应参加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75" w:right="22" w:hanging="447"/>
              <w:jc w:val="left"/>
              <w:rPr>
                <w:rFonts w:ascii="宋体" w:hAnsi="宋体" w:cs="宋体" w:eastAsia="宋体" w:hint="default"/>
                <w:sz w:val="18"/>
                <w:szCs w:val="18"/>
              </w:rPr>
            </w:pPr>
            <w:r>
              <w:rPr>
                <w:rFonts w:ascii="宋体" w:hAnsi="宋体" w:cs="宋体" w:eastAsia="宋体" w:hint="default"/>
                <w:spacing w:val="-3"/>
                <w:sz w:val="18"/>
                <w:szCs w:val="18"/>
              </w:rPr>
              <w:t>以通讯方式参加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次数</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5" w:right="17" w:hanging="87"/>
              <w:jc w:val="left"/>
              <w:rPr>
                <w:rFonts w:ascii="宋体" w:hAnsi="宋体" w:cs="宋体" w:eastAsia="宋体" w:hint="default"/>
                <w:sz w:val="18"/>
                <w:szCs w:val="18"/>
              </w:rPr>
            </w:pPr>
            <w:r>
              <w:rPr>
                <w:rFonts w:ascii="宋体" w:hAnsi="宋体" w:cs="宋体" w:eastAsia="宋体" w:hint="default"/>
                <w:spacing w:val="-3"/>
                <w:sz w:val="18"/>
                <w:szCs w:val="18"/>
              </w:rPr>
              <w:t>是否连续两次未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亲自参加会议</w:t>
            </w:r>
          </w:p>
        </w:tc>
      </w:tr>
      <w:tr>
        <w:trPr>
          <w:trHeight w:val="40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叶翔</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高良玉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38" w:lineRule="auto" w:before="119"/>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报告期内独立董事对公司有关事项未提出异议。</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38" w:lineRule="auto" w:before="119"/>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独立董事对公司有关建议被采纳或未被采纳的说明</w:t>
      </w:r>
    </w:p>
    <w:p>
      <w:pPr>
        <w:spacing w:after="0" w:line="338"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84" w:lineRule="auto" w:before="36"/>
        <w:ind w:right="224" w:firstLine="422"/>
        <w:jc w:val="both"/>
      </w:pPr>
      <w:r>
        <w:rPr>
          <w:spacing w:val="-2"/>
        </w:rPr>
        <w:t>报告期内，公司独立董事严格按照有关法律、法规和《公司章程》的规定，恪尽职守、勤勉尽责，积</w:t>
      </w:r>
      <w:r>
        <w:rPr>
          <w:w w:val="100"/>
        </w:rPr>
        <w:t> </w:t>
      </w:r>
      <w:r>
        <w:rPr>
          <w:spacing w:val="-2"/>
        </w:rPr>
        <w:t>极出席董事会会议和股东大会。会前主动了解并获取作出决策所需要的资料，会上认真审议每项议案，积</w:t>
      </w:r>
      <w:r>
        <w:rPr>
          <w:spacing w:val="-33"/>
        </w:rPr>
        <w:t> </w:t>
      </w:r>
      <w:r>
        <w:rPr>
          <w:spacing w:val="-33"/>
        </w:rPr>
      </w:r>
      <w:r>
        <w:rPr>
          <w:spacing w:val="-2"/>
        </w:rPr>
        <w:t>极参与讨论并提出合理化建议，包括委托理财风险控制、生产企业设备改造等。独立董事分别担任董事会</w:t>
      </w:r>
      <w:r>
        <w:rPr>
          <w:spacing w:val="-32"/>
        </w:rPr>
        <w:t> </w:t>
      </w:r>
      <w:r>
        <w:rPr>
          <w:spacing w:val="-32"/>
        </w:rPr>
      </w:r>
      <w:r>
        <w:rPr>
          <w:spacing w:val="-2"/>
        </w:rPr>
        <w:t>下设的各专业委员会的召集人或委员，根据其专业知识和能力，对报告期内公司的日常运作情况、关联交</w:t>
      </w:r>
      <w:r>
        <w:rPr>
          <w:spacing w:val="-33"/>
        </w:rPr>
        <w:t> </w:t>
      </w:r>
      <w:r>
        <w:rPr>
          <w:spacing w:val="-33"/>
        </w:rPr>
      </w:r>
      <w:r>
        <w:rPr>
          <w:spacing w:val="-2"/>
        </w:rPr>
        <w:t>易等事项发表了独立、客观、公正的意见，为董事会决策及公司的良性发展起到了积极的作用，切实维护</w:t>
      </w:r>
      <w:r>
        <w:rPr>
          <w:spacing w:val="-33"/>
        </w:rPr>
        <w:t> </w:t>
      </w:r>
      <w:r>
        <w:rPr>
          <w:spacing w:val="-33"/>
        </w:rPr>
      </w:r>
      <w:r>
        <w:rPr/>
        <w:t>了公司的整体利益，保障了广大中、小股东的合法权益。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1"/>
        <w:rPr>
          <w:rFonts w:ascii="宋体" w:hAnsi="宋体" w:cs="宋体" w:eastAsia="宋体" w:hint="default"/>
          <w:b/>
          <w:bCs/>
          <w:sz w:val="34"/>
          <w:szCs w:val="34"/>
        </w:rPr>
      </w:pPr>
    </w:p>
    <w:p>
      <w:pPr>
        <w:pStyle w:val="BodyText"/>
        <w:spacing w:line="364" w:lineRule="auto" w:before="0"/>
        <w:ind w:right="0" w:firstLine="480"/>
        <w:jc w:val="left"/>
      </w:pPr>
      <w:r>
        <w:rPr>
          <w:rFonts w:ascii="Times New Roman" w:hAnsi="Times New Roman" w:cs="Times New Roman" w:eastAsia="Times New Roman" w:hint="default"/>
          <w:spacing w:val="-2"/>
        </w:rPr>
        <w:t>2015</w:t>
      </w:r>
      <w:r>
        <w:rPr>
          <w:spacing w:val="-2"/>
        </w:rPr>
        <w:t>年董事会各专业委员会能够尽职尽责履行各自的职务，各委员会职责分工明确，运作情况良好。</w:t>
      </w:r>
      <w:r>
        <w:rPr>
          <w:w w:val="100"/>
        </w:rPr>
        <w:t> </w:t>
      </w:r>
      <w:r>
        <w:rPr>
          <w:spacing w:val="-2"/>
        </w:rPr>
        <w:t>报告期内，各委员会共召开了</w:t>
      </w:r>
      <w:r>
        <w:rPr>
          <w:rFonts w:ascii="Times New Roman" w:hAnsi="Times New Roman" w:cs="Times New Roman" w:eastAsia="Times New Roman" w:hint="default"/>
          <w:spacing w:val="-2"/>
        </w:rPr>
        <w:t>10</w:t>
      </w:r>
      <w:r>
        <w:rPr>
          <w:spacing w:val="-2"/>
        </w:rPr>
        <w:t>次会议，其中战略与投资委员会召开了</w:t>
      </w:r>
      <w:r>
        <w:rPr>
          <w:rFonts w:ascii="Times New Roman" w:hAnsi="Times New Roman" w:cs="Times New Roman" w:eastAsia="Times New Roman" w:hint="default"/>
          <w:spacing w:val="-2"/>
        </w:rPr>
        <w:t>1</w:t>
      </w:r>
      <w:r>
        <w:rPr>
          <w:spacing w:val="-2"/>
        </w:rPr>
        <w:t>次会议，审计委员会召开了</w:t>
      </w:r>
      <w:r>
        <w:rPr>
          <w:rFonts w:ascii="Times New Roman" w:hAnsi="Times New Roman" w:cs="Times New Roman" w:eastAsia="Times New Roman" w:hint="default"/>
          <w:spacing w:val="-2"/>
        </w:rPr>
        <w:t>3</w:t>
      </w:r>
      <w:r>
        <w:rPr>
          <w:spacing w:val="-2"/>
        </w:rPr>
        <w:t>次会</w:t>
      </w:r>
      <w:r>
        <w:rPr>
          <w:spacing w:val="-27"/>
        </w:rPr>
        <w:t> </w:t>
      </w:r>
      <w:r>
        <w:rPr/>
        <w:t>议，提名委员会召开了</w:t>
      </w:r>
      <w:r>
        <w:rPr>
          <w:rFonts w:ascii="Times New Roman" w:hAnsi="Times New Roman" w:cs="Times New Roman" w:eastAsia="Times New Roman" w:hint="default"/>
        </w:rPr>
        <w:t>4</w:t>
      </w:r>
      <w:r>
        <w:rPr/>
        <w:t>次会议，绩效与薪酬委员会召开了</w:t>
      </w:r>
      <w:r>
        <w:rPr>
          <w:rFonts w:ascii="Times New Roman" w:hAnsi="Times New Roman" w:cs="Times New Roman" w:eastAsia="Times New Roman" w:hint="default"/>
        </w:rPr>
        <w:t>2</w:t>
      </w:r>
      <w:r>
        <w:rPr/>
        <w:t>次会议。</w:t>
      </w:r>
    </w:p>
    <w:p>
      <w:pPr>
        <w:pStyle w:val="Heading4"/>
        <w:spacing w:line="240" w:lineRule="auto" w:before="25"/>
        <w:ind w:left="1041" w:right="0"/>
        <w:jc w:val="left"/>
        <w:rPr>
          <w:b w:val="0"/>
          <w:bCs w:val="0"/>
        </w:rPr>
      </w:pPr>
      <w:r>
        <w:rPr>
          <w:rFonts w:ascii="宋体" w:hAnsi="宋体" w:cs="宋体" w:eastAsia="宋体" w:hint="default"/>
        </w:rPr>
        <w:t>1.</w:t>
      </w:r>
      <w:r>
        <w:rPr>
          <w:rFonts w:ascii="宋体" w:hAnsi="宋体" w:cs="宋体" w:eastAsia="宋体" w:hint="default"/>
          <w:spacing w:val="46"/>
        </w:rPr>
        <w:t> </w:t>
      </w:r>
      <w:r>
        <w:rPr/>
        <w:t>战略与投资委员会的履职情况</w:t>
      </w:r>
      <w:r>
        <w:rPr>
          <w:b w:val="0"/>
          <w:bCs w:val="0"/>
        </w:rPr>
      </w:r>
    </w:p>
    <w:p>
      <w:pPr>
        <w:pStyle w:val="BodyText"/>
        <w:spacing w:line="364" w:lineRule="auto" w:before="166"/>
        <w:ind w:left="633" w:right="540"/>
        <w:jc w:val="left"/>
      </w:pPr>
      <w:r>
        <w:rPr>
          <w:rFonts w:ascii="Times New Roman" w:hAnsi="Times New Roman" w:cs="Times New Roman" w:eastAsia="Times New Roman" w:hint="default"/>
          <w:spacing w:val="-2"/>
        </w:rPr>
        <w:t>2015</w:t>
      </w:r>
      <w:r>
        <w:rPr>
          <w:spacing w:val="-2"/>
        </w:rPr>
        <w:t>年，公司董事会战略与投资委员会召开了</w:t>
      </w:r>
      <w:r>
        <w:rPr>
          <w:rFonts w:ascii="Times New Roman" w:hAnsi="Times New Roman" w:cs="Times New Roman" w:eastAsia="Times New Roman" w:hint="default"/>
          <w:spacing w:val="-2"/>
        </w:rPr>
        <w:t>1</w:t>
      </w:r>
      <w:r>
        <w:rPr>
          <w:spacing w:val="-2"/>
        </w:rPr>
        <w:t>次会议。</w:t>
      </w:r>
      <w:r>
        <w:rPr>
          <w:spacing w:val="-51"/>
        </w:rPr>
        <w:t> </w:t>
      </w:r>
      <w:r>
        <w:rPr>
          <w:spacing w:val="-51"/>
        </w:rPr>
      </w:r>
      <w:r>
        <w:rPr/>
        <w:t>会议审议了《关于选举召集人的议案》。</w:t>
      </w:r>
    </w:p>
    <w:p>
      <w:pPr>
        <w:pStyle w:val="BodyText"/>
        <w:spacing w:line="374" w:lineRule="auto" w:before="52"/>
        <w:ind w:right="206" w:firstLine="480"/>
        <w:jc w:val="both"/>
      </w:pPr>
      <w:r>
        <w:rPr>
          <w:spacing w:val="-3"/>
        </w:rPr>
        <w:t>公司战略与投资委员会董事会战略与投资委员会成员由</w:t>
      </w:r>
      <w:r>
        <w:rPr>
          <w:rFonts w:ascii="Times New Roman" w:hAnsi="Times New Roman" w:cs="Times New Roman" w:eastAsia="Times New Roman" w:hint="default"/>
          <w:spacing w:val="-3"/>
        </w:rPr>
        <w:t>2</w:t>
      </w:r>
      <w:r>
        <w:rPr>
          <w:spacing w:val="-3"/>
        </w:rPr>
        <w:t>名董事和</w:t>
      </w:r>
      <w:r>
        <w:rPr>
          <w:rFonts w:ascii="Times New Roman" w:hAnsi="Times New Roman" w:cs="Times New Roman" w:eastAsia="Times New Roman" w:hint="default"/>
          <w:spacing w:val="-3"/>
        </w:rPr>
        <w:t>1</w:t>
      </w:r>
      <w:r>
        <w:rPr>
          <w:spacing w:val="-3"/>
        </w:rPr>
        <w:t>名独立董事组成，召集人由公司董</w:t>
      </w:r>
      <w:r>
        <w:rPr>
          <w:w w:val="100"/>
        </w:rPr>
        <w:t> </w:t>
      </w:r>
      <w:r>
        <w:rPr>
          <w:spacing w:val="-2"/>
        </w:rPr>
        <w:t>事长担任。报告期内，战略与投资委员会与管理层保持着顺畅的日常沟通，关注公司发展战略落实情况，</w:t>
      </w:r>
      <w:r>
        <w:rPr>
          <w:spacing w:val="-13"/>
        </w:rPr>
        <w:t> </w:t>
      </w:r>
      <w:r>
        <w:rPr>
          <w:spacing w:val="-13"/>
        </w:rPr>
      </w:r>
      <w:r>
        <w:rPr/>
        <w:t>对授权范围内各项事务的进展保持充分了解。</w:t>
      </w:r>
    </w:p>
    <w:p>
      <w:pPr>
        <w:pStyle w:val="Heading4"/>
        <w:spacing w:line="240" w:lineRule="auto" w:before="44"/>
        <w:ind w:left="633" w:right="0"/>
        <w:jc w:val="left"/>
        <w:rPr>
          <w:b w:val="0"/>
          <w:bCs w:val="0"/>
        </w:rPr>
      </w:pPr>
      <w:r>
        <w:rPr/>
        <w:t>（二）审计委员会的履职情况</w:t>
      </w:r>
      <w:r>
        <w:rPr>
          <w:b w:val="0"/>
          <w:bCs w:val="0"/>
        </w:rPr>
      </w:r>
    </w:p>
    <w:p>
      <w:pPr>
        <w:pStyle w:val="BodyText"/>
        <w:spacing w:line="240" w:lineRule="auto" w:before="166"/>
        <w:ind w:left="633" w:right="0"/>
        <w:jc w:val="left"/>
      </w:pPr>
      <w:r>
        <w:rPr>
          <w:rFonts w:ascii="Times New Roman" w:hAnsi="Times New Roman" w:cs="Times New Roman" w:eastAsia="Times New Roman" w:hint="default"/>
        </w:rPr>
        <w:t>2014</w:t>
      </w:r>
      <w:r>
        <w:rPr/>
        <w:t>年，公司董事会审计委员会主要履行了以下工作职责：</w:t>
      </w:r>
    </w:p>
    <w:p>
      <w:pPr>
        <w:pStyle w:val="BodyText"/>
        <w:spacing w:line="360" w:lineRule="auto" w:before="151"/>
        <w:ind w:left="63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）召集</w:t>
      </w:r>
      <w:r>
        <w:rPr>
          <w:rFonts w:ascii="Times New Roman" w:hAnsi="Times New Roman" w:cs="Times New Roman" w:eastAsia="Times New Roman" w:hint="default"/>
        </w:rPr>
        <w:t>3</w:t>
      </w:r>
      <w:r>
        <w:rPr/>
        <w:t>次会议，审议通过一系列议案及报告</w:t>
      </w:r>
      <w:r>
        <w:rPr>
          <w:spacing w:val="-100"/>
        </w:rPr>
        <w:t> </w:t>
      </w:r>
      <w:r>
        <w:rPr>
          <w:spacing w:val="-100"/>
        </w:rPr>
      </w:r>
      <w:r>
        <w:rPr>
          <w:spacing w:val="-1"/>
        </w:rPr>
        <w:t>报告期内审计委员会召集了</w:t>
      </w:r>
      <w:r>
        <w:rPr>
          <w:rFonts w:ascii="Times New Roman" w:hAnsi="Times New Roman" w:cs="Times New Roman" w:eastAsia="Times New Roman" w:hint="default"/>
          <w:spacing w:val="-1"/>
        </w:rPr>
        <w:t>3</w:t>
      </w:r>
      <w:r>
        <w:rPr>
          <w:spacing w:val="-1"/>
        </w:rPr>
        <w:t>次会议，完成了对《关于</w:t>
      </w:r>
      <w:r>
        <w:rPr>
          <w:rFonts w:ascii="Times New Roman" w:hAnsi="Times New Roman" w:cs="Times New Roman" w:eastAsia="Times New Roman" w:hint="default"/>
          <w:spacing w:val="-1"/>
        </w:rPr>
        <w:t>2014</w:t>
      </w:r>
      <w:r>
        <w:rPr>
          <w:spacing w:val="-1"/>
        </w:rPr>
        <w:t>年度审计工作的总结报告》、《公司</w:t>
      </w:r>
      <w:r>
        <w:rPr>
          <w:rFonts w:ascii="Times New Roman" w:hAnsi="Times New Roman" w:cs="Times New Roman" w:eastAsia="Times New Roman" w:hint="default"/>
          <w:spacing w:val="-1"/>
        </w:rPr>
        <w:t>2014</w:t>
      </w:r>
    </w:p>
    <w:p>
      <w:pPr>
        <w:pStyle w:val="BodyText"/>
        <w:spacing w:line="364" w:lineRule="auto"/>
        <w:ind w:right="0"/>
        <w:jc w:val="left"/>
      </w:pPr>
      <w:r>
        <w:rPr>
          <w:spacing w:val="-2"/>
        </w:rPr>
        <w:t>年度财务报告》、《关于聘请公司</w:t>
      </w:r>
      <w:r>
        <w:rPr>
          <w:rFonts w:ascii="Times New Roman" w:hAnsi="Times New Roman" w:cs="Times New Roman" w:eastAsia="Times New Roman" w:hint="default"/>
          <w:spacing w:val="-2"/>
        </w:rPr>
        <w:t>2015</w:t>
      </w:r>
      <w:r>
        <w:rPr>
          <w:spacing w:val="-2"/>
        </w:rPr>
        <w:t>年度审计机构及支付报酬的议案》、《公司关于</w:t>
      </w:r>
      <w:r>
        <w:rPr>
          <w:rFonts w:ascii="Times New Roman" w:hAnsi="Times New Roman" w:cs="Times New Roman" w:eastAsia="Times New Roman" w:hint="default"/>
          <w:spacing w:val="-2"/>
        </w:rPr>
        <w:t>2015</w:t>
      </w:r>
      <w:r>
        <w:rPr>
          <w:spacing w:val="-2"/>
        </w:rPr>
        <w:t>年度审计工作</w:t>
      </w:r>
      <w:r>
        <w:rPr>
          <w:spacing w:val="-23"/>
        </w:rPr>
        <w:t> </w:t>
      </w:r>
      <w:r>
        <w:rPr>
          <w:spacing w:val="-23"/>
        </w:rPr>
      </w:r>
      <w:r>
        <w:rPr/>
        <w:t>计划的议案》等一系列报告的审议工作。</w:t>
      </w:r>
    </w:p>
    <w:p>
      <w:pPr>
        <w:pStyle w:val="BodyText"/>
        <w:spacing w:line="364" w:lineRule="auto" w:before="52"/>
        <w:ind w:left="633" w:right="0"/>
        <w:jc w:val="left"/>
      </w:pPr>
      <w:r>
        <w:rPr/>
        <w:t>（</w:t>
      </w:r>
      <w:r>
        <w:rPr>
          <w:rFonts w:ascii="Times New Roman" w:hAnsi="Times New Roman" w:cs="Times New Roman" w:eastAsia="Times New Roman" w:hint="default"/>
        </w:rPr>
        <w:t>2</w:t>
      </w:r>
      <w:r>
        <w:rPr/>
        <w:t>）加强与年报审计会计师的沟通，对其工作进行评估</w:t>
      </w:r>
      <w:r>
        <w:rPr>
          <w:w w:val="100"/>
        </w:rPr>
        <w:t> </w:t>
      </w:r>
      <w:r>
        <w:rPr>
          <w:spacing w:val="-3"/>
        </w:rPr>
        <w:t>在</w:t>
      </w:r>
      <w:r>
        <w:rPr>
          <w:rFonts w:ascii="Times New Roman" w:hAnsi="Times New Roman" w:cs="Times New Roman" w:eastAsia="Times New Roman" w:hint="default"/>
          <w:spacing w:val="-3"/>
        </w:rPr>
        <w:t>2014</w:t>
      </w:r>
      <w:r>
        <w:rPr>
          <w:spacing w:val="-3"/>
        </w:rPr>
        <w:t>年报财务报告审计期间，在审计师进场前和出具初步意见后，审计委员会召开与审计师的见面</w:t>
      </w:r>
    </w:p>
    <w:p>
      <w:pPr>
        <w:pStyle w:val="BodyText"/>
        <w:spacing w:line="360" w:lineRule="auto" w:before="30"/>
        <w:ind w:right="0"/>
        <w:jc w:val="left"/>
      </w:pPr>
      <w:r>
        <w:rPr>
          <w:spacing w:val="-2"/>
        </w:rPr>
        <w:t>会，就公司重要会计事项进行沟通，并不断跟踪审计工作进展情况，</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日召开七届十二次会议，</w:t>
      </w:r>
      <w:r>
        <w:rPr>
          <w:spacing w:val="-23"/>
        </w:rPr>
        <w:t> </w:t>
      </w:r>
      <w:r>
        <w:rPr>
          <w:spacing w:val="-23"/>
        </w:rPr>
      </w:r>
      <w:r>
        <w:rPr/>
        <w:t>评审会计师事务所年报审计工作情况和其执业质量。</w:t>
      </w:r>
    </w:p>
    <w:p>
      <w:pPr>
        <w:pStyle w:val="BodyText"/>
        <w:spacing w:line="364" w:lineRule="auto" w:before="61"/>
        <w:ind w:left="633" w:right="0"/>
        <w:jc w:val="left"/>
      </w:pPr>
      <w:r>
        <w:rPr/>
        <w:t>（</w:t>
      </w:r>
      <w:r>
        <w:rPr>
          <w:rFonts w:ascii="Times New Roman" w:hAnsi="Times New Roman" w:cs="Times New Roman" w:eastAsia="Times New Roman" w:hint="default"/>
        </w:rPr>
        <w:t>3</w:t>
      </w:r>
      <w:r>
        <w:rPr/>
        <w:t>）向董事会递交关于续聘审计机构的决议</w:t>
      </w:r>
      <w:r>
        <w:rPr>
          <w:spacing w:val="-102"/>
        </w:rPr>
        <w:t> </w:t>
      </w:r>
      <w:r>
        <w:rPr>
          <w:spacing w:val="-102"/>
        </w:rPr>
      </w:r>
      <w:r>
        <w:rPr>
          <w:spacing w:val="-1"/>
        </w:rPr>
        <w:t>在完成对会计师事务所年报审计工作情况和其执业质量评审的基础上，</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月，审计委员会向董</w:t>
      </w:r>
    </w:p>
    <w:p>
      <w:pPr>
        <w:pStyle w:val="BodyText"/>
        <w:spacing w:line="240" w:lineRule="auto" w:before="25"/>
        <w:ind w:right="0"/>
        <w:jc w:val="left"/>
      </w:pPr>
      <w:r>
        <w:rPr/>
        <w:t>事会递交了《关于聘请公司</w:t>
      </w:r>
      <w:r>
        <w:rPr>
          <w:rFonts w:ascii="Times New Roman" w:hAnsi="Times New Roman" w:cs="Times New Roman" w:eastAsia="Times New Roman" w:hint="default"/>
        </w:rPr>
        <w:t>2015</w:t>
      </w:r>
      <w:r>
        <w:rPr/>
        <w:t>年度审计机构及支付报酬的议案》。</w:t>
      </w:r>
    </w:p>
    <w:p>
      <w:pPr>
        <w:spacing w:after="0" w:line="240" w:lineRule="auto"/>
        <w:jc w:val="left"/>
        <w:sectPr>
          <w:pgSz w:w="11910" w:h="16840"/>
          <w:pgMar w:header="741" w:footer="979" w:top="1060" w:bottom="1160" w:left="980" w:right="9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36"/>
        <w:ind w:left="633" w:right="0"/>
        <w:jc w:val="left"/>
        <w:rPr>
          <w:b w:val="0"/>
          <w:bCs w:val="0"/>
        </w:rPr>
      </w:pPr>
      <w:r>
        <w:rPr/>
        <w:t>（三）提名委员会的履职情况</w:t>
      </w:r>
      <w:r>
        <w:rPr>
          <w:b w:val="0"/>
          <w:bCs w:val="0"/>
        </w:rPr>
      </w:r>
    </w:p>
    <w:p>
      <w:pPr>
        <w:pStyle w:val="BodyText"/>
        <w:spacing w:line="360" w:lineRule="auto" w:before="166"/>
        <w:ind w:left="633" w:right="0"/>
        <w:jc w:val="left"/>
      </w:pPr>
      <w:r>
        <w:rPr>
          <w:rFonts w:ascii="Times New Roman" w:hAnsi="Times New Roman" w:cs="Times New Roman" w:eastAsia="Times New Roman" w:hint="default"/>
        </w:rPr>
        <w:t>2015</w:t>
      </w:r>
      <w:r>
        <w:rPr/>
        <w:t>年，公司董事会提名委员会召开了四次会议。</w:t>
      </w:r>
      <w:r>
        <w:rPr>
          <w:w w:val="100"/>
        </w:rPr>
        <w:t> </w:t>
      </w:r>
      <w:r>
        <w:rPr>
          <w:spacing w:val="-4"/>
        </w:rPr>
        <w:t>提名委员会七届五次会议在公司董事会选举工作中，提名委员会提名晓岩先生、晏群先生、陈冬元先</w:t>
      </w:r>
    </w:p>
    <w:p>
      <w:pPr>
        <w:pStyle w:val="BodyText"/>
        <w:spacing w:line="384" w:lineRule="auto" w:before="61"/>
        <w:ind w:right="223"/>
        <w:jc w:val="both"/>
      </w:pPr>
      <w:r>
        <w:rPr>
          <w:spacing w:val="-2"/>
        </w:rPr>
        <w:t>生、鲁功亮先生为公司第八届董事会非独立董事候选人；提名高良玉先生、陈亮先生、叶翔先生为公司第</w:t>
      </w:r>
      <w:r>
        <w:rPr>
          <w:spacing w:val="-31"/>
        </w:rPr>
        <w:t> </w:t>
      </w:r>
      <w:r>
        <w:rPr>
          <w:spacing w:val="-31"/>
        </w:rPr>
      </w:r>
      <w:r>
        <w:rPr>
          <w:spacing w:val="-2"/>
        </w:rPr>
        <w:t>八届独立董事候选人；在七届六次会议中，提名委员会提名晏群先生担任总经理候选人、提名张晓黎先生</w:t>
      </w:r>
      <w:r>
        <w:rPr>
          <w:spacing w:val="-33"/>
        </w:rPr>
        <w:t> </w:t>
      </w:r>
      <w:r>
        <w:rPr>
          <w:spacing w:val="-33"/>
        </w:rPr>
      </w:r>
      <w:r>
        <w:rPr>
          <w:spacing w:val="-2"/>
        </w:rPr>
        <w:t>为副总经理候选人、提名梁侠女士为总会计师候选人、提名林小浓先生为公司总经理助理候选人、提名孙</w:t>
      </w:r>
      <w:r>
        <w:rPr>
          <w:spacing w:val="-33"/>
        </w:rPr>
        <w:t> </w:t>
      </w:r>
      <w:r>
        <w:rPr>
          <w:spacing w:val="-33"/>
        </w:rPr>
      </w:r>
      <w:r>
        <w:rPr>
          <w:spacing w:val="-2"/>
        </w:rPr>
        <w:t>德志先生为公司董事会秘书候选人、提名许智先生为公司证券事务代表候选人，提名委员会对各位候选人</w:t>
      </w:r>
      <w:r>
        <w:rPr>
          <w:spacing w:val="-33"/>
        </w:rPr>
        <w:t> </w:t>
      </w:r>
      <w:r>
        <w:rPr>
          <w:spacing w:val="-33"/>
        </w:rPr>
      </w:r>
      <w:r>
        <w:rPr/>
        <w:t>的任职资格和工作能力进行了审查，认为他们能够胜任上述职位，并向董事会出具了提名意见。</w:t>
      </w:r>
    </w:p>
    <w:p>
      <w:pPr>
        <w:pStyle w:val="BodyText"/>
        <w:spacing w:line="386" w:lineRule="auto" w:before="36"/>
        <w:ind w:left="633" w:right="0"/>
        <w:jc w:val="left"/>
      </w:pPr>
      <w:r>
        <w:rPr/>
        <w:t>八届一次会议审议了《关于选举召集人的议案》。</w:t>
      </w:r>
      <w:r>
        <w:rPr>
          <w:w w:val="100"/>
        </w:rPr>
        <w:t> </w:t>
      </w:r>
      <w:r>
        <w:rPr>
          <w:spacing w:val="-3"/>
        </w:rPr>
        <w:t>八届二次会议，提名委员会提名王能光先生为公司第八届董事会独立董事候选人，提名委员会对候选</w:t>
      </w:r>
    </w:p>
    <w:p>
      <w:pPr>
        <w:pStyle w:val="BodyText"/>
        <w:spacing w:line="240" w:lineRule="auto" w:before="38"/>
        <w:ind w:right="0"/>
        <w:jc w:val="both"/>
      </w:pPr>
      <w:r>
        <w:rPr/>
        <w:t>人的任职资格和工作能力进行了审查，认为其能够胜任上述职位，并向董事会出具了提名意见。</w:t>
      </w:r>
    </w:p>
    <w:p>
      <w:pPr>
        <w:pStyle w:val="Heading4"/>
        <w:spacing w:line="240" w:lineRule="auto" w:before="162"/>
        <w:ind w:left="633" w:right="0"/>
        <w:jc w:val="left"/>
        <w:rPr>
          <w:b w:val="0"/>
          <w:bCs w:val="0"/>
        </w:rPr>
      </w:pPr>
      <w:r>
        <w:rPr/>
        <w:t>（四）绩效与薪酬委员会的履职情况</w:t>
      </w:r>
      <w:r>
        <w:rPr>
          <w:b w:val="0"/>
          <w:bCs w:val="0"/>
        </w:rPr>
      </w:r>
    </w:p>
    <w:p>
      <w:pPr>
        <w:pStyle w:val="BodyText"/>
        <w:spacing w:line="364" w:lineRule="auto" w:before="166"/>
        <w:ind w:right="0" w:firstLine="480"/>
        <w:jc w:val="left"/>
      </w:pPr>
      <w:r>
        <w:rPr>
          <w:rFonts w:ascii="Times New Roman" w:hAnsi="Times New Roman" w:cs="Times New Roman" w:eastAsia="Times New Roman" w:hint="default"/>
          <w:spacing w:val="-7"/>
        </w:rPr>
        <w:t>2015</w:t>
      </w:r>
      <w:r>
        <w:rPr>
          <w:spacing w:val="-7"/>
        </w:rPr>
        <w:t>年，绩效与薪酬委员会召开了</w:t>
      </w:r>
      <w:r>
        <w:rPr>
          <w:rFonts w:ascii="Times New Roman" w:hAnsi="Times New Roman" w:cs="Times New Roman" w:eastAsia="Times New Roman" w:hint="default"/>
          <w:spacing w:val="-7"/>
        </w:rPr>
        <w:t>2</w:t>
      </w:r>
      <w:r>
        <w:rPr>
          <w:spacing w:val="-7"/>
        </w:rPr>
        <w:t>次会议，七届六次会议审议了《公司</w:t>
      </w:r>
      <w:r>
        <w:rPr>
          <w:rFonts w:ascii="Times New Roman" w:hAnsi="Times New Roman" w:cs="Times New Roman" w:eastAsia="Times New Roman" w:hint="default"/>
          <w:spacing w:val="-7"/>
        </w:rPr>
        <w:t>2015</w:t>
      </w:r>
      <w:r>
        <w:rPr>
          <w:spacing w:val="-7"/>
        </w:rPr>
        <w:t>年度经营管理考核办法》；</w:t>
      </w:r>
      <w:r>
        <w:rPr>
          <w:w w:val="100"/>
        </w:rPr>
        <w:t> </w:t>
      </w:r>
      <w:r>
        <w:rPr/>
        <w:t>八届一次会议审议了《关于选举召集人的议案》。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240" w:lineRule="auto"/>
        <w:ind w:right="0"/>
        <w:jc w:val="both"/>
        <w:rPr>
          <w:b w:val="0"/>
          <w:bCs w:val="0"/>
        </w:rPr>
      </w:pPr>
      <w:r>
        <w:rPr/>
        <w:t>七、监事会工作情况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38" w:lineRule="auto" w:before="115"/>
        <w:ind w:left="153" w:right="60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监事会对报告期内的监督事项无异议。</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6"/>
        <w:rPr>
          <w:rFonts w:ascii="宋体" w:hAnsi="宋体" w:cs="宋体" w:eastAsia="宋体" w:hint="default"/>
          <w:b/>
          <w:bCs/>
          <w:sz w:val="34"/>
          <w:szCs w:val="34"/>
        </w:rPr>
      </w:pPr>
    </w:p>
    <w:p>
      <w:pPr>
        <w:pStyle w:val="BodyText"/>
        <w:spacing w:line="386" w:lineRule="auto" w:before="0"/>
        <w:ind w:right="222" w:firstLine="422"/>
        <w:jc w:val="both"/>
      </w:pPr>
      <w:r>
        <w:rPr>
          <w:spacing w:val="-2"/>
        </w:rPr>
        <w:t>公司高级管理人员的聘任按照《公司章程》规定的任职条件和选聘程序执行，其绩效评价由公司行政</w:t>
      </w:r>
      <w:r>
        <w:rPr>
          <w:w w:val="100"/>
        </w:rPr>
        <w:t> </w:t>
      </w:r>
      <w:r>
        <w:rPr>
          <w:spacing w:val="-2"/>
        </w:rPr>
        <w:t>人事部门进行日常考核与评价，年末由公司董事会下设的薪酬与考核委员会进行综合评定，对高级管理人</w:t>
      </w:r>
      <w:r>
        <w:rPr>
          <w:spacing w:val="-33"/>
        </w:rPr>
        <w:t> </w:t>
      </w:r>
      <w:r>
        <w:rPr>
          <w:spacing w:val="-33"/>
        </w:rPr>
      </w:r>
      <w:r>
        <w:rPr/>
        <w:t>员实行基本工资加奖金的薪酬方式。</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九、内部控制情况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1" w:footer="979" w:top="1060" w:bottom="1160" w:left="980" w:right="90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9"/>
        <w:gridCol w:w="3332"/>
        <w:gridCol w:w="305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刊登在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27  </w:t>
            </w:r>
            <w:r>
              <w:rPr>
                <w:rFonts w:ascii="宋体" w:hAnsi="宋体" w:cs="宋体" w:eastAsia="宋体" w:hint="default"/>
                <w:spacing w:val="-3"/>
                <w:sz w:val="18"/>
                <w:szCs w:val="18"/>
              </w:rPr>
              <w:t>日的巨潮资讯网</w:t>
            </w:r>
            <w:r>
              <w:rPr>
                <w:rFonts w:ascii="宋体" w:hAnsi="宋体" w:cs="宋体" w:eastAsia="宋体" w:hint="default"/>
                <w:spacing w:val="56"/>
                <w:sz w:val="18"/>
                <w:szCs w:val="18"/>
              </w:rPr>
              <w:t> </w:t>
            </w:r>
            <w:hyperlink r:id="rId12">
              <w:r>
                <w:rPr>
                  <w:rFonts w:ascii="Times New Roman" w:hAnsi="Times New Roman" w:cs="Times New Roman" w:eastAsia="Times New Roman" w:hint="default"/>
                  <w:spacing w:val="-3"/>
                  <w:sz w:val="18"/>
                  <w:szCs w:val="18"/>
                </w:rPr>
                <w:t>www.cninfo.com.cn</w:t>
              </w:r>
            </w:hyperlink>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98.99%</w:t>
            </w:r>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轻微、中等、重要、重大、灾难性损失</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轻度、一般、中度、严重、重大影响</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企业财务损失占总收入的百分比</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造成的损失以金额计量</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r>
        <w:rPr/>
        <w:t>十、内部控制审计报告</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内部控制审计报告中的审议意见段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75" w:firstLine="720"/>
              <w:jc w:val="left"/>
              <w:rPr>
                <w:rFonts w:ascii="宋体" w:hAnsi="宋体" w:cs="宋体" w:eastAsia="宋体" w:hint="default"/>
                <w:sz w:val="18"/>
                <w:szCs w:val="18"/>
              </w:rPr>
            </w:pPr>
            <w:r>
              <w:rPr>
                <w:rFonts w:ascii="宋体" w:hAnsi="宋体" w:cs="宋体" w:eastAsia="宋体" w:hint="default"/>
                <w:spacing w:val="-3"/>
                <w:sz w:val="18"/>
                <w:szCs w:val="18"/>
              </w:rPr>
              <w:t>我们认为，深圳市深信泰丰（集团）股份有限公司于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日按照《企业内部控制基本规范》和相关</w:t>
            </w:r>
            <w:r>
              <w:rPr>
                <w:rFonts w:ascii="宋体" w:hAnsi="宋体" w:cs="宋体" w:eastAsia="宋体" w:hint="default"/>
                <w:w w:val="101"/>
                <w:sz w:val="18"/>
                <w:szCs w:val="18"/>
              </w:rPr>
              <w:t> </w:t>
            </w:r>
            <w:r>
              <w:rPr>
                <w:rFonts w:ascii="宋体" w:hAnsi="宋体" w:cs="宋体" w:eastAsia="宋体" w:hint="default"/>
                <w:spacing w:val="-3"/>
                <w:sz w:val="18"/>
                <w:szCs w:val="18"/>
              </w:rPr>
              <w:t>规定在所有重大方面保持了有效的财务报告内部控制。</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99"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内部控制审计报告全文披露日期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内部控制审计报告全文披露索引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深</w:t>
            </w:r>
            <w:r>
              <w:rPr>
                <w:rFonts w:ascii="宋体" w:hAnsi="宋体" w:cs="宋体" w:eastAsia="宋体" w:hint="default"/>
                <w:w w:val="101"/>
                <w:sz w:val="18"/>
                <w:szCs w:val="18"/>
              </w:rPr>
              <w:t>信</w:t>
            </w:r>
            <w:r>
              <w:rPr>
                <w:rFonts w:ascii="宋体" w:hAnsi="宋体" w:cs="宋体" w:eastAsia="宋体" w:hint="default"/>
                <w:spacing w:val="-5"/>
                <w:w w:val="101"/>
                <w:sz w:val="18"/>
                <w:szCs w:val="18"/>
              </w:rPr>
              <w:t>泰</w:t>
            </w:r>
            <w:r>
              <w:rPr>
                <w:rFonts w:ascii="宋体" w:hAnsi="宋体" w:cs="宋体" w:eastAsia="宋体" w:hint="default"/>
                <w:w w:val="101"/>
                <w:sz w:val="18"/>
                <w:szCs w:val="18"/>
              </w:rPr>
              <w:t>丰：</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w w:val="101"/>
                <w:sz w:val="18"/>
                <w:szCs w:val="18"/>
              </w:rPr>
              <w:t>内</w:t>
            </w:r>
            <w:r>
              <w:rPr>
                <w:rFonts w:ascii="宋体" w:hAnsi="宋体" w:cs="宋体" w:eastAsia="宋体" w:hint="default"/>
                <w:spacing w:val="-5"/>
                <w:w w:val="101"/>
                <w:sz w:val="18"/>
                <w:szCs w:val="18"/>
              </w:rPr>
              <w:t>部</w:t>
            </w:r>
            <w:r>
              <w:rPr>
                <w:rFonts w:ascii="宋体" w:hAnsi="宋体" w:cs="宋体" w:eastAsia="宋体" w:hint="default"/>
                <w:w w:val="101"/>
                <w:sz w:val="18"/>
                <w:szCs w:val="18"/>
              </w:rPr>
              <w:t>控</w:t>
            </w:r>
            <w:r>
              <w:rPr>
                <w:rFonts w:ascii="宋体" w:hAnsi="宋体" w:cs="宋体" w:eastAsia="宋体" w:hint="default"/>
                <w:spacing w:val="-5"/>
                <w:w w:val="101"/>
                <w:sz w:val="18"/>
                <w:szCs w:val="18"/>
              </w:rPr>
              <w:t>制</w:t>
            </w:r>
            <w:r>
              <w:rPr>
                <w:rFonts w:ascii="宋体" w:hAnsi="宋体" w:cs="宋体" w:eastAsia="宋体" w:hint="default"/>
                <w:w w:val="101"/>
                <w:sz w:val="18"/>
                <w:szCs w:val="18"/>
              </w:rPr>
              <w:t>审</w:t>
            </w:r>
            <w:r>
              <w:rPr>
                <w:rFonts w:ascii="宋体" w:hAnsi="宋体" w:cs="宋体" w:eastAsia="宋体" w:hint="default"/>
                <w:spacing w:val="-5"/>
                <w:w w:val="101"/>
                <w:sz w:val="18"/>
                <w:szCs w:val="18"/>
              </w:rPr>
              <w:t>计</w:t>
            </w:r>
            <w:r>
              <w:rPr>
                <w:rFonts w:ascii="宋体" w:hAnsi="宋体" w:cs="宋体" w:eastAsia="宋体" w:hint="default"/>
                <w:w w:val="101"/>
                <w:sz w:val="18"/>
                <w:szCs w:val="18"/>
              </w:rPr>
              <w:t>报</w:t>
            </w:r>
            <w:r>
              <w:rPr>
                <w:rFonts w:ascii="宋体" w:hAnsi="宋体" w:cs="宋体" w:eastAsia="宋体" w:hint="default"/>
                <w:spacing w:val="-5"/>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详</w:t>
            </w:r>
            <w:r>
              <w:rPr>
                <w:rFonts w:ascii="宋体" w:hAnsi="宋体" w:cs="宋体" w:eastAsia="宋体" w:hint="default"/>
                <w:spacing w:val="-5"/>
                <w:w w:val="101"/>
                <w:sz w:val="18"/>
                <w:szCs w:val="18"/>
              </w:rPr>
              <w:t>见</w:t>
            </w:r>
            <w:r>
              <w:rPr>
                <w:rFonts w:ascii="宋体" w:hAnsi="宋体" w:cs="宋体" w:eastAsia="宋体" w:hint="default"/>
                <w:w w:val="101"/>
                <w:sz w:val="18"/>
                <w:szCs w:val="18"/>
              </w:rPr>
              <w:t>巨</w:t>
            </w:r>
            <w:r>
              <w:rPr>
                <w:rFonts w:ascii="宋体" w:hAnsi="宋体" w:cs="宋体" w:eastAsia="宋体" w:hint="default"/>
                <w:spacing w:val="-5"/>
                <w:w w:val="101"/>
                <w:sz w:val="18"/>
                <w:szCs w:val="18"/>
              </w:rPr>
              <w:t>潮</w:t>
            </w:r>
            <w:r>
              <w:rPr>
                <w:rFonts w:ascii="宋体" w:hAnsi="宋体" w:cs="宋体" w:eastAsia="宋体" w:hint="default"/>
                <w:w w:val="101"/>
                <w:sz w:val="18"/>
                <w:szCs w:val="18"/>
              </w:rPr>
              <w:t>资</w:t>
            </w:r>
            <w:r>
              <w:rPr>
                <w:rFonts w:ascii="宋体" w:hAnsi="宋体" w:cs="宋体" w:eastAsia="宋体" w:hint="default"/>
                <w:spacing w:val="-5"/>
                <w:w w:val="101"/>
                <w:sz w:val="18"/>
                <w:szCs w:val="18"/>
              </w:rPr>
              <w:t>讯</w:t>
            </w:r>
            <w:r>
              <w:rPr>
                <w:rFonts w:ascii="宋体" w:hAnsi="宋体" w:cs="宋体" w:eastAsia="宋体" w:hint="default"/>
                <w:w w:val="101"/>
                <w:sz w:val="18"/>
                <w:szCs w:val="18"/>
              </w:rPr>
              <w:t>网</w:t>
            </w:r>
            <w:r>
              <w:rPr>
                <w:rFonts w:ascii="宋体" w:hAnsi="宋体" w:cs="宋体" w:eastAsia="宋体" w:hint="default"/>
                <w:spacing w:val="-3"/>
                <w:sz w:val="18"/>
                <w:szCs w:val="18"/>
              </w:rPr>
              <w:t> </w:t>
            </w:r>
            <w:hyperlink r:id="rId12">
              <w:r>
                <w:rPr>
                  <w:rFonts w:ascii="Times New Roman" w:hAnsi="Times New Roman" w:cs="Times New Roman" w:eastAsia="Times New Roman" w:hint="default"/>
                  <w:w w:val="101"/>
                  <w:sz w:val="18"/>
                  <w:szCs w:val="18"/>
                </w:rPr>
                <w:t>h</w:t>
              </w:r>
              <w:r>
                <w:rPr>
                  <w:rFonts w:ascii="Times New Roman" w:hAnsi="Times New Roman" w:cs="Times New Roman" w:eastAsia="Times New Roman" w:hint="default"/>
                  <w:spacing w:val="-3"/>
                  <w:w w:val="101"/>
                  <w:sz w:val="18"/>
                  <w:szCs w:val="18"/>
                </w:rPr>
                <w:t>t</w:t>
              </w:r>
              <w:r>
                <w:rPr>
                  <w:rFonts w:ascii="Times New Roman" w:hAnsi="Times New Roman" w:cs="Times New Roman" w:eastAsia="Times New Roman" w:hint="default"/>
                  <w:spacing w:val="1"/>
                  <w:w w:val="101"/>
                  <w:sz w:val="18"/>
                  <w:szCs w:val="18"/>
                </w:rPr>
                <w:t>t</w:t>
              </w:r>
              <w:r>
                <w:rPr>
                  <w:rFonts w:ascii="Times New Roman" w:hAnsi="Times New Roman" w:cs="Times New Roman" w:eastAsia="Times New Roman" w:hint="default"/>
                  <w:w w:val="101"/>
                  <w:sz w:val="18"/>
                  <w:szCs w:val="18"/>
                </w:rPr>
                <w:t>p</w:t>
              </w:r>
              <w:r>
                <w:rPr>
                  <w:rFonts w:ascii="Times New Roman" w:hAnsi="Times New Roman" w:cs="Times New Roman" w:eastAsia="Times New Roman" w:hint="default"/>
                  <w:spacing w:val="-8"/>
                  <w:w w:val="101"/>
                  <w:sz w:val="18"/>
                  <w:szCs w:val="18"/>
                </w:rPr>
                <w:t>:</w:t>
              </w:r>
              <w:r>
                <w:rPr>
                  <w:rFonts w:ascii="Times New Roman" w:hAnsi="Times New Roman" w:cs="Times New Roman" w:eastAsia="Times New Roman" w:hint="default"/>
                  <w:spacing w:val="1"/>
                  <w:w w:val="101"/>
                  <w:sz w:val="18"/>
                  <w:szCs w:val="18"/>
                </w:rPr>
                <w:t>//</w:t>
              </w:r>
              <w:r>
                <w:rPr>
                  <w:rFonts w:ascii="Times New Roman" w:hAnsi="Times New Roman" w:cs="Times New Roman" w:eastAsia="Times New Roman" w:hint="default"/>
                  <w:spacing w:val="-2"/>
                  <w:w w:val="101"/>
                  <w:sz w:val="18"/>
                  <w:szCs w:val="18"/>
                </w:rPr>
                <w:t>ww</w:t>
              </w:r>
              <w:r>
                <w:rPr>
                  <w:rFonts w:ascii="Times New Roman" w:hAnsi="Times New Roman" w:cs="Times New Roman" w:eastAsia="Times New Roman" w:hint="default"/>
                  <w:spacing w:val="-17"/>
                  <w:w w:val="101"/>
                  <w:sz w:val="18"/>
                  <w:szCs w:val="18"/>
                </w:rPr>
                <w:t>w</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1"/>
                  <w:w w:val="101"/>
                  <w:sz w:val="18"/>
                  <w:szCs w:val="18"/>
                </w:rPr>
                <w:t>i</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4"/>
                  <w:w w:val="101"/>
                  <w:sz w:val="18"/>
                  <w:szCs w:val="18"/>
                </w:rPr>
                <w:t>f</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co</w:t>
              </w:r>
              <w:r>
                <w:rPr>
                  <w:rFonts w:ascii="Times New Roman" w:hAnsi="Times New Roman" w:cs="Times New Roman" w:eastAsia="Times New Roman" w:hint="default"/>
                  <w:spacing w:val="-3"/>
                  <w:w w:val="101"/>
                  <w:sz w:val="18"/>
                  <w:szCs w:val="18"/>
                </w:rPr>
                <w:t>m</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z w:val="18"/>
                  <w:szCs w:val="18"/>
                </w:rPr>
              </w:r>
            </w:hyperlink>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标准无保留意见</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会计师事务所是否出具非标准意见的内部控制审计报告</w:t>
      </w:r>
    </w:p>
    <w:p>
      <w:pPr>
        <w:spacing w:line="343" w:lineRule="auto" w:before="115"/>
        <w:ind w:left="153" w:right="3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会计师事务所出具的内部控制审计报告与董事会的自我评价报告意见是否一致</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751" w:right="3764"/>
        <w:jc w:val="center"/>
        <w:rPr>
          <w:b w:val="0"/>
          <w:bCs w:val="0"/>
        </w:rPr>
      </w:pPr>
      <w:bookmarkStart w:name="_bookmark9" w:id="10"/>
      <w:bookmarkEnd w:id="10"/>
      <w:r>
        <w:rPr>
          <w:b w:val="0"/>
          <w:bCs w:val="0"/>
        </w:rPr>
      </w:r>
      <w:r>
        <w:rPr/>
        <w:t>第十节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标准无保留审计意见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瑞华会计师事务所（特殊普通合伙）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 48360002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李巧仪、李花</w:t>
            </w:r>
          </w:p>
        </w:tc>
      </w:tr>
    </w:tbl>
    <w:p>
      <w:pPr>
        <w:spacing w:before="54"/>
        <w:ind w:left="3751" w:right="3764"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0"/>
        <w:ind w:left="3746" w:right="3764"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5"/>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97"/>
        <w:ind w:right="0"/>
        <w:jc w:val="left"/>
      </w:pPr>
      <w:r>
        <w:rPr/>
        <w:t>瑞华审字</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rFonts w:ascii="Times New Roman" w:hAnsi="Times New Roman" w:cs="Times New Roman" w:eastAsia="Times New Roman" w:hint="default"/>
        </w:rPr>
        <w:t>48360002</w:t>
      </w:r>
      <w:r>
        <w:rPr/>
        <w:t>号</w:t>
      </w:r>
    </w:p>
    <w:p>
      <w:pPr>
        <w:spacing w:line="240" w:lineRule="auto" w:before="5"/>
        <w:rPr>
          <w:rFonts w:ascii="宋体" w:hAnsi="宋体" w:cs="宋体" w:eastAsia="宋体" w:hint="default"/>
          <w:sz w:val="33"/>
          <w:szCs w:val="33"/>
        </w:rPr>
      </w:pPr>
    </w:p>
    <w:p>
      <w:pPr>
        <w:pStyle w:val="Heading4"/>
        <w:spacing w:line="240" w:lineRule="auto"/>
        <w:ind w:right="0"/>
        <w:jc w:val="left"/>
        <w:rPr>
          <w:b w:val="0"/>
          <w:bCs w:val="0"/>
        </w:rPr>
      </w:pPr>
      <w:r>
        <w:rPr/>
        <w:t>深圳市深信泰丰（集团）股份有限公司全体股东：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364" w:lineRule="auto" w:before="0"/>
        <w:ind w:right="104" w:firstLine="480"/>
        <w:jc w:val="both"/>
      </w:pPr>
      <w:r>
        <w:rPr>
          <w:spacing w:val="-2"/>
        </w:rPr>
        <w:t>我们审计了后附的深圳市深信泰丰（集团）股份有限公司（以下简称</w:t>
      </w:r>
      <w:r>
        <w:rPr>
          <w:rFonts w:ascii="Times New Roman" w:hAnsi="Times New Roman" w:cs="Times New Roman" w:eastAsia="Times New Roman" w:hint="default"/>
          <w:spacing w:val="-2"/>
        </w:rPr>
        <w:t>“</w:t>
      </w:r>
      <w:r>
        <w:rPr>
          <w:spacing w:val="-2"/>
        </w:rPr>
        <w:t>深信泰丰公司</w:t>
      </w:r>
      <w:r>
        <w:rPr>
          <w:rFonts w:ascii="Times New Roman" w:hAnsi="Times New Roman" w:cs="Times New Roman" w:eastAsia="Times New Roman" w:hint="default"/>
          <w:spacing w:val="-2"/>
        </w:rPr>
        <w:t>”</w:t>
      </w:r>
      <w:r>
        <w:rPr>
          <w:spacing w:val="-2"/>
        </w:rPr>
        <w:t>）的财务报表，</w:t>
      </w:r>
      <w:r>
        <w:rPr>
          <w:w w:val="100"/>
        </w:rPr>
        <w:t> </w:t>
      </w:r>
      <w:r>
        <w:rPr>
          <w:spacing w:val="-2"/>
        </w:rPr>
        <w:t>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日合并及公司的资产负债表，</w:t>
      </w:r>
      <w:r>
        <w:rPr>
          <w:rFonts w:ascii="Times New Roman" w:hAnsi="Times New Roman" w:cs="Times New Roman" w:eastAsia="Times New Roman" w:hint="default"/>
          <w:spacing w:val="-2"/>
        </w:rPr>
        <w:t>2015</w:t>
      </w:r>
      <w:r>
        <w:rPr>
          <w:spacing w:val="-2"/>
        </w:rPr>
        <w:t>年度合并及公司的利润表、合并及公司的现金流量表</w:t>
      </w:r>
      <w:r>
        <w:rPr>
          <w:spacing w:val="-19"/>
        </w:rPr>
        <w:t> </w:t>
      </w:r>
      <w:r>
        <w:rPr>
          <w:spacing w:val="-19"/>
        </w:rPr>
      </w:r>
      <w:r>
        <w:rPr/>
        <w:t>和合并及公司的股东权益变动表以及财务报表附注。</w:t>
      </w:r>
    </w:p>
    <w:p>
      <w:pPr>
        <w:spacing w:line="386" w:lineRule="auto" w:before="52"/>
        <w:ind w:left="633" w:right="0" w:firstLine="0"/>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01"/>
          <w:sz w:val="21"/>
          <w:szCs w:val="21"/>
        </w:rPr>
        <w:t> </w:t>
      </w:r>
      <w:r>
        <w:rPr>
          <w:rFonts w:ascii="宋体" w:hAnsi="宋体" w:cs="宋体" w:eastAsia="宋体" w:hint="default"/>
          <w:spacing w:val="-1"/>
          <w:sz w:val="21"/>
          <w:szCs w:val="21"/>
        </w:rPr>
        <w:t>编制和公允列报财务报表是深信泰丰公司管理层的责任。这种责任包括：（</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）按照企业会计准则的</w:t>
      </w:r>
    </w:p>
    <w:p>
      <w:pPr>
        <w:pStyle w:val="BodyText"/>
        <w:spacing w:line="360" w:lineRule="auto" w:before="9"/>
        <w:ind w:right="0"/>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w:t>
      </w:r>
      <w:r>
        <w:rPr>
          <w:spacing w:val="-30"/>
        </w:rPr>
        <w:t> </w:t>
      </w:r>
      <w:r>
        <w:rPr>
          <w:spacing w:val="-30"/>
        </w:rPr>
      </w:r>
      <w:r>
        <w:rPr/>
        <w:t>在由于舞弊或错误导致的重大错报。</w:t>
      </w:r>
    </w:p>
    <w:p>
      <w:pPr>
        <w:pStyle w:val="BodyText"/>
        <w:spacing w:line="386" w:lineRule="auto" w:before="61"/>
        <w:ind w:left="354" w:right="0" w:firstLine="278"/>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2"/>
        </w:rPr>
        <w:t>我们的责任是在执行审计工作的基础上对财务报表发表审计意见。我们按照中国注册会计师审计准则的</w:t>
      </w:r>
    </w:p>
    <w:p>
      <w:pPr>
        <w:pStyle w:val="BodyText"/>
        <w:spacing w:line="386" w:lineRule="auto"/>
        <w:ind w:right="0"/>
        <w:jc w:val="left"/>
      </w:pPr>
      <w:r>
        <w:rPr>
          <w:spacing w:val="-2"/>
        </w:rPr>
        <w:t>规定执行了审计工作。中国注册会计师审计准则要求我们遵守中国注册会计师职业道德守则，计划和执行</w:t>
      </w:r>
      <w:r>
        <w:rPr>
          <w:spacing w:val="-33"/>
        </w:rPr>
        <w:t> </w:t>
      </w:r>
      <w:r>
        <w:rPr>
          <w:spacing w:val="-33"/>
        </w:rPr>
      </w:r>
      <w:r>
        <w:rPr/>
        <w:t>审计工作以对财务报表是否不存在重大错报获取合理保证。</w:t>
      </w:r>
    </w:p>
    <w:p>
      <w:pPr>
        <w:pStyle w:val="BodyText"/>
        <w:spacing w:line="384" w:lineRule="auto" w:before="39"/>
        <w:ind w:right="164" w:firstLine="201"/>
        <w:jc w:val="both"/>
      </w:pPr>
      <w:r>
        <w:rPr>
          <w:spacing w:val="-2"/>
        </w:rPr>
        <w:t>审计工作涉及实施审计程序，以获取有关财务报表金额和披露的审计证据。选择的审计程序取决于注册</w:t>
      </w:r>
      <w:r>
        <w:rPr>
          <w:w w:val="100"/>
        </w:rPr>
        <w:t> </w:t>
      </w:r>
      <w:r>
        <w:rPr>
          <w:spacing w:val="-2"/>
        </w:rPr>
        <w:t>会计师的判断，包括对由于舞弊或错误导致的财务报表重大错报风险的评估。在进行风险评估时，注册会</w:t>
      </w:r>
      <w:r>
        <w:rPr>
          <w:spacing w:val="-33"/>
        </w:rPr>
        <w:t> </w:t>
      </w:r>
      <w:r>
        <w:rPr>
          <w:spacing w:val="-33"/>
        </w:rPr>
      </w:r>
      <w:r>
        <w:rPr>
          <w:spacing w:val="-2"/>
        </w:rPr>
        <w:t>计师考虑与财务报表编制和公允列报相关的内部控制，以设计恰当的审计程序。审计工作还包括评价管理</w:t>
      </w:r>
      <w:r>
        <w:rPr>
          <w:spacing w:val="-33"/>
        </w:rPr>
        <w:t> </w:t>
      </w:r>
      <w:r>
        <w:rPr>
          <w:spacing w:val="-33"/>
        </w:rPr>
      </w:r>
      <w:r>
        <w:rPr/>
        <w:t>层选用会计政策的恰当性和作出会计估计的合理性，以及评价财务报表的总体列报。</w:t>
      </w:r>
    </w:p>
    <w:p>
      <w:pPr>
        <w:spacing w:after="0" w:line="384" w:lineRule="auto"/>
        <w:jc w:val="both"/>
        <w:sectPr>
          <w:pgSz w:w="11910" w:h="16840"/>
          <w:pgMar w:header="741" w:footer="979" w:top="1060" w:bottom="1160" w:left="980" w:right="9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left="354"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86" w:lineRule="auto" w:before="0"/>
        <w:ind w:left="633" w:right="0"/>
        <w:jc w:val="left"/>
      </w:pPr>
      <w:r>
        <w:rPr>
          <w:rFonts w:ascii="宋体" w:hAnsi="宋体" w:cs="宋体" w:eastAsia="宋体" w:hint="default"/>
          <w:b/>
          <w:bCs/>
        </w:rPr>
        <w:t>三、审计意见</w:t>
      </w:r>
      <w:r>
        <w:rPr>
          <w:rFonts w:ascii="宋体" w:hAnsi="宋体" w:cs="宋体" w:eastAsia="宋体" w:hint="default"/>
          <w:b/>
          <w:bCs/>
          <w:spacing w:val="-104"/>
        </w:rPr>
        <w:t> </w:t>
      </w:r>
      <w:r>
        <w:rPr>
          <w:spacing w:val="-4"/>
        </w:rPr>
        <w:t>我们认为，上述财务报表在所有重大方面按照企业会计准则的规定编制，公允反映了深圳市深信泰丰</w:t>
      </w:r>
    </w:p>
    <w:p>
      <w:pPr>
        <w:pStyle w:val="BodyText"/>
        <w:spacing w:line="360" w:lineRule="auto" w:before="38"/>
        <w:ind w:right="0"/>
        <w:jc w:val="left"/>
      </w:pPr>
      <w:r>
        <w:rPr>
          <w:spacing w:val="-2"/>
        </w:rPr>
        <w:t>（集团）股份有限公司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日合并及公司的财务状况以及</w:t>
      </w:r>
      <w:r>
        <w:rPr>
          <w:rFonts w:ascii="Times New Roman" w:hAnsi="Times New Roman" w:cs="Times New Roman" w:eastAsia="Times New Roman" w:hint="default"/>
          <w:spacing w:val="-2"/>
        </w:rPr>
        <w:t>2015</w:t>
      </w:r>
      <w:r>
        <w:rPr>
          <w:spacing w:val="-2"/>
        </w:rPr>
        <w:t>年度合并及公司的经营成果和现金</w:t>
      </w:r>
      <w:r>
        <w:rPr>
          <w:spacing w:val="-19"/>
        </w:rPr>
        <w:t> </w:t>
      </w:r>
      <w:r>
        <w:rPr>
          <w:spacing w:val="-19"/>
        </w:rPr>
      </w:r>
      <w:r>
        <w:rPr/>
        <w:t>流量。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tabs>
          <w:tab w:pos="7268" w:val="left" w:leader="none"/>
        </w:tabs>
        <w:spacing w:line="240" w:lineRule="auto" w:before="0"/>
        <w:ind w:left="873" w:right="0"/>
        <w:jc w:val="center"/>
      </w:pPr>
      <w:r>
        <w:rPr>
          <w:spacing w:val="-1"/>
        </w:rPr>
        <w:t>瑞华会计师事务所（特殊普通合伙）</w:t>
        <w:tab/>
      </w:r>
      <w:r>
        <w:rPr>
          <w:spacing w:val="-2"/>
        </w:rPr>
        <w:t>中国注册会计师：李巧仪</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tabs>
          <w:tab w:pos="5522" w:val="left" w:leader="none"/>
        </w:tabs>
        <w:spacing w:line="240" w:lineRule="auto" w:before="0"/>
        <w:ind w:left="0" w:right="670"/>
        <w:jc w:val="right"/>
      </w:pPr>
      <w:r>
        <w:rPr>
          <w:spacing w:val="-5"/>
        </w:rPr>
        <w:t>中国</w:t>
      </w:r>
      <w:r>
        <w:rPr>
          <w:rFonts w:ascii="Times New Roman" w:hAnsi="Times New Roman" w:cs="Times New Roman" w:eastAsia="Times New Roman" w:hint="default"/>
          <w:spacing w:val="-5"/>
        </w:rPr>
        <w:t>·</w:t>
      </w:r>
      <w:r>
        <w:rPr>
          <w:spacing w:val="-5"/>
        </w:rPr>
        <w:t>北京</w:t>
        <w:tab/>
      </w:r>
      <w:r>
        <w:rPr>
          <w:spacing w:val="-1"/>
        </w:rPr>
        <w:t>中国注册会计师：李花</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2"/>
          <w:szCs w:val="22"/>
        </w:rPr>
      </w:pPr>
    </w:p>
    <w:p>
      <w:pPr>
        <w:pStyle w:val="BodyText"/>
        <w:spacing w:line="240" w:lineRule="auto" w:before="0"/>
        <w:ind w:left="0" w:right="593"/>
        <w:jc w:val="right"/>
      </w:pPr>
      <w:r>
        <w:rPr>
          <w:spacing w:val="-1"/>
        </w:rPr>
        <w:t>二〇一六年二月二十五日</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r>
        <w:rPr/>
        <w:t>二、财务报表</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财务附注中报表的单位为：人民币元</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98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编制单位：深圳市深信泰丰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880" w:space="197"/>
            <w:col w:w="1642" w:space="3203"/>
            <w:col w:w="1028"/>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114,346,440.09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29,203,413.68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4,512,119.18</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23,164,403.20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22,916,313.26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2,448,331.51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7,005,331.59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2,947,467.00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2,112,971.76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99,185,528.49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96,570,617.79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101,754,407.25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98,063,453.71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343,846,577.54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260,384,220.97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113,010,000.00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12,710,447.87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13,440,054.83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55,791,316.08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58,731,315.12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4,540,116.92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4,740,199.05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2,336,173.35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2,322,843.17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8,783,666.91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9,039,412.12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104,161,721.13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201,283,824.29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448,008,298.67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461,668,045.26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30,225,580.20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42,537,853.66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193,391,843.67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194,102,546.60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7,331,856.12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5,309,368.84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7,013,386.03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3,140,841.41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3,784.27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14,485.88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19,340,782.11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43,818,150.21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2,033,503.71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3,272,498.04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1,522,094.05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1,561,360.35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260,862,830.16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293,757,104.99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2,033,503.71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145,609.62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240,821.69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145,609.62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2,274,325.40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261,008,439.78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296,031,430.39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357,973,531.00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357,973,531.00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640,726,805.61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640,726,805.61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65,738,593.50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-877,439,071.22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-898,802,315.24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186,999,858.89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165,636,614.87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186,999,858.89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165,636,614.87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448,008,298.67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461,668,045.26</w:t>
            </w:r>
          </w:p>
        </w:tc>
      </w:tr>
    </w:tbl>
    <w:p>
      <w:pPr>
        <w:spacing w:line="240" w:lineRule="auto" w:before="2"/>
        <w:rPr>
          <w:rFonts w:ascii="Times New Roman" w:hAnsi="Times New Roman" w:cs="Times New Roman" w:eastAsia="Times New Roman" w:hint="default"/>
          <w:sz w:val="23"/>
          <w:szCs w:val="23"/>
        </w:rPr>
      </w:pPr>
    </w:p>
    <w:p>
      <w:pPr>
        <w:tabs>
          <w:tab w:pos="3577" w:val="left" w:leader="none"/>
          <w:tab w:pos="7716" w:val="left" w:leader="none"/>
        </w:tabs>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spacing w:before="0"/>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37,027,012.00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2,125,858.50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90,715.00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85,230,323.87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51,127,195.10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101,511,142.86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96,950,000.00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223,768,478.73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150,293,768.60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113,010,000.00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282,180,000.00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282,180,000.00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1,407,828.42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1,969,688.31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432,791.76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519,458.00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304,020,620.18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397,679,146.31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527,789,098.91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547,972,914.91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2,686.00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1,334,709.85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3,065,307.45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68,761.40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185,194,946.31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225,781,264.33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189,594,963.61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226,262,711.73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189,594,963.61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226,262,711.73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357,973,531.00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357,973,531.00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701,729,530.06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701,729,530.06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65,738,593.50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-787,247,519.26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-803,731,451.38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95.192886pt;margin-top:685.899963pt;width:176pt;height:19.45pt;mso-position-horizontal-relative:page;mso-position-vertical-relative:page;z-index:-738616"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列）</w:t>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338,194,135.30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321,710,203.18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527,789,098.91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547,972,914.91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80"/>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458,063,353.60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509,055,702.64</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458,063,353.60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509,055,702.64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480,133,437.88</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511,935,509.51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409,062,925.80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445,502,232.55</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3"/>
                <w:sz w:val="18"/>
                <w:szCs w:val="18"/>
              </w:rPr>
              <w:t>提取保险合同准备金净额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1,945,818.76</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2,172,346.56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21,453,421.67</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26,310,837.57</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45,579,568.14</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36,966,582.72</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-211,125.52</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509,711.73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资产减值损失</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2,302,829.03</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473,798.38</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15,001,000.24</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64,841,799.20</w:t>
            </w: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08" w:type="dxa"/>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9"/>
              <w:ind w:right="293"/>
              <w:jc w:val="right"/>
              <w:rPr>
                <w:rFonts w:ascii="宋体" w:hAnsi="宋体" w:cs="宋体" w:eastAsia="宋体" w:hint="default"/>
                <w:sz w:val="18"/>
                <w:szCs w:val="18"/>
              </w:rPr>
            </w:pPr>
            <w:r>
              <w:rPr>
                <w:rFonts w:ascii="宋体" w:hAnsi="宋体" w:cs="宋体" w:eastAsia="宋体" w:hint="default"/>
                <w:spacing w:val="-2"/>
                <w:sz w:val="18"/>
                <w:szCs w:val="18"/>
              </w:rPr>
              <w:t>汇兑收益（损失以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p>
        </w:tc>
        <w:tc>
          <w:tcPr>
            <w:tcW w:w="3208" w:type="dxa"/>
            <w:tcBorders>
              <w:top w:val="single" w:sz="4" w:space="0" w:color="000000"/>
              <w:left w:val="single" w:sz="10" w:space="0" w:color="FFFFFF"/>
              <w:bottom w:val="single" w:sz="4" w:space="0" w:color="000000"/>
              <w:right w:val="single" w:sz="10" w:space="0" w:color="FFFFFF"/>
            </w:tcBorders>
          </w:tcPr>
          <w:p>
            <w:pPr/>
          </w:p>
        </w:tc>
        <w:tc>
          <w:tcPr>
            <w:tcW w:w="3280" w:type="dxa"/>
            <w:tcBorders>
              <w:top w:val="single" w:sz="4" w:space="0" w:color="000000"/>
              <w:left w:val="single" w:sz="10" w:space="0" w:color="FFFFFF"/>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-7,069,084.04</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61,961,992.33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32,397,191.85</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1,261,121.90</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其中：非流动资产处置利得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05.032883pt;margin-top:112.825981pt;width:166.15pt;height:19.5pt;mso-position-horizontal-relative:page;mso-position-vertical-relative:page;z-index:-738592" type="#_x0000_t202" filled="false" stroked="false">
            <v:textbox inset="0,0,0,0">
              <w:txbxContent>
                <w:p>
                  <w:pPr>
                    <w:spacing w:before="54"/>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1107"/>
        <w:gridCol w:w="2101"/>
        <w:gridCol w:w="3280"/>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782,786.23</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110,175.36</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252,908.25</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37,815.50</w:t>
            </w:r>
          </w:p>
        </w:tc>
      </w:tr>
      <w:tr>
        <w:trPr>
          <w:trHeight w:val="404" w:hRule="exact"/>
        </w:trPr>
        <w:tc>
          <w:tcPr>
            <w:tcW w:w="308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07" w:type="dxa"/>
            <w:tcBorders>
              <w:top w:val="single" w:sz="4" w:space="0" w:color="000000"/>
              <w:left w:val="single" w:sz="10" w:space="0" w:color="FFFFFF"/>
              <w:bottom w:val="single" w:sz="4" w:space="0" w:color="000000"/>
              <w:right w:val="nil" w:sz="6" w:space="0" w:color="auto"/>
            </w:tcBorders>
          </w:tcPr>
          <w:p>
            <w:pPr/>
          </w:p>
        </w:tc>
        <w:tc>
          <w:tcPr>
            <w:tcW w:w="2101"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101"/>
              <w:ind w:left="1039" w:right="0"/>
              <w:jc w:val="left"/>
              <w:rPr>
                <w:rFonts w:ascii="Times New Roman" w:hAnsi="Times New Roman" w:cs="Times New Roman" w:eastAsia="Times New Roman" w:hint="default"/>
                <w:sz w:val="18"/>
                <w:szCs w:val="18"/>
              </w:rPr>
            </w:pPr>
            <w:r>
              <w:rPr>
                <w:rFonts w:ascii="Times New Roman"/>
                <w:sz w:val="18"/>
              </w:rPr>
              <w:t>24,545,321.58</w:t>
            </w:r>
          </w:p>
        </w:tc>
        <w:tc>
          <w:tcPr>
            <w:tcW w:w="328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63,112,938.87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3,182,077.56</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1,641,733.13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21,363,244.02</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61,471,205.74</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21,363,244.02</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61,471,205.74</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1"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08" w:type="dxa"/>
            <w:gridSpan w:val="2"/>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firstLine="345"/>
              <w:jc w:val="left"/>
              <w:rPr>
                <w:rFonts w:ascii="宋体" w:hAnsi="宋体" w:cs="宋体" w:eastAsia="宋体" w:hint="default"/>
                <w:sz w:val="18"/>
                <w:szCs w:val="18"/>
              </w:rPr>
            </w:pPr>
            <w:r>
              <w:rPr>
                <w:rFonts w:ascii="宋体" w:hAnsi="宋体" w:cs="宋体" w:eastAsia="宋体" w:hint="default"/>
                <w:spacing w:val="-4"/>
                <w:sz w:val="18"/>
                <w:szCs w:val="18"/>
              </w:rPr>
              <w:t>（一）以后不能重分类进损益的其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208" w:type="dxa"/>
            <w:gridSpan w:val="2"/>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26"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重新计量设定受益计划净</w:t>
            </w:r>
            <w:r>
              <w:rPr>
                <w:rFonts w:ascii="宋体" w:hAnsi="宋体" w:cs="宋体" w:eastAsia="宋体" w:hint="default"/>
                <w:w w:val="101"/>
                <w:sz w:val="18"/>
                <w:szCs w:val="18"/>
              </w:rPr>
              <w:t> </w:t>
            </w:r>
            <w:r>
              <w:rPr>
                <w:rFonts w:ascii="宋体" w:hAnsi="宋体" w:cs="宋体" w:eastAsia="宋体" w:hint="default"/>
                <w:spacing w:val="-3"/>
                <w:sz w:val="18"/>
                <w:szCs w:val="18"/>
              </w:rPr>
              <w:t>负债或净资产的变动</w:t>
            </w:r>
          </w:p>
        </w:tc>
        <w:tc>
          <w:tcPr>
            <w:tcW w:w="3208" w:type="dxa"/>
            <w:gridSpan w:val="2"/>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26"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权益法下在被投资单位不</w:t>
            </w:r>
            <w:r>
              <w:rPr>
                <w:rFonts w:ascii="宋体" w:hAnsi="宋体" w:cs="宋体" w:eastAsia="宋体" w:hint="default"/>
                <w:w w:val="101"/>
                <w:sz w:val="18"/>
                <w:szCs w:val="18"/>
              </w:rPr>
              <w:t> </w:t>
            </w:r>
            <w:r>
              <w:rPr>
                <w:rFonts w:ascii="宋体" w:hAnsi="宋体" w:cs="宋体" w:eastAsia="宋体" w:hint="default"/>
                <w:spacing w:val="-3"/>
                <w:sz w:val="18"/>
                <w:szCs w:val="18"/>
              </w:rPr>
              <w:t>能重分类进损益的其他综合收益中享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有的份额</w:t>
            </w:r>
          </w:p>
        </w:tc>
        <w:tc>
          <w:tcPr>
            <w:tcW w:w="3208" w:type="dxa"/>
            <w:gridSpan w:val="2"/>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firstLine="345"/>
              <w:jc w:val="left"/>
              <w:rPr>
                <w:rFonts w:ascii="宋体" w:hAnsi="宋体" w:cs="宋体" w:eastAsia="宋体" w:hint="default"/>
                <w:sz w:val="18"/>
                <w:szCs w:val="18"/>
              </w:rPr>
            </w:pPr>
            <w:r>
              <w:rPr>
                <w:rFonts w:ascii="宋体" w:hAnsi="宋体" w:cs="宋体" w:eastAsia="宋体" w:hint="default"/>
                <w:spacing w:val="-4"/>
                <w:sz w:val="18"/>
                <w:szCs w:val="18"/>
              </w:rPr>
              <w:t>（二）以后将重分类进损益的其他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208" w:type="dxa"/>
            <w:gridSpan w:val="2"/>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26"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权益法下在被投资单位以</w:t>
            </w:r>
            <w:r>
              <w:rPr>
                <w:rFonts w:ascii="宋体" w:hAnsi="宋体" w:cs="宋体" w:eastAsia="宋体" w:hint="default"/>
                <w:w w:val="101"/>
                <w:sz w:val="18"/>
                <w:szCs w:val="18"/>
              </w:rPr>
              <w:t> </w:t>
            </w:r>
            <w:r>
              <w:rPr>
                <w:rFonts w:ascii="宋体" w:hAnsi="宋体" w:cs="宋体" w:eastAsia="宋体" w:hint="default"/>
                <w:spacing w:val="-3"/>
                <w:sz w:val="18"/>
                <w:szCs w:val="18"/>
              </w:rPr>
              <w:t>后将重分类进损益的其他综合收益中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享有的份额</w:t>
            </w:r>
          </w:p>
        </w:tc>
        <w:tc>
          <w:tcPr>
            <w:tcW w:w="3208" w:type="dxa"/>
            <w:gridSpan w:val="2"/>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08" w:type="dxa"/>
            <w:gridSpan w:val="2"/>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26"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08" w:type="dxa"/>
            <w:gridSpan w:val="2"/>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现金流量套期损益的有效</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08" w:type="dxa"/>
            <w:gridSpan w:val="2"/>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外币财务报表折算差额</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61"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08" w:type="dxa"/>
            <w:gridSpan w:val="2"/>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21,363,244.02</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61,471,205.74</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61"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0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21,363,244.02</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61,471,205.74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08"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80"/>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0.06</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0.17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0.06</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0.17</w:t>
            </w:r>
          </w:p>
        </w:tc>
      </w:tr>
    </w:tbl>
    <w:p>
      <w:pPr>
        <w:tabs>
          <w:tab w:pos="3577" w:val="left" w:leader="none"/>
          <w:tab w:pos="7716" w:val="left" w:leader="none"/>
        </w:tabs>
        <w:spacing w:line="607" w:lineRule="auto" w:before="54"/>
        <w:ind w:left="153" w:right="243" w:firstLine="0"/>
        <w:jc w:val="left"/>
        <w:rPr>
          <w:rFonts w:ascii="宋体" w:hAnsi="宋体" w:cs="宋体" w:eastAsia="宋体" w:hint="default"/>
          <w:sz w:val="21"/>
          <w:szCs w:val="21"/>
        </w:rPr>
      </w:pPr>
      <w:r>
        <w:rPr>
          <w:rFonts w:ascii="宋体" w:hAnsi="宋体" w:cs="宋体" w:eastAsia="宋体" w:hint="default"/>
          <w:spacing w:val="-3"/>
          <w:sz w:val="18"/>
          <w:szCs w:val="18"/>
        </w:rPr>
        <w:t>本期发生同一控制下企业合并的，被合并方在合并前实现的净利润为：元，上期被合并方实现的净利润为：元。</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34" w:lineRule="exact" w:before="0"/>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2,767,727.21</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2,316,554.71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17,259.17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7,687.22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113,960.70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22,736,367.17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14,880,667.90</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2,602,724.56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-1,656,542.28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4,169,492.56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4,433,801.15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15,001,000.24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32,572,944.86</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-14,524,843.22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15,244,542.67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32,077,120.00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其中：非流动资产处置利得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51,119.38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6,759.10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17,552,266.59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15,193,423.29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1,068,334.47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16,483,932.12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15,193,423.29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（一）以后不能重分类进损益的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重新计量设定受益计划</w:t>
            </w:r>
            <w:r>
              <w:rPr>
                <w:rFonts w:ascii="宋体" w:hAnsi="宋体" w:cs="宋体" w:eastAsia="宋体" w:hint="default"/>
                <w:w w:val="101"/>
                <w:sz w:val="18"/>
                <w:szCs w:val="18"/>
              </w:rPr>
              <w:t> </w:t>
            </w:r>
            <w:r>
              <w:rPr>
                <w:rFonts w:ascii="宋体" w:hAnsi="宋体" w:cs="宋体" w:eastAsia="宋体" w:hint="default"/>
                <w:sz w:val="18"/>
                <w:szCs w:val="18"/>
              </w:rPr>
              <w:t>净负债或净资产的变动</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6" w:firstLine="90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不能重分类进损益的其他综合收益中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享有的份额</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（二）以后将重分类进损益的其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46" w:firstLine="9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以后将重分类进损益的其他综合收益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中享有的份额</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16,483,932.12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15,193,423.29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z w:val="18"/>
              </w:rPr>
              <w:t>468,013,389.54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z w:val="18"/>
              </w:rPr>
              <w:t>520,506,412.65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5"/>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收到再保险业务现金净额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w:t>
            </w:r>
            <w:r>
              <w:rPr>
                <w:rFonts w:ascii="宋体" w:hAnsi="宋体" w:cs="宋体" w:eastAsia="宋体" w:hint="default"/>
                <w:w w:val="101"/>
                <w:sz w:val="18"/>
                <w:szCs w:val="18"/>
              </w:rPr>
              <w:t> </w:t>
            </w:r>
            <w:r>
              <w:rPr>
                <w:rFonts w:ascii="宋体" w:hAnsi="宋体" w:cs="宋体" w:eastAsia="宋体" w:hint="default"/>
                <w:spacing w:val="-3"/>
                <w:sz w:val="18"/>
                <w:szCs w:val="18"/>
              </w:rPr>
              <w:t>入当期损益的金融资产净增加额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4,372,126.53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36,464,275.64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472,385,516.07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556,970,688.29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46"/>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380,878,462.08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478,692,701.37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60,140,421.98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60,255,601.32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10,646,460.68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14,354,037.88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34,222,527.88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31,821,495.71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485,887,872.62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585,123,836.28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-13,502,356.55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-28,153,147.99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15,001,000.24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14,444,717.52</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49,740,631.51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136,460,000.00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245,230,000.00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151,615,000.24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309,415,649.03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1,392,058.24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13,652,305.62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293,190,000.00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49,392,058.24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306,842,305.62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102,222,942.00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2,573,343.41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3,272,498.04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3,272,498.04</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305,061.00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596,322.82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3,577,559.04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3,868,820.86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-3,577,559.04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-3,868,820.86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85,143,026.41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-29,448,625.44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29,203,413.68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58,652,039.12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114,346,440.09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29,203,413.68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90,715.00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3,780,639.00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88,349,185.75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80,798,198.83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88,439,900.75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84,578,837.83</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8,485,956.89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5,498,425.48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367,817.34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148,421,132.96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113,033,590.60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156,907,089.85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118,899,833.42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-68,467,189.10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-34,320,995.59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15,001,000.24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14,444,717.52</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50,130,000.00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136,460,000.00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245,230,000.00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151,461,000.24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309,804,917.52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92,657.64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2,310,891.35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293,190,000.00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48,092,657.64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295,500,891.35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103,368,342.60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14,304,026.17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34,901,153.50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-20,016,969.42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2,125,858.50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22,142,827.92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37,027,012.00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2,125,858.50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1"/>
        <w:gridCol w:w="562"/>
        <w:gridCol w:w="528"/>
        <w:gridCol w:w="533"/>
        <w:gridCol w:w="533"/>
        <w:gridCol w:w="662"/>
        <w:gridCol w:w="663"/>
        <w:gridCol w:w="667"/>
        <w:gridCol w:w="668"/>
        <w:gridCol w:w="663"/>
        <w:gridCol w:w="662"/>
        <w:gridCol w:w="668"/>
        <w:gridCol w:w="662"/>
        <w:gridCol w:w="663"/>
      </w:tblGrid>
      <w:tr>
        <w:trPr>
          <w:trHeight w:val="403"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9" w:hRule="exact"/>
        </w:trPr>
        <w:tc>
          <w:tcPr>
            <w:tcW w:w="1441" w:type="dxa"/>
            <w:vMerge/>
            <w:tcBorders>
              <w:left w:val="single" w:sz="4" w:space="0" w:color="000000"/>
              <w:right w:val="single" w:sz="4" w:space="0" w:color="000000"/>
            </w:tcBorders>
            <w:shd w:val="clear" w:color="auto" w:fill="D2D2D2"/>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21" w:lineRule="auto"/>
              <w:ind w:left="57" w:right="50"/>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62" w:right="46"/>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403" w:hRule="exact"/>
        </w:trPr>
        <w:tc>
          <w:tcPr>
            <w:tcW w:w="1441"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239" w:right="5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149" w:right="51"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240" w:right="55"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240" w:right="51"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62"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r>
      <w:tr>
        <w:trPr>
          <w:trHeight w:val="715"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2" w:right="7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2" w:right="74"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357,97</w:t>
            </w:r>
          </w:p>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640,726</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,805.61</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65,738,</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593.50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-898,80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2,315.2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165,636</w:t>
            </w:r>
          </w:p>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,614.87</w:t>
            </w: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3"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357,97</w:t>
            </w:r>
          </w:p>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640,726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,805.61</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65,738,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593.50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-898,80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2,315.2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165,636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,614.87</w:t>
            </w: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21,363,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244.02</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21,363,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244.02</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21,363,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244.02</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21,363,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244.02</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1"/>
        <w:gridCol w:w="562"/>
        <w:gridCol w:w="528"/>
        <w:gridCol w:w="533"/>
        <w:gridCol w:w="533"/>
        <w:gridCol w:w="662"/>
        <w:gridCol w:w="663"/>
        <w:gridCol w:w="667"/>
        <w:gridCol w:w="668"/>
        <w:gridCol w:w="663"/>
        <w:gridCol w:w="662"/>
        <w:gridCol w:w="668"/>
        <w:gridCol w:w="662"/>
        <w:gridCol w:w="663"/>
      </w:tblGrid>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357,97</w:t>
            </w:r>
          </w:p>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640,726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,805.61</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65,738,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593.50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-877,43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9,071.2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186,999</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,858.89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20"/>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36"/>
        <w:gridCol w:w="562"/>
        <w:gridCol w:w="533"/>
        <w:gridCol w:w="533"/>
        <w:gridCol w:w="529"/>
        <w:gridCol w:w="667"/>
        <w:gridCol w:w="663"/>
        <w:gridCol w:w="667"/>
        <w:gridCol w:w="663"/>
        <w:gridCol w:w="668"/>
        <w:gridCol w:w="662"/>
        <w:gridCol w:w="677"/>
        <w:gridCol w:w="653"/>
        <w:gridCol w:w="663"/>
      </w:tblGrid>
      <w:tr>
        <w:trPr>
          <w:trHeight w:val="403" w:hRule="exact"/>
        </w:trPr>
        <w:tc>
          <w:tcPr>
            <w:tcW w:w="14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1436" w:type="dxa"/>
            <w:vMerge/>
            <w:tcBorders>
              <w:left w:val="single" w:sz="4" w:space="0" w:color="000000"/>
              <w:right w:val="single" w:sz="4" w:space="0" w:color="000000"/>
            </w:tcBorders>
            <w:shd w:val="clear" w:color="auto" w:fill="D2D2D2"/>
          </w:tcPr>
          <w:p>
            <w:pPr/>
          </w:p>
        </w:tc>
        <w:tc>
          <w:tcPr>
            <w:tcW w:w="682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9" w:lineRule="auto"/>
              <w:ind w:left="52" w:right="4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21" w:lineRule="auto"/>
              <w:ind w:left="57" w:right="5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408" w:hRule="exact"/>
        </w:trPr>
        <w:tc>
          <w:tcPr>
            <w:tcW w:w="1436"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40" w:right="55"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149" w:right="51"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40" w:right="50"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40" w:right="56"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153" w:right="55"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53"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r>
      <w:tr>
        <w:trPr>
          <w:trHeight w:val="711" w:hRule="exact"/>
        </w:trPr>
        <w:tc>
          <w:tcPr>
            <w:tcW w:w="143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77" w:right="7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72" w:right="74"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7"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357,97</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642,648</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,259.25</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65,738,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593.50</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-960,27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3,520.9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106,086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,862.77</w:t>
            </w: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2"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6"/>
        <w:gridCol w:w="562"/>
        <w:gridCol w:w="533"/>
        <w:gridCol w:w="533"/>
        <w:gridCol w:w="529"/>
        <w:gridCol w:w="667"/>
        <w:gridCol w:w="663"/>
        <w:gridCol w:w="667"/>
        <w:gridCol w:w="663"/>
        <w:gridCol w:w="668"/>
        <w:gridCol w:w="662"/>
        <w:gridCol w:w="677"/>
        <w:gridCol w:w="653"/>
        <w:gridCol w:w="663"/>
      </w:tblGrid>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7"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357,97</w:t>
            </w:r>
          </w:p>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642,648</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,259.25</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65,738,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593.50</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-960,27</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3,520.9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106,086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,862.77</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2"/>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-1,921,4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53.64</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61,471,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205.74</w:t>
            </w: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59,549,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752.10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61,471,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205.74</w:t>
            </w: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61,471,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205.74</w:t>
            </w:r>
          </w:p>
        </w:tc>
      </w:tr>
      <w:tr>
        <w:trPr>
          <w:trHeight w:val="71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108,963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.64</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108,963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.64</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108,963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.64</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108,963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.64</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108,963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.64</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2"/>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6"/>
        <w:gridCol w:w="562"/>
        <w:gridCol w:w="533"/>
        <w:gridCol w:w="533"/>
        <w:gridCol w:w="529"/>
        <w:gridCol w:w="667"/>
        <w:gridCol w:w="663"/>
        <w:gridCol w:w="667"/>
        <w:gridCol w:w="663"/>
        <w:gridCol w:w="668"/>
        <w:gridCol w:w="662"/>
        <w:gridCol w:w="677"/>
        <w:gridCol w:w="653"/>
        <w:gridCol w:w="663"/>
      </w:tblGrid>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-2,030,4</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17.28</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-2,030,4</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17.28</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357,97</w:t>
            </w:r>
          </w:p>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3,531.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640,726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,805.61</w:t>
            </w: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65,738,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593.50</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-898,80</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2,315.2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165,636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,614.87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398"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41" w:type="dxa"/>
            <w:vMerge/>
            <w:tcBorders>
              <w:left w:val="single" w:sz="4" w:space="0" w:color="000000"/>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7" w:right="27"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3"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357,973,</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701,729,5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30.06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65,738,59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-803,73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1,451.3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321,710,2</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03.18</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357,973,</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701,729,5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30.06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65,738,59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-803,73</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1,451.3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321,710,2</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03.18</w:t>
            </w: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16,483,</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932.12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16,483,93</w:t>
            </w:r>
          </w:p>
          <w:p>
            <w:pPr>
              <w:pStyle w:val="TableParagraph"/>
              <w:spacing w:line="240" w:lineRule="auto" w:before="110"/>
              <w:ind w:left="432" w:right="0"/>
              <w:jc w:val="left"/>
              <w:rPr>
                <w:rFonts w:ascii="Times New Roman" w:hAnsi="Times New Roman" w:cs="Times New Roman" w:eastAsia="Times New Roman" w:hint="default"/>
                <w:sz w:val="18"/>
                <w:szCs w:val="18"/>
              </w:rPr>
            </w:pPr>
            <w:r>
              <w:rPr>
                <w:rFonts w:ascii="Times New Roman"/>
                <w:sz w:val="18"/>
              </w:rPr>
              <w:t>2.12</w:t>
            </w: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16,483,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932.12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16,483,93</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2.12</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67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42"/>
              <w:jc w:val="left"/>
              <w:rPr>
                <w:rFonts w:ascii="宋体" w:hAnsi="宋体" w:cs="宋体" w:eastAsia="宋体" w:hint="default"/>
                <w:sz w:val="18"/>
                <w:szCs w:val="18"/>
              </w:rPr>
            </w:pP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357,973,</w:t>
            </w:r>
          </w:p>
          <w:p>
            <w:pPr>
              <w:pStyle w:val="TableParagraph"/>
              <w:spacing w:line="240" w:lineRule="auto" w:before="110"/>
              <w:ind w:left="143" w:right="0"/>
              <w:jc w:val="center"/>
              <w:rPr>
                <w:rFonts w:ascii="Times New Roman" w:hAnsi="Times New Roman" w:cs="Times New Roman" w:eastAsia="Times New Roman" w:hint="default"/>
                <w:sz w:val="18"/>
                <w:szCs w:val="18"/>
              </w:rPr>
            </w:pPr>
            <w:r>
              <w:rPr>
                <w:rFonts w:ascii="Times New Roman"/>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701,729,5</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30.06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65,738,59</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-787,24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7,519.2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338,194,1</w:t>
            </w:r>
          </w:p>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35.30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401"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1" w:type="dxa"/>
            <w:vMerge/>
            <w:tcBorders>
              <w:left w:val="single" w:sz="4" w:space="0" w:color="000000"/>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307" w:right="27"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357,973,</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705,818,7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65,738,59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-818,92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4,874.6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310,606,0</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43.59</w:t>
            </w: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357,973,</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705,818,7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65,738,59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-818,92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4,874.6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310,606,0</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43.59</w:t>
            </w:r>
          </w:p>
        </w:tc>
      </w:tr>
      <w:tr>
        <w:trPr>
          <w:trHeight w:val="10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-4,089,26</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3.70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15,193,</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423.29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11,104,15</w:t>
            </w:r>
          </w:p>
          <w:p>
            <w:pPr>
              <w:pStyle w:val="TableParagraph"/>
              <w:spacing w:line="240" w:lineRule="auto" w:before="110"/>
              <w:ind w:left="432" w:right="0"/>
              <w:jc w:val="left"/>
              <w:rPr>
                <w:rFonts w:ascii="Times New Roman" w:hAnsi="Times New Roman" w:cs="Times New Roman" w:eastAsia="Times New Roman" w:hint="default"/>
                <w:sz w:val="18"/>
                <w:szCs w:val="18"/>
              </w:rPr>
            </w:pPr>
            <w:r>
              <w:rPr>
                <w:rFonts w:ascii="Times New Roman"/>
                <w:sz w:val="18"/>
              </w:rPr>
              <w:t>9.59</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15,193,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423.29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15,193,42</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3.29</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108,963.6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108,963.6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108,963.6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108,963.6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-4,198,22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7.34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-4,198,22</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7.34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357,973,</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531.00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701,729,5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30.06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65,738,59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-803,73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1,451.3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321,710,2</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03.18</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1"/>
        <w:rPr>
          <w:rFonts w:ascii="宋体" w:hAnsi="宋体" w:cs="宋体" w:eastAsia="宋体" w:hint="default"/>
          <w:b/>
          <w:bCs/>
          <w:sz w:val="34"/>
          <w:szCs w:val="34"/>
        </w:rPr>
      </w:pPr>
    </w:p>
    <w:p>
      <w:pPr>
        <w:pStyle w:val="BodyText"/>
        <w:spacing w:line="367" w:lineRule="auto" w:before="0"/>
        <w:ind w:right="143" w:firstLine="480"/>
        <w:jc w:val="both"/>
      </w:pPr>
      <w:r>
        <w:rPr>
          <w:spacing w:val="-2"/>
        </w:rPr>
        <w:t>深圳市深信泰丰（集团）股份有限公司（以下简称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）前身为深圳市华宝畜禽联合公</w:t>
      </w:r>
      <w:r>
        <w:rPr>
          <w:w w:val="100"/>
        </w:rPr>
        <w:t> </w:t>
      </w:r>
      <w:r>
        <w:rPr/>
        <w:t>司，</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日经深圳市人民政府以市特府【</w:t>
      </w:r>
      <w:r>
        <w:rPr>
          <w:rFonts w:ascii="Times New Roman" w:hAnsi="Times New Roman" w:cs="Times New Roman" w:eastAsia="Times New Roman" w:hint="default"/>
        </w:rPr>
        <w:t>1981</w:t>
      </w:r>
      <w:r>
        <w:rPr/>
        <w:t>】</w:t>
      </w:r>
      <w:r>
        <w:rPr>
          <w:rFonts w:ascii="Times New Roman" w:hAnsi="Times New Roman" w:cs="Times New Roman" w:eastAsia="Times New Roman" w:hint="default"/>
        </w:rPr>
        <w:t>20</w:t>
      </w:r>
      <w:r>
        <w:rPr/>
        <w:t>号文批准成立，并于</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日经中国牧</w:t>
      </w:r>
      <w:r>
        <w:rPr>
          <w:spacing w:val="-29"/>
        </w:rPr>
        <w:t> </w:t>
      </w:r>
      <w:r>
        <w:rPr/>
        <w:t>工商联合总公司以（</w:t>
      </w:r>
      <w:r>
        <w:rPr>
          <w:rFonts w:ascii="Times New Roman" w:hAnsi="Times New Roman" w:cs="Times New Roman" w:eastAsia="Times New Roman" w:hint="default"/>
        </w:rPr>
        <w:t>83</w:t>
      </w:r>
      <w:r>
        <w:rPr/>
        <w:t>）农牧（办）字第</w:t>
      </w:r>
      <w:r>
        <w:rPr>
          <w:rFonts w:ascii="Times New Roman" w:hAnsi="Times New Roman" w:cs="Times New Roman" w:eastAsia="Times New Roman" w:hint="default"/>
        </w:rPr>
        <w:t>02</w:t>
      </w:r>
      <w:r>
        <w:rPr/>
        <w:t>号文批准更名为深圳华宝牧工商联合公司。</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日经</w:t>
      </w:r>
      <w:r>
        <w:rPr>
          <w:spacing w:val="-29"/>
        </w:rPr>
        <w:t> </w:t>
      </w:r>
      <w:r>
        <w:rPr/>
        <w:t>深圳市人民政府以深府办复【</w:t>
      </w:r>
      <w:r>
        <w:rPr>
          <w:rFonts w:ascii="Times New Roman" w:hAnsi="Times New Roman" w:cs="Times New Roman" w:eastAsia="Times New Roman" w:hint="default"/>
        </w:rPr>
        <w:t>1993</w:t>
      </w:r>
      <w:r>
        <w:rPr/>
        <w:t>】</w:t>
      </w:r>
      <w:r>
        <w:rPr>
          <w:rFonts w:ascii="Times New Roman" w:hAnsi="Times New Roman" w:cs="Times New Roman" w:eastAsia="Times New Roman" w:hint="default"/>
        </w:rPr>
        <w:t>855</w:t>
      </w:r>
      <w:r>
        <w:rPr/>
        <w:t>号文批准，由中国牧工商总公司、深圳市宝安区投资管理公司、</w:t>
      </w:r>
      <w:r>
        <w:rPr>
          <w:spacing w:val="-30"/>
        </w:rPr>
        <w:t> </w:t>
      </w:r>
      <w:r>
        <w:rPr>
          <w:spacing w:val="-30"/>
        </w:rPr>
      </w:r>
      <w:r>
        <w:rPr>
          <w:spacing w:val="-2"/>
        </w:rPr>
        <w:t>深圳经济特区食品贸易（集团）公司三家为发起人，通过改组以社会募集方式设立深圳市华宝（集团）股</w:t>
      </w:r>
      <w:r>
        <w:rPr>
          <w:spacing w:val="-38"/>
        </w:rPr>
        <w:t> </w:t>
      </w:r>
      <w:r>
        <w:rPr>
          <w:spacing w:val="-38"/>
        </w:rPr>
      </w:r>
      <w:r>
        <w:rPr/>
        <w:t>份有限公司。本公司于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日经深圳市工商行政管理局批准，将公司名称变更为现名称深圳市深</w:t>
      </w:r>
      <w:r>
        <w:rPr>
          <w:spacing w:val="-31"/>
        </w:rPr>
        <w:t> </w:t>
      </w:r>
      <w:r>
        <w:rPr>
          <w:spacing w:val="-31"/>
        </w:rPr>
      </w:r>
      <w:r>
        <w:rPr/>
        <w:t>信泰丰（集团）股份有限公司。本公司已领取注册号为</w:t>
      </w:r>
      <w:r>
        <w:rPr>
          <w:rFonts w:ascii="Times New Roman" w:hAnsi="Times New Roman" w:cs="Times New Roman" w:eastAsia="Times New Roman" w:hint="default"/>
        </w:rPr>
        <w:t>440301103553063</w:t>
      </w:r>
      <w:r>
        <w:rPr/>
        <w:t>企业法人营业执照，注册资本为</w:t>
      </w:r>
      <w:r>
        <w:rPr>
          <w:spacing w:val="-30"/>
        </w:rPr>
        <w:t> </w:t>
      </w:r>
      <w:r>
        <w:rPr>
          <w:spacing w:val="-30"/>
        </w:rPr>
      </w:r>
      <w:r>
        <w:rPr/>
        <w:t>人民币</w:t>
      </w:r>
      <w:r>
        <w:rPr>
          <w:rFonts w:ascii="Times New Roman" w:hAnsi="Times New Roman" w:cs="Times New Roman" w:eastAsia="Times New Roman" w:hint="default"/>
        </w:rPr>
        <w:t>357,973,531.00</w:t>
      </w:r>
      <w:r>
        <w:rPr/>
        <w:t>元。</w:t>
      </w:r>
    </w:p>
    <w:p>
      <w:pPr>
        <w:pStyle w:val="BodyText"/>
        <w:spacing w:line="240" w:lineRule="auto" w:before="23"/>
        <w:ind w:left="633" w:right="0"/>
        <w:jc w:val="left"/>
      </w:pPr>
      <w:r>
        <w:rPr>
          <w:rFonts w:ascii="Times New Roman" w:hAnsi="Times New Roman" w:cs="Times New Roman" w:eastAsia="Times New Roman" w:hint="default"/>
        </w:rPr>
        <w:t>1</w:t>
      </w:r>
      <w:r>
        <w:rPr/>
        <w:t>、股东所持公司的法人股发生的股权转让事宜：</w:t>
      </w:r>
    </w:p>
    <w:p>
      <w:pPr>
        <w:pStyle w:val="BodyText"/>
        <w:spacing w:line="362" w:lineRule="auto" w:before="151"/>
        <w:ind w:right="142" w:firstLine="480"/>
        <w:jc w:val="both"/>
      </w:pPr>
      <w:r>
        <w:rPr>
          <w:spacing w:val="-1"/>
        </w:rPr>
        <w:t>（</w:t>
      </w:r>
      <w:r>
        <w:rPr>
          <w:rFonts w:ascii="Times New Roman" w:hAnsi="Times New Roman" w:cs="Times New Roman" w:eastAsia="Times New Roman" w:hint="default"/>
          <w:spacing w:val="-1"/>
        </w:rPr>
        <w:t>1</w:t>
      </w:r>
      <w:r>
        <w:rPr>
          <w:spacing w:val="-1"/>
        </w:rPr>
        <w:t>）深圳市证券管理办公室于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9</w:t>
      </w:r>
      <w:r>
        <w:rPr>
          <w:spacing w:val="-1"/>
        </w:rPr>
        <w:t>日以深证办复【</w:t>
      </w:r>
      <w:r>
        <w:rPr>
          <w:rFonts w:ascii="Times New Roman" w:hAnsi="Times New Roman" w:cs="Times New Roman" w:eastAsia="Times New Roman" w:hint="default"/>
          <w:spacing w:val="-1"/>
        </w:rPr>
        <w:t>1999</w:t>
      </w:r>
      <w:r>
        <w:rPr>
          <w:spacing w:val="-1"/>
        </w:rPr>
        <w:t>】</w:t>
      </w:r>
      <w:r>
        <w:rPr>
          <w:rFonts w:ascii="Times New Roman" w:hAnsi="Times New Roman" w:cs="Times New Roman" w:eastAsia="Times New Roman" w:hint="default"/>
          <w:spacing w:val="-1"/>
        </w:rPr>
        <w:t>42</w:t>
      </w:r>
      <w:r>
        <w:rPr>
          <w:spacing w:val="-1"/>
        </w:rPr>
        <w:t>号文批准，以及经财政部于</w:t>
      </w:r>
      <w:r>
        <w:rPr>
          <w:rFonts w:ascii="Times New Roman" w:hAnsi="Times New Roman" w:cs="Times New Roman" w:eastAsia="Times New Roman" w:hint="default"/>
          <w:spacing w:val="-1"/>
        </w:rPr>
        <w:t>1999</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日以财管字【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362</w:t>
      </w:r>
      <w:r>
        <w:rPr/>
        <w:t>号文批准，由深圳国际信托投资有限责任公司受让本公司原股东</w:t>
      </w:r>
      <w:r>
        <w:rPr>
          <w:rFonts w:ascii="Times New Roman" w:hAnsi="Times New Roman" w:cs="Times New Roman" w:eastAsia="Times New Roman" w:hint="default"/>
        </w:rPr>
        <w:t>—</w:t>
      </w:r>
      <w:r>
        <w:rPr/>
        <w:t>中国</w:t>
      </w:r>
      <w:r>
        <w:rPr>
          <w:spacing w:val="-28"/>
        </w:rPr>
        <w:t> </w:t>
      </w:r>
      <w:r>
        <w:rPr/>
        <w:t>牧工商（集团）总公司持有的本公司法人股份</w:t>
      </w:r>
      <w:r>
        <w:rPr>
          <w:rFonts w:ascii="Times New Roman" w:hAnsi="Times New Roman" w:cs="Times New Roman" w:eastAsia="Times New Roman" w:hint="default"/>
        </w:rPr>
        <w:t>77,886,656</w:t>
      </w:r>
      <w:r>
        <w:rPr/>
        <w:t>股，并办妥股权过户手续。转让完成后，中国牧</w:t>
      </w:r>
      <w:r>
        <w:rPr>
          <w:spacing w:val="-30"/>
        </w:rPr>
        <w:t> </w:t>
      </w:r>
      <w:r>
        <w:rPr>
          <w:spacing w:val="-30"/>
        </w:rPr>
      </w:r>
      <w:r>
        <w:rPr/>
        <w:t>工商（集团）总公司不再持有本公司股权。</w:t>
      </w:r>
    </w:p>
    <w:p>
      <w:pPr>
        <w:pStyle w:val="BodyText"/>
        <w:spacing w:line="360" w:lineRule="auto" w:before="59"/>
        <w:ind w:right="143" w:firstLine="480"/>
        <w:jc w:val="both"/>
      </w:pPr>
      <w:r>
        <w:rPr>
          <w:spacing w:val="-1"/>
        </w:rPr>
        <w:t>（</w:t>
      </w:r>
      <w:r>
        <w:rPr>
          <w:rFonts w:ascii="Times New Roman" w:hAnsi="Times New Roman" w:cs="Times New Roman" w:eastAsia="Times New Roman" w:hint="default"/>
          <w:spacing w:val="-1"/>
        </w:rPr>
        <w:t>2</w:t>
      </w:r>
      <w:r>
        <w:rPr>
          <w:spacing w:val="-1"/>
        </w:rPr>
        <w:t>）深圳市宝安区人民政府于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9</w:t>
      </w:r>
      <w:r>
        <w:rPr>
          <w:spacing w:val="-1"/>
        </w:rPr>
        <w:t>日以深宝府函【</w:t>
      </w:r>
      <w:r>
        <w:rPr>
          <w:rFonts w:ascii="Times New Roman" w:hAnsi="Times New Roman" w:cs="Times New Roman" w:eastAsia="Times New Roman" w:hint="default"/>
          <w:spacing w:val="-1"/>
        </w:rPr>
        <w:t>1999</w:t>
      </w:r>
      <w:r>
        <w:rPr>
          <w:spacing w:val="-1"/>
        </w:rPr>
        <w:t>】</w:t>
      </w:r>
      <w:r>
        <w:rPr>
          <w:rFonts w:ascii="Times New Roman" w:hAnsi="Times New Roman" w:cs="Times New Roman" w:eastAsia="Times New Roman" w:hint="default"/>
          <w:spacing w:val="-1"/>
        </w:rPr>
        <w:t>29</w:t>
      </w:r>
      <w:r>
        <w:rPr>
          <w:spacing w:val="-1"/>
        </w:rPr>
        <w:t>号文批准、深圳市国有资产管理</w:t>
      </w:r>
      <w:r>
        <w:rPr>
          <w:w w:val="100"/>
        </w:rPr>
        <w:t> </w:t>
      </w:r>
      <w:r>
        <w:rPr/>
        <w:t>办公室于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日以【</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65</w:t>
      </w:r>
      <w:r>
        <w:rPr/>
        <w:t>号文批准，以及深圳市证券管理办公室于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日以深证办复</w:t>
      </w:r>
    </w:p>
    <w:p>
      <w:pPr>
        <w:pStyle w:val="BodyText"/>
        <w:spacing w:line="362" w:lineRule="auto"/>
        <w:ind w:right="147"/>
        <w:jc w:val="both"/>
      </w:pPr>
      <w:r>
        <w:rPr/>
        <w:t>【</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42</w:t>
      </w:r>
      <w:r>
        <w:rPr/>
        <w:t>号文批准，以及经财政部于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日以财管字【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362</w:t>
      </w:r>
      <w:r>
        <w:rPr/>
        <w:t>号文批准由深圳国际信托投</w:t>
      </w:r>
      <w:r>
        <w:rPr>
          <w:spacing w:val="-30"/>
        </w:rPr>
        <w:t> </w:t>
      </w:r>
      <w:r>
        <w:rPr>
          <w:spacing w:val="-30"/>
        </w:rPr>
      </w:r>
      <w:r>
        <w:rPr/>
        <w:t>资有限责任公司受让本公司原第一大股东</w:t>
      </w:r>
      <w:r>
        <w:rPr>
          <w:rFonts w:ascii="Times New Roman" w:hAnsi="Times New Roman" w:cs="Times New Roman" w:eastAsia="Times New Roman" w:hint="default"/>
        </w:rPr>
        <w:t>—</w:t>
      </w:r>
      <w:r>
        <w:rPr/>
        <w:t>深圳市宝安区投资管理公司持有的本公司国家股份</w:t>
      </w:r>
      <w:r>
        <w:rPr>
          <w:rFonts w:ascii="Times New Roman" w:hAnsi="Times New Roman" w:cs="Times New Roman" w:eastAsia="Times New Roman" w:hint="default"/>
        </w:rPr>
        <w:t>71,335,413</w:t>
      </w:r>
      <w:r>
        <w:rPr>
          <w:rFonts w:ascii="Times New Roman" w:hAnsi="Times New Roman" w:cs="Times New Roman" w:eastAsia="Times New Roman" w:hint="default"/>
          <w:spacing w:val="29"/>
        </w:rPr>
        <w:t> </w:t>
      </w:r>
      <w:r>
        <w:rPr/>
        <w:t>股。</w:t>
      </w:r>
    </w:p>
    <w:p>
      <w:pPr>
        <w:pStyle w:val="BodyText"/>
        <w:spacing w:line="362" w:lineRule="auto" w:before="59"/>
        <w:ind w:right="142" w:firstLine="480"/>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w:t>
      </w:r>
      <w:r>
        <w:rPr/>
        <w:t>深圳市宝安区投资管理公司与深圳国际信托投资有限责任公司重新签定了《股权转</w:t>
      </w:r>
      <w:r>
        <w:rPr>
          <w:w w:val="100"/>
        </w:rPr>
        <w:t> </w:t>
      </w:r>
      <w:r>
        <w:rPr>
          <w:spacing w:val="10"/>
        </w:rPr>
        <w:t>让协议书》，根据审计后本公司</w:t>
      </w:r>
      <w:r>
        <w:rPr>
          <w:rFonts w:ascii="Times New Roman" w:hAnsi="Times New Roman" w:cs="Times New Roman" w:eastAsia="Times New Roman" w:hint="default"/>
          <w:spacing w:val="10"/>
        </w:rPr>
        <w:t>2001</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31</w:t>
      </w:r>
      <w:r>
        <w:rPr>
          <w:spacing w:val="10"/>
        </w:rPr>
        <w:t>日净资产，上述股权转让价格为</w:t>
      </w:r>
      <w:r>
        <w:rPr>
          <w:spacing w:val="-42"/>
        </w:rPr>
        <w:t> </w:t>
      </w:r>
      <w:r>
        <w:rPr>
          <w:rFonts w:ascii="Times New Roman" w:hAnsi="Times New Roman" w:cs="Times New Roman" w:eastAsia="Times New Roman" w:hint="default"/>
          <w:spacing w:val="7"/>
        </w:rPr>
        <w:t>1.16</w:t>
      </w:r>
      <w:r>
        <w:rPr>
          <w:spacing w:val="7"/>
        </w:rPr>
        <w:t>元</w:t>
      </w:r>
      <w:r>
        <w:rPr>
          <w:rFonts w:ascii="Times New Roman" w:hAnsi="Times New Roman" w:cs="Times New Roman" w:eastAsia="Times New Roman" w:hint="default"/>
          <w:spacing w:val="7"/>
        </w:rPr>
        <w:t>/</w:t>
      </w:r>
      <w:r>
        <w:rPr>
          <w:spacing w:val="7"/>
        </w:rPr>
        <w:t>股，总价款为</w:t>
      </w:r>
      <w:r>
        <w:rPr>
          <w:spacing w:val="-40"/>
        </w:rPr>
        <w:t> </w:t>
      </w:r>
      <w:r>
        <w:rPr>
          <w:spacing w:val="-40"/>
        </w:rPr>
      </w:r>
      <w:r>
        <w:rPr>
          <w:rFonts w:ascii="Times New Roman" w:hAnsi="Times New Roman" w:cs="Times New Roman" w:eastAsia="Times New Roman" w:hint="default"/>
          <w:spacing w:val="-1"/>
        </w:rPr>
        <w:t>82,749,079.08</w:t>
      </w:r>
      <w:r>
        <w:rPr>
          <w:spacing w:val="-1"/>
        </w:rPr>
        <w:t>元。该事项已获财政部财企【</w:t>
      </w:r>
      <w:r>
        <w:rPr>
          <w:rFonts w:ascii="Times New Roman" w:hAnsi="Times New Roman" w:cs="Times New Roman" w:eastAsia="Times New Roman" w:hint="default"/>
          <w:spacing w:val="-1"/>
        </w:rPr>
        <w:t>2003</w:t>
      </w:r>
      <w:r>
        <w:rPr>
          <w:spacing w:val="-1"/>
        </w:rPr>
        <w:t>】</w:t>
      </w:r>
      <w:r>
        <w:rPr>
          <w:rFonts w:ascii="Times New Roman" w:hAnsi="Times New Roman" w:cs="Times New Roman" w:eastAsia="Times New Roman" w:hint="default"/>
          <w:spacing w:val="-1"/>
        </w:rPr>
        <w:t>64</w:t>
      </w:r>
      <w:r>
        <w:rPr>
          <w:spacing w:val="-1"/>
        </w:rPr>
        <w:t>号文批复、中国证监会证监公司字【</w:t>
      </w:r>
      <w:r>
        <w:rPr>
          <w:rFonts w:ascii="Times New Roman" w:hAnsi="Times New Roman" w:cs="Times New Roman" w:eastAsia="Times New Roman" w:hint="default"/>
          <w:spacing w:val="-1"/>
        </w:rPr>
        <w:t>2003</w:t>
      </w:r>
      <w:r>
        <w:rPr>
          <w:spacing w:val="-1"/>
        </w:rPr>
        <w:t>】</w:t>
      </w:r>
      <w:r>
        <w:rPr>
          <w:rFonts w:ascii="Times New Roman" w:hAnsi="Times New Roman" w:cs="Times New Roman" w:eastAsia="Times New Roman" w:hint="default"/>
          <w:spacing w:val="-1"/>
        </w:rPr>
        <w:t>38</w:t>
      </w:r>
      <w:r>
        <w:rPr>
          <w:spacing w:val="-1"/>
        </w:rPr>
        <w:t>号文批</w:t>
      </w:r>
      <w:r>
        <w:rPr>
          <w:spacing w:val="-10"/>
        </w:rPr>
        <w:t> </w:t>
      </w:r>
      <w:r>
        <w:rPr/>
        <w:t>复，并办妥股权过户手续。</w:t>
      </w:r>
    </w:p>
    <w:p>
      <w:pPr>
        <w:pStyle w:val="BodyText"/>
        <w:spacing w:line="360" w:lineRule="auto" w:before="59"/>
        <w:ind w:right="143" w:firstLine="480"/>
        <w:jc w:val="both"/>
      </w:pPr>
      <w:r>
        <w:rPr>
          <w:spacing w:val="-1"/>
        </w:rPr>
        <w:t>（</w:t>
      </w:r>
      <w:r>
        <w:rPr>
          <w:rFonts w:ascii="Times New Roman" w:hAnsi="Times New Roman" w:cs="Times New Roman" w:eastAsia="Times New Roman" w:hint="default"/>
          <w:spacing w:val="-1"/>
        </w:rPr>
        <w:t>3</w:t>
      </w:r>
      <w:r>
        <w:rPr>
          <w:spacing w:val="-1"/>
        </w:rPr>
        <w:t>）深圳市宝安区人民政府于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日以深宝函【</w:t>
      </w:r>
      <w:r>
        <w:rPr>
          <w:rFonts w:ascii="Times New Roman" w:hAnsi="Times New Roman" w:cs="Times New Roman" w:eastAsia="Times New Roman" w:hint="default"/>
          <w:spacing w:val="-1"/>
        </w:rPr>
        <w:t>2000</w:t>
      </w:r>
      <w:r>
        <w:rPr>
          <w:spacing w:val="-1"/>
        </w:rPr>
        <w:t>】</w:t>
      </w:r>
      <w:r>
        <w:rPr>
          <w:rFonts w:ascii="Times New Roman" w:hAnsi="Times New Roman" w:cs="Times New Roman" w:eastAsia="Times New Roman" w:hint="default"/>
          <w:spacing w:val="-1"/>
        </w:rPr>
        <w:t>42</w:t>
      </w:r>
      <w:r>
        <w:rPr>
          <w:spacing w:val="-1"/>
        </w:rPr>
        <w:t>号文批准，由深圳泰丰电子有限</w:t>
      </w:r>
      <w:r>
        <w:rPr>
          <w:w w:val="100"/>
        </w:rPr>
        <w:t> </w:t>
      </w:r>
      <w:r>
        <w:rPr/>
        <w:t>公司受让本公司原股东</w:t>
      </w:r>
      <w:r>
        <w:rPr>
          <w:rFonts w:ascii="Times New Roman" w:hAnsi="Times New Roman" w:cs="Times New Roman" w:eastAsia="Times New Roman" w:hint="default"/>
        </w:rPr>
        <w:t>—</w:t>
      </w:r>
      <w:r>
        <w:rPr/>
        <w:t>深圳市宝安区投资管理公司持有的公司国家股</w:t>
      </w:r>
      <w:r>
        <w:rPr>
          <w:rFonts w:ascii="Times New Roman" w:hAnsi="Times New Roman" w:cs="Times New Roman" w:eastAsia="Times New Roman" w:hint="default"/>
        </w:rPr>
        <w:t>24,891,152</w:t>
      </w:r>
      <w:r>
        <w:rPr/>
        <w:t>股。</w:t>
      </w:r>
    </w:p>
    <w:p>
      <w:pPr>
        <w:pStyle w:val="BodyText"/>
        <w:spacing w:line="362" w:lineRule="auto"/>
        <w:ind w:right="142" w:firstLine="480"/>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日，深圳市宝安区投资管理公司与深圳泰丰电子有限公司重新签定了《股权转让协议</w:t>
      </w:r>
      <w:r>
        <w:rPr>
          <w:w w:val="100"/>
        </w:rPr>
        <w:t> </w:t>
      </w:r>
      <w:r>
        <w:rPr>
          <w:spacing w:val="-4"/>
        </w:rPr>
        <w:t>书》，根据审计后的本公司</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日净资产，上述股权转让价格为</w:t>
      </w:r>
      <w:r>
        <w:rPr>
          <w:rFonts w:ascii="Times New Roman" w:hAnsi="Times New Roman" w:cs="Times New Roman" w:eastAsia="Times New Roman" w:hint="default"/>
          <w:spacing w:val="-4"/>
        </w:rPr>
        <w:t>1.16</w:t>
      </w:r>
      <w:r>
        <w:rPr>
          <w:spacing w:val="-4"/>
        </w:rPr>
        <w:t>元</w:t>
      </w:r>
      <w:r>
        <w:rPr>
          <w:rFonts w:ascii="Times New Roman" w:hAnsi="Times New Roman" w:cs="Times New Roman" w:eastAsia="Times New Roman" w:hint="default"/>
          <w:spacing w:val="-4"/>
        </w:rPr>
        <w:t>/</w:t>
      </w:r>
      <w:r>
        <w:rPr>
          <w:spacing w:val="-4"/>
        </w:rPr>
        <w:t>股，总价款为</w:t>
      </w:r>
      <w:r>
        <w:rPr>
          <w:rFonts w:ascii="Times New Roman" w:hAnsi="Times New Roman" w:cs="Times New Roman" w:eastAsia="Times New Roman" w:hint="default"/>
          <w:spacing w:val="-4"/>
        </w:rPr>
        <w:t>28,873,736.32</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元。该事项已获财政部财企【</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64</w:t>
      </w:r>
      <w:r>
        <w:rPr/>
        <w:t>号文批复，并办妥股权过户手续。</w:t>
      </w:r>
    </w:p>
    <w:p>
      <w:pPr>
        <w:spacing w:after="0" w:line="362" w:lineRule="auto"/>
        <w:jc w:val="both"/>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left="633" w:right="0"/>
        <w:jc w:val="left"/>
      </w:pPr>
      <w:r>
        <w:rPr/>
        <w:t>此次股权转让后，深圳市宝安区投资管理公司尚持有本公司股份为</w:t>
      </w:r>
      <w:r>
        <w:rPr>
          <w:rFonts w:ascii="Times New Roman" w:hAnsi="Times New Roman" w:cs="Times New Roman" w:eastAsia="Times New Roman" w:hint="default"/>
        </w:rPr>
        <w:t>37,329,007</w:t>
      </w:r>
      <w:r>
        <w:rPr/>
        <w:t>股。</w:t>
      </w:r>
    </w:p>
    <w:p>
      <w:pPr>
        <w:pStyle w:val="BodyText"/>
        <w:spacing w:line="362" w:lineRule="auto" w:before="151"/>
        <w:ind w:right="223" w:firstLine="480"/>
        <w:jc w:val="both"/>
      </w:pPr>
      <w:r>
        <w:rPr>
          <w:spacing w:val="-1"/>
        </w:rPr>
        <w:t>（</w:t>
      </w:r>
      <w:r>
        <w:rPr>
          <w:rFonts w:ascii="Times New Roman" w:hAnsi="Times New Roman" w:cs="Times New Roman" w:eastAsia="Times New Roman" w:hint="default"/>
          <w:spacing w:val="-1"/>
        </w:rPr>
        <w:t>4</w:t>
      </w:r>
      <w:r>
        <w:rPr>
          <w:spacing w:val="-1"/>
        </w:rPr>
        <w:t>）深圳市投资管理公司于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8</w:t>
      </w:r>
      <w:r>
        <w:rPr>
          <w:spacing w:val="-1"/>
        </w:rPr>
        <w:t>日以深投【</w:t>
      </w:r>
      <w:r>
        <w:rPr>
          <w:rFonts w:ascii="Times New Roman" w:hAnsi="Times New Roman" w:cs="Times New Roman" w:eastAsia="Times New Roman" w:hint="default"/>
          <w:spacing w:val="-1"/>
        </w:rPr>
        <w:t>2000</w:t>
      </w:r>
      <w:r>
        <w:rPr>
          <w:spacing w:val="-1"/>
        </w:rPr>
        <w:t>】</w:t>
      </w:r>
      <w:r>
        <w:rPr>
          <w:rFonts w:ascii="Times New Roman" w:hAnsi="Times New Roman" w:cs="Times New Roman" w:eastAsia="Times New Roman" w:hint="default"/>
          <w:spacing w:val="-1"/>
        </w:rPr>
        <w:t>411</w:t>
      </w:r>
      <w:r>
        <w:rPr>
          <w:spacing w:val="-1"/>
        </w:rPr>
        <w:t>号批准，由深圳泰丰电子有限公司受</w:t>
      </w:r>
      <w:r>
        <w:rPr>
          <w:w w:val="100"/>
        </w:rPr>
        <w:t> </w:t>
      </w:r>
      <w:r>
        <w:rPr/>
        <w:t>让公司原股东</w:t>
      </w:r>
      <w:r>
        <w:rPr>
          <w:rFonts w:ascii="Times New Roman" w:hAnsi="Times New Roman" w:cs="Times New Roman" w:eastAsia="Times New Roman" w:hint="default"/>
        </w:rPr>
        <w:t>—</w:t>
      </w:r>
      <w:r>
        <w:rPr/>
        <w:t>深圳市国际信托投资有限责任公司持有的本公司法人股</w:t>
      </w:r>
      <w:r>
        <w:rPr>
          <w:rFonts w:ascii="Times New Roman" w:hAnsi="Times New Roman" w:cs="Times New Roman" w:eastAsia="Times New Roman" w:hint="default"/>
        </w:rPr>
        <w:t>57,560,789</w:t>
      </w:r>
      <w:r>
        <w:rPr/>
        <w:t>股，因需政府其他部门</w:t>
      </w:r>
      <w:r>
        <w:rPr>
          <w:spacing w:val="-29"/>
        </w:rPr>
        <w:t> </w:t>
      </w:r>
      <w:r>
        <w:rPr>
          <w:spacing w:val="-29"/>
        </w:rPr>
      </w:r>
      <w:r>
        <w:rPr/>
        <w:t>批准，故未办理股权过户手续。</w:t>
      </w:r>
    </w:p>
    <w:p>
      <w:pPr>
        <w:pStyle w:val="BodyText"/>
        <w:spacing w:line="362" w:lineRule="auto" w:before="59"/>
        <w:ind w:right="222" w:firstLine="480"/>
        <w:jc w:val="both"/>
      </w:pPr>
      <w:r>
        <w:rPr>
          <w:spacing w:val="-3"/>
        </w:rPr>
        <w:t>（</w:t>
      </w:r>
      <w:r>
        <w:rPr>
          <w:rFonts w:ascii="Times New Roman" w:hAnsi="Times New Roman" w:cs="Times New Roman" w:eastAsia="Times New Roman" w:hint="default"/>
          <w:spacing w:val="-3"/>
        </w:rPr>
        <w:t>5</w:t>
      </w:r>
      <w:r>
        <w:rPr>
          <w:spacing w:val="-3"/>
        </w:rPr>
        <w:t>）国务院国有资产监督管理委员会于</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5</w:t>
      </w:r>
      <w:r>
        <w:rPr>
          <w:spacing w:val="-3"/>
        </w:rPr>
        <w:t>日以国资产权【</w:t>
      </w:r>
      <w:r>
        <w:rPr>
          <w:rFonts w:ascii="Times New Roman" w:hAnsi="Times New Roman" w:cs="Times New Roman" w:eastAsia="Times New Roman" w:hint="default"/>
          <w:spacing w:val="-3"/>
        </w:rPr>
        <w:t>2006</w:t>
      </w:r>
      <w:r>
        <w:rPr>
          <w:spacing w:val="-3"/>
        </w:rPr>
        <w:t>】</w:t>
      </w:r>
      <w:r>
        <w:rPr>
          <w:rFonts w:ascii="Times New Roman" w:hAnsi="Times New Roman" w:cs="Times New Roman" w:eastAsia="Times New Roman" w:hint="default"/>
          <w:spacing w:val="-3"/>
        </w:rPr>
        <w:t>106</w:t>
      </w:r>
      <w:r>
        <w:rPr>
          <w:spacing w:val="-3"/>
        </w:rPr>
        <w:t>号批准，由中国希格玛</w:t>
      </w:r>
      <w:r>
        <w:rPr>
          <w:w w:val="100"/>
        </w:rPr>
        <w:t> </w:t>
      </w:r>
      <w:r>
        <w:rPr/>
        <w:t>有限公司受让公司原股东</w:t>
      </w:r>
      <w:r>
        <w:rPr>
          <w:rFonts w:ascii="Times New Roman" w:hAnsi="Times New Roman" w:cs="Times New Roman" w:eastAsia="Times New Roman" w:hint="default"/>
        </w:rPr>
        <w:t>—</w:t>
      </w:r>
      <w:r>
        <w:rPr/>
        <w:t>深圳市国际信托投资有限责任公司持有的本公司国有股</w:t>
      </w:r>
      <w:r>
        <w:rPr>
          <w:rFonts w:ascii="Times New Roman" w:hAnsi="Times New Roman" w:cs="Times New Roman" w:eastAsia="Times New Roman" w:hint="default"/>
        </w:rPr>
        <w:t>91,661,280</w:t>
      </w:r>
      <w:r>
        <w:rPr/>
        <w:t>股，并办妥</w:t>
      </w:r>
      <w:r>
        <w:rPr>
          <w:spacing w:val="-28"/>
        </w:rPr>
        <w:t> </w:t>
      </w:r>
      <w:r>
        <w:rPr/>
        <w:t>股权过户手续。</w:t>
      </w:r>
    </w:p>
    <w:p>
      <w:pPr>
        <w:pStyle w:val="BodyText"/>
        <w:spacing w:line="362" w:lineRule="auto" w:before="59"/>
        <w:ind w:right="222" w:firstLine="480"/>
        <w:jc w:val="both"/>
      </w:pPr>
      <w:r>
        <w:rPr>
          <w:spacing w:val="-3"/>
        </w:rPr>
        <w:t>（</w:t>
      </w:r>
      <w:r>
        <w:rPr>
          <w:rFonts w:ascii="Times New Roman" w:hAnsi="Times New Roman" w:cs="Times New Roman" w:eastAsia="Times New Roman" w:hint="default"/>
          <w:spacing w:val="-3"/>
        </w:rPr>
        <w:t>6</w:t>
      </w:r>
      <w:r>
        <w:rPr>
          <w:spacing w:val="-3"/>
        </w:rPr>
        <w:t>）由于深圳泰丰电子有限公司持有的本公司</w:t>
      </w:r>
      <w:r>
        <w:rPr>
          <w:rFonts w:ascii="Times New Roman" w:hAnsi="Times New Roman" w:cs="Times New Roman" w:eastAsia="Times New Roman" w:hint="default"/>
          <w:spacing w:val="-3"/>
        </w:rPr>
        <w:t>24,891,152</w:t>
      </w:r>
      <w:r>
        <w:rPr>
          <w:spacing w:val="-3"/>
        </w:rPr>
        <w:t>股法人股被北京市第一中级人民法院于</w:t>
      </w:r>
      <w:r>
        <w:rPr>
          <w:rFonts w:ascii="Times New Roman" w:hAnsi="Times New Roman" w:cs="Times New Roman" w:eastAsia="Times New Roman" w:hint="default"/>
          <w:spacing w:val="-3"/>
        </w:rPr>
        <w:t>2006</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spacing w:val="-2"/>
        </w:rPr>
        <w:t>日公开拍卖。上海灵竹投资咨询有限公司、上海美佳商贸有限公司以联合竞拍方式各得</w:t>
      </w:r>
      <w:r>
        <w:rPr>
          <w:rFonts w:ascii="Times New Roman" w:hAnsi="Times New Roman" w:cs="Times New Roman" w:eastAsia="Times New Roman" w:hint="default"/>
          <w:spacing w:val="-2"/>
        </w:rPr>
        <w:t>12,445,576</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股，并于</w:t>
      </w:r>
      <w:r>
        <w:rPr>
          <w:rFonts w:ascii="Times New Roman" w:hAnsi="Times New Roman" w:cs="Times New Roman" w:eastAsia="Times New Roman" w:hint="default"/>
        </w:rPr>
        <w:t>2007</w:t>
      </w:r>
      <w:r>
        <w:rPr/>
        <w:t>年办妥股权过户手续。</w:t>
      </w:r>
    </w:p>
    <w:p>
      <w:pPr>
        <w:pStyle w:val="BodyText"/>
        <w:spacing w:line="362" w:lineRule="auto" w:before="32"/>
        <w:ind w:right="223" w:firstLine="480"/>
        <w:jc w:val="both"/>
      </w:pPr>
      <w:r>
        <w:rPr>
          <w:spacing w:val="-1"/>
        </w:rPr>
        <w:t>（</w:t>
      </w:r>
      <w:r>
        <w:rPr>
          <w:rFonts w:ascii="Times New Roman" w:hAnsi="Times New Roman" w:cs="Times New Roman" w:eastAsia="Times New Roman" w:hint="default"/>
          <w:spacing w:val="-1"/>
        </w:rPr>
        <w:t>7</w:t>
      </w:r>
      <w:r>
        <w:rPr>
          <w:spacing w:val="-1"/>
        </w:rPr>
        <w:t>）由于深圳泰丰电子有限公司持有的本公司</w:t>
      </w:r>
      <w:r>
        <w:rPr>
          <w:rFonts w:ascii="Times New Roman" w:hAnsi="Times New Roman" w:cs="Times New Roman" w:eastAsia="Times New Roman" w:hint="default"/>
          <w:spacing w:val="-1"/>
        </w:rPr>
        <w:t>6,000,000</w:t>
      </w:r>
      <w:r>
        <w:rPr>
          <w:spacing w:val="-1"/>
        </w:rPr>
        <w:t>股法人股被广东省河源市中级人民法院公开</w:t>
      </w:r>
      <w:r>
        <w:rPr>
          <w:w w:val="100"/>
        </w:rPr>
        <w:t> </w:t>
      </w:r>
      <w:r>
        <w:rPr/>
        <w:t>拍卖。竞买人杨跃烽、郝琳、谢雯、张丽程以联合竞拍方式竞得。具体为：杨跃烽拥有</w:t>
      </w:r>
      <w:r>
        <w:rPr>
          <w:rFonts w:ascii="Times New Roman" w:hAnsi="Times New Roman" w:cs="Times New Roman" w:eastAsia="Times New Roman" w:hint="default"/>
        </w:rPr>
        <w:t>300</w:t>
      </w:r>
      <w:r>
        <w:rPr/>
        <w:t>万股、郝琳拥</w:t>
      </w:r>
      <w:r>
        <w:rPr>
          <w:spacing w:val="-28"/>
        </w:rPr>
        <w:t> </w:t>
      </w:r>
      <w:r>
        <w:rPr>
          <w:spacing w:val="-28"/>
        </w:rPr>
      </w:r>
      <w:r>
        <w:rPr/>
        <w:t>有</w:t>
      </w:r>
      <w:r>
        <w:rPr>
          <w:rFonts w:ascii="Times New Roman" w:hAnsi="Times New Roman" w:cs="Times New Roman" w:eastAsia="Times New Roman" w:hint="default"/>
        </w:rPr>
        <w:t>100</w:t>
      </w:r>
      <w:r>
        <w:rPr/>
        <w:t>万股、谢雯拥有</w:t>
      </w:r>
      <w:r>
        <w:rPr>
          <w:rFonts w:ascii="Times New Roman" w:hAnsi="Times New Roman" w:cs="Times New Roman" w:eastAsia="Times New Roman" w:hint="default"/>
        </w:rPr>
        <w:t>100</w:t>
      </w:r>
      <w:r>
        <w:rPr/>
        <w:t>万股、张丽程拥有</w:t>
      </w:r>
      <w:r>
        <w:rPr>
          <w:rFonts w:ascii="Times New Roman" w:hAnsi="Times New Roman" w:cs="Times New Roman" w:eastAsia="Times New Roman" w:hint="default"/>
        </w:rPr>
        <w:t>100</w:t>
      </w:r>
      <w:r>
        <w:rPr/>
        <w:t>万股，并于</w:t>
      </w:r>
      <w:r>
        <w:rPr>
          <w:rFonts w:ascii="Times New Roman" w:hAnsi="Times New Roman" w:cs="Times New Roman" w:eastAsia="Times New Roman" w:hint="default"/>
        </w:rPr>
        <w:t>2008</w:t>
      </w:r>
      <w:r>
        <w:rPr/>
        <w:t>年办妥股权过户手续。</w:t>
      </w:r>
    </w:p>
    <w:p>
      <w:pPr>
        <w:pStyle w:val="BodyText"/>
        <w:spacing w:line="360" w:lineRule="auto" w:before="32"/>
        <w:ind w:right="223" w:firstLine="480"/>
        <w:jc w:val="both"/>
      </w:pPr>
      <w:r>
        <w:rPr>
          <w:spacing w:val="-3"/>
        </w:rPr>
        <w:t>（</w:t>
      </w: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15</w:t>
      </w:r>
      <w:r>
        <w:rPr>
          <w:spacing w:val="-3"/>
        </w:rPr>
        <w:t>日，深圳泰丰电子有限公司持有的公司</w:t>
      </w:r>
      <w:r>
        <w:rPr>
          <w:rFonts w:ascii="Times New Roman" w:hAnsi="Times New Roman" w:cs="Times New Roman" w:eastAsia="Times New Roman" w:hint="default"/>
          <w:spacing w:val="-3"/>
        </w:rPr>
        <w:t>3050</w:t>
      </w:r>
      <w:r>
        <w:rPr>
          <w:spacing w:val="-3"/>
        </w:rPr>
        <w:t>万股股权被北京市第一中级人民法院公</w:t>
      </w:r>
      <w:r>
        <w:rPr>
          <w:w w:val="100"/>
        </w:rPr>
        <w:t> </w:t>
      </w:r>
      <w:r>
        <w:rPr/>
        <w:t>开拍卖，由重庆润江基础设施投资有限公司竞得，并已办妥股权过户手续。</w:t>
      </w:r>
    </w:p>
    <w:p>
      <w:pPr>
        <w:pStyle w:val="BodyText"/>
        <w:spacing w:line="364" w:lineRule="auto" w:before="61"/>
        <w:ind w:left="633" w:right="0"/>
        <w:jc w:val="left"/>
      </w:pPr>
      <w:r>
        <w:rPr>
          <w:rFonts w:ascii="Times New Roman" w:hAnsi="Times New Roman" w:cs="Times New Roman" w:eastAsia="Times New Roman" w:hint="default"/>
        </w:rPr>
        <w:t>2</w:t>
      </w:r>
      <w:r>
        <w:rPr/>
        <w:t>、股权分置改革情况</w:t>
      </w:r>
      <w:r>
        <w:rPr>
          <w:spacing w:val="-99"/>
        </w:rPr>
        <w:t> </w:t>
      </w:r>
      <w:r>
        <w:rPr>
          <w:spacing w:val="-99"/>
        </w:rPr>
      </w:r>
      <w:r>
        <w:rPr>
          <w:spacing w:val="-1"/>
        </w:rPr>
        <w:t>本公司于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日召开股权分置改革相关股东会议，审议通过《深圳市深信泰丰（集团）股份</w:t>
      </w:r>
    </w:p>
    <w:p>
      <w:pPr>
        <w:pStyle w:val="BodyText"/>
        <w:spacing w:line="364" w:lineRule="auto" w:before="25"/>
        <w:ind w:right="0"/>
        <w:jc w:val="left"/>
      </w:pPr>
      <w:r>
        <w:rPr/>
        <w:t>有限公司股权分置改革方案》。根据股权分置改革方案，公司申请增加注册资本人民币</w:t>
      </w:r>
      <w:r>
        <w:rPr>
          <w:rFonts w:ascii="Times New Roman" w:hAnsi="Times New Roman" w:cs="Times New Roman" w:eastAsia="Times New Roman" w:hint="default"/>
        </w:rPr>
        <w:t>46,834,131.00</w:t>
      </w:r>
      <w:r>
        <w:rPr/>
        <w:t>元，</w:t>
      </w:r>
      <w:r>
        <w:rPr>
          <w:spacing w:val="-68"/>
        </w:rPr>
        <w:t> </w:t>
      </w:r>
      <w:r>
        <w:rPr/>
        <w:t>以截止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日的可流通股本</w:t>
      </w:r>
      <w:r>
        <w:rPr>
          <w:rFonts w:ascii="Times New Roman" w:hAnsi="Times New Roman" w:cs="Times New Roman" w:eastAsia="Times New Roman" w:hint="default"/>
        </w:rPr>
        <w:t>84,658,866</w:t>
      </w:r>
      <w:r>
        <w:rPr/>
        <w:t>股为基数，用资本公积金向截止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日在册的全体</w:t>
      </w:r>
      <w:r>
        <w:rPr>
          <w:spacing w:val="-29"/>
        </w:rPr>
        <w:t> </w:t>
      </w:r>
      <w:r>
        <w:rPr>
          <w:spacing w:val="-29"/>
        </w:rPr>
      </w:r>
      <w:r>
        <w:rPr>
          <w:spacing w:val="-3"/>
        </w:rPr>
        <w:t>流通股股东转增股本，流通股股东获得每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5.5321</w:t>
      </w:r>
      <w:r>
        <w:rPr>
          <w:spacing w:val="-3"/>
        </w:rPr>
        <w:t>股的股份，即</w:t>
      </w:r>
      <w:r>
        <w:rPr>
          <w:rFonts w:ascii="Times New Roman" w:hAnsi="Times New Roman" w:cs="Times New Roman" w:eastAsia="Times New Roman" w:hint="default"/>
          <w:spacing w:val="-3"/>
        </w:rPr>
        <w:t>46,834,131</w:t>
      </w:r>
      <w:r>
        <w:rPr>
          <w:spacing w:val="-3"/>
        </w:rPr>
        <w:t>股，面值每股人民币</w:t>
      </w:r>
      <w:r>
        <w:rPr>
          <w:rFonts w:ascii="Times New Roman" w:hAnsi="Times New Roman" w:cs="Times New Roman" w:eastAsia="Times New Roman" w:hint="default"/>
          <w:spacing w:val="-3"/>
        </w:rPr>
        <w:t>1</w:t>
      </w:r>
      <w:r>
        <w:rPr>
          <w:spacing w:val="-3"/>
        </w:rPr>
        <w:t>元；</w:t>
      </w:r>
      <w:r>
        <w:rPr>
          <w:spacing w:val="-7"/>
        </w:rPr>
        <w:t> </w:t>
      </w:r>
      <w:r>
        <w:rPr>
          <w:spacing w:val="4"/>
        </w:rPr>
        <w:t>上述对价水平换算为非流通股股东送股方案，相当于流通股股东每</w:t>
      </w:r>
      <w:r>
        <w:rPr>
          <w:rFonts w:ascii="Times New Roman" w:hAnsi="Times New Roman" w:cs="Times New Roman" w:eastAsia="Times New Roman" w:hint="default"/>
          <w:spacing w:val="4"/>
        </w:rPr>
        <w:t>10</w:t>
      </w:r>
      <w:r>
        <w:rPr>
          <w:spacing w:val="4"/>
        </w:rPr>
        <w:t>股获送</w:t>
      </w:r>
      <w:r>
        <w:rPr>
          <w:rFonts w:ascii="Times New Roman" w:hAnsi="Times New Roman" w:cs="Times New Roman" w:eastAsia="Times New Roman" w:hint="default"/>
          <w:spacing w:val="4"/>
        </w:rPr>
        <w:t>3.5</w:t>
      </w:r>
      <w:r>
        <w:rPr>
          <w:spacing w:val="4"/>
        </w:rPr>
        <w:t>股，公司总股本增加至</w:t>
      </w:r>
      <w:r>
        <w:rPr>
          <w:spacing w:val="31"/>
        </w:rPr>
        <w:t> </w:t>
      </w:r>
      <w:r>
        <w:rPr>
          <w:spacing w:val="31"/>
        </w:rPr>
      </w:r>
      <w:r>
        <w:rPr>
          <w:rFonts w:ascii="Times New Roman" w:hAnsi="Times New Roman" w:cs="Times New Roman" w:eastAsia="Times New Roman" w:hint="default"/>
          <w:spacing w:val="2"/>
        </w:rPr>
        <w:t>357,973,531</w:t>
      </w:r>
      <w:r>
        <w:rPr>
          <w:spacing w:val="2"/>
        </w:rPr>
        <w:t>股。转增完成后，公司的注册资本增加人民币</w:t>
      </w:r>
      <w:r>
        <w:rPr>
          <w:rFonts w:ascii="Times New Roman" w:hAnsi="Times New Roman" w:cs="Times New Roman" w:eastAsia="Times New Roman" w:hint="default"/>
          <w:spacing w:val="2"/>
        </w:rPr>
        <w:t>46,834,131.00</w:t>
      </w:r>
      <w:r>
        <w:rPr>
          <w:spacing w:val="2"/>
        </w:rPr>
        <w:t>元，变更后的注册资本为人民币</w:t>
      </w:r>
      <w:r>
        <w:rPr/>
      </w:r>
    </w:p>
    <w:p>
      <w:pPr>
        <w:pStyle w:val="BodyText"/>
        <w:spacing w:line="240" w:lineRule="auto" w:before="30"/>
        <w:ind w:right="0"/>
        <w:jc w:val="left"/>
      </w:pPr>
      <w:r>
        <w:rPr>
          <w:rFonts w:ascii="Times New Roman" w:hAnsi="Times New Roman" w:cs="Times New Roman" w:eastAsia="Times New Roman" w:hint="default"/>
        </w:rPr>
        <w:t>357,973,531.00</w:t>
      </w:r>
      <w:r>
        <w:rPr/>
        <w:t>元。</w:t>
      </w:r>
    </w:p>
    <w:p>
      <w:pPr>
        <w:pStyle w:val="BodyText"/>
        <w:spacing w:line="240" w:lineRule="auto" w:before="146"/>
        <w:ind w:left="633" w:right="0"/>
        <w:jc w:val="left"/>
      </w:pPr>
      <w:r>
        <w:rPr>
          <w:rFonts w:ascii="Times New Roman" w:hAnsi="Times New Roman" w:cs="Times New Roman" w:eastAsia="Times New Roman" w:hint="default"/>
        </w:rPr>
        <w:t>3</w:t>
      </w:r>
      <w:r>
        <w:rPr/>
        <w:t>、公司重整事项中股东权益调整事项：</w:t>
      </w:r>
    </w:p>
    <w:p>
      <w:pPr>
        <w:pStyle w:val="BodyText"/>
        <w:spacing w:line="367" w:lineRule="auto" w:before="151"/>
        <w:ind w:right="222" w:firstLine="480"/>
        <w:jc w:val="both"/>
      </w:pPr>
      <w:r>
        <w:rPr>
          <w:rFonts w:ascii="Times New Roman" w:hAnsi="Times New Roman" w:cs="Times New Roman" w:eastAsia="Times New Roman" w:hint="default"/>
          <w:spacing w:val="-3"/>
        </w:rPr>
        <w:t>2010</w:t>
      </w:r>
      <w:r>
        <w:rPr>
          <w:spacing w:val="-3"/>
        </w:rPr>
        <w:t>年，根据深圳市中级人民法院批准的重整计划，公司全体限售流通股股东，即中国希格玛有限公</w:t>
      </w:r>
      <w:r>
        <w:rPr>
          <w:w w:val="100"/>
        </w:rPr>
        <w:t> </w:t>
      </w:r>
      <w:r>
        <w:rPr>
          <w:spacing w:val="-2"/>
        </w:rPr>
        <w:t>司、深圳市宝安区投资管理公司、重庆润江基础设施投资有限公司、深圳国际信托投资有限责任公司各无</w:t>
      </w:r>
      <w:r>
        <w:rPr>
          <w:spacing w:val="-33"/>
        </w:rPr>
        <w:t> </w:t>
      </w:r>
      <w:r>
        <w:rPr>
          <w:spacing w:val="-33"/>
        </w:rPr>
      </w:r>
      <w:r>
        <w:rPr>
          <w:spacing w:val="-3"/>
        </w:rPr>
        <w:t>偿让渡所持有的限售流通股的</w:t>
      </w:r>
      <w:r>
        <w:rPr>
          <w:rFonts w:ascii="Times New Roman" w:hAnsi="Times New Roman" w:cs="Times New Roman" w:eastAsia="Times New Roman" w:hint="default"/>
          <w:spacing w:val="-3"/>
        </w:rPr>
        <w:t>15%</w:t>
      </w:r>
      <w:r>
        <w:rPr>
          <w:spacing w:val="-3"/>
        </w:rPr>
        <w:t>，合计让渡限售流通股</w:t>
      </w:r>
      <w:r>
        <w:rPr>
          <w:rFonts w:ascii="Times New Roman" w:hAnsi="Times New Roman" w:cs="Times New Roman" w:eastAsia="Times New Roman" w:hint="default"/>
          <w:spacing w:val="-3"/>
        </w:rPr>
        <w:t>25,415,516</w:t>
      </w:r>
      <w:r>
        <w:rPr>
          <w:spacing w:val="-3"/>
        </w:rPr>
        <w:t>股；全体流通股股东各无偿让渡所持有</w:t>
      </w:r>
      <w:r>
        <w:rPr>
          <w:spacing w:val="-39"/>
        </w:rPr>
        <w:t> </w:t>
      </w:r>
      <w:r>
        <w:rPr>
          <w:spacing w:val="-39"/>
        </w:rPr>
      </w:r>
      <w:r>
        <w:rPr>
          <w:spacing w:val="2"/>
        </w:rPr>
        <w:t>的流通股的</w:t>
      </w:r>
      <w:r>
        <w:rPr>
          <w:rFonts w:ascii="Times New Roman" w:hAnsi="Times New Roman" w:cs="Times New Roman" w:eastAsia="Times New Roman" w:hint="default"/>
          <w:spacing w:val="2"/>
        </w:rPr>
        <w:t>10%</w:t>
      </w:r>
      <w:r>
        <w:rPr>
          <w:spacing w:val="2"/>
        </w:rPr>
        <w:t>，合计让渡流通股</w:t>
      </w:r>
      <w:r>
        <w:rPr>
          <w:rFonts w:ascii="Times New Roman" w:hAnsi="Times New Roman" w:cs="Times New Roman" w:eastAsia="Times New Roman" w:hint="default"/>
          <w:spacing w:val="2"/>
        </w:rPr>
        <w:t>18,849,303</w:t>
      </w:r>
      <w:r>
        <w:rPr>
          <w:spacing w:val="2"/>
        </w:rPr>
        <w:t>股。以上共计让渡公司股票</w:t>
      </w:r>
      <w:r>
        <w:rPr>
          <w:rFonts w:ascii="Times New Roman" w:hAnsi="Times New Roman" w:cs="Times New Roman" w:eastAsia="Times New Roman" w:hint="default"/>
          <w:spacing w:val="2"/>
        </w:rPr>
        <w:t>44,264,819</w:t>
      </w:r>
      <w:r>
        <w:rPr>
          <w:spacing w:val="2"/>
        </w:rPr>
        <w:t>股，占公司总股本的</w:t>
      </w:r>
      <w:r>
        <w:rPr>
          <w:spacing w:val="-14"/>
        </w:rPr>
        <w:t> </w:t>
      </w:r>
      <w:r>
        <w:rPr>
          <w:rFonts w:ascii="Times New Roman" w:hAnsi="Times New Roman" w:cs="Times New Roman" w:eastAsia="Times New Roman" w:hint="default"/>
          <w:spacing w:val="-2"/>
        </w:rPr>
        <w:t>12.37%</w:t>
      </w:r>
      <w:r>
        <w:rPr>
          <w:spacing w:val="-2"/>
        </w:rPr>
        <w:t>。该等股票用于支付公司重整费用和共益债务、清偿普通债权、保全主要子公司经营性资产。</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14"/>
        </w:rPr>
        <w:t> </w:t>
      </w:r>
      <w:r>
        <w:rPr/>
        <w:t>年度重整完后，本公司注册资本仍为人民币</w:t>
      </w:r>
      <w:r>
        <w:rPr>
          <w:rFonts w:ascii="Times New Roman" w:hAnsi="Times New Roman" w:cs="Times New Roman" w:eastAsia="Times New Roman" w:hint="default"/>
        </w:rPr>
        <w:t>357,973,531.00</w:t>
      </w:r>
      <w:r>
        <w:rPr/>
        <w:t>元。</w:t>
      </w:r>
    </w:p>
    <w:p>
      <w:pPr>
        <w:pStyle w:val="BodyText"/>
        <w:spacing w:line="240" w:lineRule="auto" w:before="27"/>
        <w:ind w:left="993"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357,973,531</w:t>
      </w:r>
      <w:r>
        <w:rPr/>
        <w:t>股，股票面值为每股人民币</w:t>
      </w:r>
      <w:r>
        <w:rPr>
          <w:rFonts w:ascii="Times New Roman" w:hAnsi="Times New Roman" w:cs="Times New Roman" w:eastAsia="Times New Roman" w:hint="default"/>
        </w:rPr>
        <w:t>1</w:t>
      </w:r>
      <w:r>
        <w:rPr/>
        <w:t>元。</w:t>
      </w:r>
    </w:p>
    <w:p>
      <w:pPr>
        <w:spacing w:after="0" w:line="240" w:lineRule="auto"/>
        <w:jc w:val="left"/>
        <w:sectPr>
          <w:pgSz w:w="11910" w:h="16840"/>
          <w:pgMar w:header="741" w:footer="979" w:top="1060" w:bottom="1160" w:left="980" w:right="9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64" w:lineRule="auto" w:before="36"/>
        <w:ind w:left="633" w:right="0"/>
        <w:jc w:val="left"/>
      </w:pPr>
      <w:r>
        <w:rPr/>
        <w:t>本公司</w:t>
      </w:r>
      <w:r>
        <w:rPr>
          <w:rFonts w:ascii="Times New Roman" w:hAnsi="Times New Roman" w:cs="Times New Roman" w:eastAsia="Times New Roman" w:hint="default"/>
        </w:rPr>
        <w:t>2015</w:t>
      </w:r>
      <w:r>
        <w:rPr/>
        <w:t>年度纳入合并范围的子公司共</w:t>
      </w:r>
      <w:r>
        <w:rPr>
          <w:rFonts w:ascii="Times New Roman" w:hAnsi="Times New Roman" w:cs="Times New Roman" w:eastAsia="Times New Roman" w:hint="default"/>
        </w:rPr>
        <w:t>8</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r>
        <w:rPr>
          <w:w w:val="100"/>
        </w:rPr>
        <w:t> </w:t>
      </w:r>
      <w:r>
        <w:rPr/>
        <w:t>本公司及子公司（统称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）主要经营范围为：（</w:t>
      </w:r>
      <w:r>
        <w:rPr>
          <w:rFonts w:ascii="Times New Roman" w:hAnsi="Times New Roman" w:cs="Times New Roman" w:eastAsia="Times New Roman" w:hint="default"/>
        </w:rPr>
        <w:t>1</w:t>
      </w:r>
      <w:r>
        <w:rPr/>
        <w:t>）通讯服务运营、数据与语音服务、通讯设</w:t>
      </w:r>
    </w:p>
    <w:p>
      <w:pPr>
        <w:pStyle w:val="BodyText"/>
        <w:spacing w:line="364" w:lineRule="auto" w:before="25"/>
        <w:ind w:right="0"/>
        <w:jc w:val="left"/>
      </w:pPr>
      <w:r>
        <w:rPr/>
        <w:t>备的研制、开发、生产与销售、软件开发；（</w:t>
      </w:r>
      <w:r>
        <w:rPr>
          <w:rFonts w:ascii="Times New Roman" w:hAnsi="Times New Roman" w:cs="Times New Roman" w:eastAsia="Times New Roman" w:hint="default"/>
        </w:rPr>
        <w:t>2</w:t>
      </w:r>
      <w:r>
        <w:rPr/>
        <w:t>）经营国内商业、物资供销业；（</w:t>
      </w:r>
      <w:r>
        <w:rPr>
          <w:rFonts w:ascii="Times New Roman" w:hAnsi="Times New Roman" w:cs="Times New Roman" w:eastAsia="Times New Roman" w:hint="default"/>
        </w:rPr>
        <w:t>3</w:t>
      </w:r>
      <w:r>
        <w:rPr/>
        <w:t>）进出口贸易；（</w:t>
      </w:r>
      <w:r>
        <w:rPr>
          <w:rFonts w:ascii="Times New Roman" w:hAnsi="Times New Roman" w:cs="Times New Roman" w:eastAsia="Times New Roman" w:hint="default"/>
        </w:rPr>
        <w:t>4</w:t>
      </w:r>
      <w:r>
        <w:rPr/>
        <w:t>）</w:t>
      </w:r>
      <w:r>
        <w:rPr>
          <w:spacing w:val="-27"/>
        </w:rPr>
        <w:t> </w:t>
      </w:r>
      <w:r>
        <w:rPr/>
        <w:t>食用动物养殖及相应的肉类加工、饲料生产和销售；（</w:t>
      </w:r>
      <w:r>
        <w:rPr>
          <w:rFonts w:ascii="Times New Roman" w:hAnsi="Times New Roman" w:cs="Times New Roman" w:eastAsia="Times New Roman" w:hint="default"/>
        </w:rPr>
        <w:t>5</w:t>
      </w:r>
      <w:r>
        <w:rPr/>
        <w:t>）果树种植；（</w:t>
      </w:r>
      <w:r>
        <w:rPr>
          <w:rFonts w:ascii="Times New Roman" w:hAnsi="Times New Roman" w:cs="Times New Roman" w:eastAsia="Times New Roman" w:hint="default"/>
        </w:rPr>
        <w:t>6</w:t>
      </w:r>
      <w:r>
        <w:rPr/>
        <w:t>）房地产投资与开发。</w:t>
      </w:r>
    </w:p>
    <w:p>
      <w:pPr>
        <w:pStyle w:val="BodyText"/>
        <w:spacing w:line="360" w:lineRule="auto" w:before="30"/>
        <w:ind w:right="0" w:firstLine="480"/>
        <w:jc w:val="left"/>
      </w:pPr>
      <w:r>
        <w:rPr/>
        <w:t>本财务报表业经本公司董事会于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日决议批准报出。</w:t>
      </w:r>
      <w:r>
        <w:rPr>
          <w:w w:val="100"/>
        </w:rPr>
        <w:t> </w:t>
      </w:r>
      <w:r>
        <w:rPr>
          <w:spacing w:val="-2"/>
        </w:rPr>
        <w:t>本公司</w:t>
      </w:r>
      <w:r>
        <w:rPr>
          <w:rFonts w:ascii="Times New Roman" w:hAnsi="Times New Roman" w:cs="Times New Roman" w:eastAsia="Times New Roman" w:hint="default"/>
          <w:spacing w:val="-2"/>
        </w:rPr>
        <w:t>2015</w:t>
      </w:r>
      <w:r>
        <w:rPr>
          <w:spacing w:val="-2"/>
        </w:rPr>
        <w:t>年度纳入合并范围的子公司共</w:t>
      </w:r>
      <w:r>
        <w:rPr>
          <w:rFonts w:ascii="Times New Roman" w:hAnsi="Times New Roman" w:cs="Times New Roman" w:eastAsia="Times New Roman" w:hint="default"/>
          <w:spacing w:val="-2"/>
        </w:rPr>
        <w:t>8</w:t>
      </w:r>
      <w:r>
        <w:rPr>
          <w:spacing w:val="-2"/>
        </w:rPr>
        <w:t>户，与上年度一致，详见本附注九</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pStyle w:val="BodyText"/>
        <w:spacing w:line="369" w:lineRule="auto" w:before="156"/>
        <w:ind w:right="0" w:firstLine="480"/>
        <w:jc w:val="left"/>
      </w:pPr>
      <w:r>
        <w:rPr>
          <w:spacing w:val="-4"/>
        </w:rPr>
        <w:t>本公司财务报表以持续经营假设为基础，根据实际发生的交易和事项，按照财政部发布的《企业会计</w:t>
      </w:r>
      <w:r>
        <w:rPr>
          <w:w w:val="100"/>
        </w:rPr>
        <w:t> </w:t>
      </w:r>
      <w:r>
        <w:rPr/>
        <w:t>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w:t>
      </w:r>
      <w:r>
        <w:rPr>
          <w:spacing w:val="-30"/>
        </w:rPr>
        <w:t> </w:t>
      </w:r>
      <w:r>
        <w:rPr>
          <w:spacing w:val="-30"/>
        </w:rPr>
      </w:r>
      <w:r>
        <w:rPr/>
        <w:t>订的</w:t>
      </w:r>
      <w:r>
        <w:rPr>
          <w:rFonts w:ascii="Times New Roman" w:hAnsi="Times New Roman" w:cs="Times New Roman" w:eastAsia="Times New Roman" w:hint="default"/>
        </w:rPr>
        <w:t>41</w:t>
      </w:r>
      <w:r>
        <w:rPr/>
        <w:t>项具体会计准则、企业会计准则应用指南、企业会计准则解释及其他相关规定（以下合称</w:t>
      </w:r>
      <w:r>
        <w:rPr>
          <w:rFonts w:ascii="Times New Roman" w:hAnsi="Times New Roman" w:cs="Times New Roman" w:eastAsia="Times New Roman" w:hint="default"/>
        </w:rPr>
        <w:t>“</w:t>
      </w:r>
      <w:r>
        <w:rPr/>
        <w:t>企业会</w:t>
      </w:r>
      <w:r>
        <w:rPr>
          <w:spacing w:val="-16"/>
        </w:rPr>
        <w:t> </w:t>
      </w:r>
      <w:r>
        <w:rPr/>
        <w:t>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w:t>
      </w:r>
      <w:r>
        <w:rPr>
          <w:spacing w:val="-18"/>
        </w:rPr>
        <w:t> </w:t>
      </w:r>
      <w:r>
        <w:rPr>
          <w:spacing w:val="-18"/>
        </w:rPr>
      </w:r>
      <w:r>
        <w:rPr/>
        <w:t>的一般规定》（</w:t>
      </w:r>
      <w:r>
        <w:rPr>
          <w:rFonts w:ascii="Times New Roman" w:hAnsi="Times New Roman" w:cs="Times New Roman" w:eastAsia="Times New Roman" w:hint="default"/>
        </w:rPr>
        <w:t>2014</w:t>
      </w:r>
      <w:r>
        <w:rPr/>
        <w:t>年修订）的披露规定编制。</w:t>
      </w:r>
      <w:r>
        <w:rPr>
          <w:spacing w:val="-100"/>
        </w:rPr>
        <w:t> </w:t>
      </w:r>
      <w:r>
        <w:rPr>
          <w:spacing w:val="-100"/>
        </w:rPr>
      </w:r>
      <w:r>
        <w:rPr>
          <w:spacing w:val="-2"/>
        </w:rPr>
        <w:t>根据企业会计准则的相关规定，本公司会计核算以权责发生制为基础。除某些金融工具外，本财务报表均</w:t>
      </w:r>
      <w:r>
        <w:rPr>
          <w:spacing w:val="-33"/>
        </w:rPr>
        <w:t> </w:t>
      </w:r>
      <w:r>
        <w:rPr>
          <w:spacing w:val="-33"/>
        </w:rPr>
      </w:r>
      <w:r>
        <w:rPr/>
        <w:t>以历史成本为计量基础。资产如果发生减值，则按照相关规定计提相应的减值准备。</w:t>
      </w:r>
    </w:p>
    <w:p>
      <w:pPr>
        <w:spacing w:line="240" w:lineRule="auto" w:before="0"/>
        <w:rPr>
          <w:rFonts w:ascii="宋体" w:hAnsi="宋体" w:cs="宋体" w:eastAsia="宋体" w:hint="default"/>
          <w:sz w:val="18"/>
          <w:szCs w:val="18"/>
        </w:rPr>
      </w:pPr>
    </w:p>
    <w:p>
      <w:pPr>
        <w:pStyle w:val="Heading4"/>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r>
        <w:rPr/>
        <w:t>五、重要会计政策及会计估计</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p>
    <w:p>
      <w:pPr>
        <w:spacing w:line="240" w:lineRule="auto" w:before="3"/>
        <w:rPr>
          <w:rFonts w:ascii="宋体" w:hAnsi="宋体" w:cs="宋体" w:eastAsia="宋体" w:hint="default"/>
          <w:sz w:val="20"/>
          <w:szCs w:val="20"/>
        </w:rPr>
      </w:pPr>
    </w:p>
    <w:p>
      <w:pPr>
        <w:spacing w:line="730" w:lineRule="atLeast" w:before="0"/>
        <w:ind w:left="575" w:right="0" w:hanging="4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spacing w:val="-101"/>
          <w:sz w:val="21"/>
          <w:szCs w:val="21"/>
        </w:rPr>
        <w:t> </w:t>
      </w:r>
      <w:r>
        <w:rPr>
          <w:rFonts w:ascii="宋体" w:hAnsi="宋体" w:cs="宋体" w:eastAsia="宋体" w:hint="default"/>
          <w:spacing w:val="-2"/>
          <w:sz w:val="21"/>
          <w:szCs w:val="21"/>
        </w:rPr>
        <w:t>本公司编制的财务报表符合企业会计准则的要求，真实、完整地反映了本公司</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日的财务</w:t>
      </w:r>
    </w:p>
    <w:p>
      <w:pPr>
        <w:pStyle w:val="BodyText"/>
        <w:spacing w:line="362" w:lineRule="auto" w:before="151"/>
        <w:ind w:right="123"/>
        <w:jc w:val="both"/>
      </w:pPr>
      <w:r>
        <w:rPr>
          <w:spacing w:val="-2"/>
        </w:rPr>
        <w:t>状况及</w:t>
      </w:r>
      <w:r>
        <w:rPr>
          <w:rFonts w:ascii="Times New Roman" w:hAnsi="Times New Roman" w:cs="Times New Roman" w:eastAsia="Times New Roman" w:hint="default"/>
          <w:spacing w:val="-2"/>
        </w:rPr>
        <w:t>2015</w:t>
      </w:r>
      <w:r>
        <w:rPr>
          <w:spacing w:val="-2"/>
        </w:rPr>
        <w:t>年度的经营成果和现金流量等有关信息。此外，本公司的财务报表在所有重大方面符合中国证</w:t>
      </w:r>
      <w:r>
        <w:rPr>
          <w:spacing w:val="-26"/>
        </w:rPr>
        <w:t> </w:t>
      </w:r>
      <w:r>
        <w:rPr>
          <w:spacing w:val="-26"/>
        </w:rPr>
      </w:r>
      <w:r>
        <w:rPr>
          <w:spacing w:val="-2"/>
        </w:rPr>
        <w:t>券监督管理委员会</w:t>
      </w:r>
      <w:r>
        <w:rPr>
          <w:rFonts w:ascii="Times New Roman" w:hAnsi="Times New Roman" w:cs="Times New Roman" w:eastAsia="Times New Roman" w:hint="default"/>
          <w:spacing w:val="-2"/>
        </w:rPr>
        <w:t>2014</w:t>
      </w:r>
      <w:r>
        <w:rPr>
          <w:spacing w:val="-2"/>
        </w:rPr>
        <w:t>年修订的《公开发行证券的公司信息披露编报规则第</w:t>
      </w:r>
      <w:r>
        <w:rPr>
          <w:rFonts w:ascii="Times New Roman" w:hAnsi="Times New Roman" w:cs="Times New Roman" w:eastAsia="Times New Roman" w:hint="default"/>
          <w:spacing w:val="-2"/>
        </w:rPr>
        <w:t>15</w:t>
      </w:r>
      <w:r>
        <w:rPr>
          <w:spacing w:val="-2"/>
        </w:rPr>
        <w:t>号－财务报告的一般规定》</w:t>
      </w:r>
      <w:r>
        <w:rPr>
          <w:spacing w:val="-5"/>
        </w:rPr>
        <w:t> </w:t>
      </w:r>
      <w:r>
        <w:rPr>
          <w:spacing w:val="-5"/>
        </w:rPr>
      </w:r>
      <w:r>
        <w:rPr/>
        <w:t>有关财务报表及其附注的披露要求。</w:t>
      </w:r>
    </w:p>
    <w:p>
      <w:pPr>
        <w:spacing w:after="0" w:line="362" w:lineRule="auto"/>
        <w:jc w:val="both"/>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pStyle w:val="BodyText"/>
        <w:spacing w:line="381" w:lineRule="auto" w:before="151"/>
        <w:ind w:right="145" w:firstLine="422"/>
        <w:jc w:val="both"/>
      </w:pPr>
      <w:r>
        <w:rPr>
          <w:spacing w:val="-2"/>
        </w:rPr>
        <w:t>本公司的会计期间分为年度和中期，会计中期指短于一个完整的会计年度的报告期间。本公司会计年</w:t>
      </w:r>
      <w:r>
        <w:rPr>
          <w:w w:val="100"/>
        </w:rPr>
        <w:t> </w:t>
      </w:r>
      <w:r>
        <w:rPr/>
        <w:t>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pStyle w:val="Heading4"/>
        <w:spacing w:line="240" w:lineRule="auto" w:before="196"/>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pStyle w:val="BodyText"/>
        <w:spacing w:line="364" w:lineRule="auto" w:before="151"/>
        <w:ind w:right="147" w:firstLine="480"/>
        <w:jc w:val="both"/>
      </w:pPr>
      <w:r>
        <w:rPr>
          <w:spacing w:val="-3"/>
        </w:rPr>
        <w:t>正常营业周期是指本公司从购买用于加工的资产起至实现现金或现金等价物的期间。本公司以</w:t>
      </w:r>
      <w:r>
        <w:rPr>
          <w:rFonts w:ascii="Times New Roman" w:hAnsi="Times New Roman" w:cs="Times New Roman" w:eastAsia="Times New Roman" w:hint="default"/>
          <w:spacing w:val="-3"/>
        </w:rPr>
        <w:t>12</w:t>
      </w:r>
      <w:r>
        <w:rPr>
          <w:spacing w:val="-3"/>
        </w:rPr>
        <w:t>个月</w:t>
      </w:r>
      <w:r>
        <w:rPr>
          <w:w w:val="100"/>
        </w:rPr>
        <w:t> </w:t>
      </w:r>
      <w:r>
        <w:rPr/>
        <w:t>作为一个营业周期，并以其作为资产和负债的流动性划分标准。</w:t>
      </w: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1"/>
        <w:ind w:right="148" w:firstLine="480"/>
        <w:jc w:val="both"/>
      </w:pPr>
      <w:r>
        <w:rPr>
          <w:spacing w:val="-4"/>
        </w:rPr>
        <w:t>人民币为本公司及境内子公司经营所处的主要经济环境中的货币，本公司及境内子公司以人民币为记</w:t>
      </w:r>
      <w:r>
        <w:rPr>
          <w:w w:val="100"/>
        </w:rPr>
        <w:t> </w:t>
      </w:r>
      <w:r>
        <w:rPr/>
        <w:t>账本位币。本公司编制本财务报表时所采用的货币为人民币。</w:t>
      </w:r>
    </w:p>
    <w:p>
      <w:pPr>
        <w:spacing w:line="240" w:lineRule="auto" w:before="7"/>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1" w:lineRule="auto" w:before="156"/>
        <w:ind w:right="150" w:firstLine="480"/>
        <w:jc w:val="both"/>
      </w:pPr>
      <w:r>
        <w:rPr>
          <w:spacing w:val="-4"/>
        </w:rPr>
        <w:t>企业合并，是指将两个或两个以上单独的企业合并形成一个报告主体的交易或事项。企业合并分为同</w:t>
      </w:r>
      <w:r>
        <w:rPr>
          <w:w w:val="100"/>
        </w:rPr>
        <w:t> </w:t>
      </w:r>
      <w:r>
        <w:rPr/>
        <w:t>一控制下企业合并和非同一控制下企业合并。</w:t>
      </w:r>
    </w:p>
    <w:p>
      <w:pPr>
        <w:pStyle w:val="BodyText"/>
        <w:spacing w:line="364" w:lineRule="auto" w:before="43"/>
        <w:ind w:left="633" w:right="0"/>
        <w:jc w:val="left"/>
      </w:pPr>
      <w:r>
        <w:rPr/>
        <w:t>（</w:t>
      </w:r>
      <w:r>
        <w:rPr>
          <w:rFonts w:ascii="Times New Roman" w:hAnsi="Times New Roman" w:cs="Times New Roman" w:eastAsia="Times New Roman" w:hint="default"/>
        </w:rPr>
        <w:t>1</w:t>
      </w:r>
      <w:r>
        <w:rPr/>
        <w:t>）同一控制下企业合并</w:t>
      </w:r>
      <w:r>
        <w:rPr>
          <w:spacing w:val="-102"/>
        </w:rPr>
        <w:t> </w:t>
      </w:r>
      <w:r>
        <w:rPr>
          <w:spacing w:val="-102"/>
        </w:rPr>
      </w:r>
      <w:r>
        <w:rPr>
          <w:spacing w:val="-4"/>
        </w:rPr>
        <w:t>参与合并的企业在合并前后均受同一方或相同的多方最终控制，且该控制并非暂时性的，为同一控制</w:t>
      </w:r>
    </w:p>
    <w:p>
      <w:pPr>
        <w:pStyle w:val="BodyText"/>
        <w:spacing w:line="386" w:lineRule="auto" w:before="52"/>
        <w:ind w:right="0"/>
        <w:jc w:val="left"/>
      </w:pPr>
      <w:r>
        <w:rPr>
          <w:spacing w:val="-2"/>
        </w:rPr>
        <w:t>下的企业合并。同一控制下的企业合并，在合并日取得对其他参与合并企业控制权的一方为合并方，参与</w:t>
      </w:r>
      <w:r>
        <w:rPr>
          <w:spacing w:val="-33"/>
        </w:rPr>
        <w:t> </w:t>
      </w:r>
      <w:r>
        <w:rPr>
          <w:spacing w:val="-33"/>
        </w:rPr>
      </w:r>
      <w:r>
        <w:rPr/>
        <w:t>合并的其他企业为被合并方。合并日，是指合并方实际取得对被合并方控制权的日期。</w:t>
      </w:r>
    </w:p>
    <w:p>
      <w:pPr>
        <w:pStyle w:val="BodyText"/>
        <w:spacing w:line="384" w:lineRule="auto" w:before="38"/>
        <w:ind w:right="146" w:firstLine="480"/>
        <w:jc w:val="both"/>
      </w:pPr>
      <w:r>
        <w:rPr>
          <w:spacing w:val="-4"/>
        </w:rPr>
        <w:t>合并方取得的资产和负债均按合并日在被合并方的账面价值计量。合并方取得的净资产账面价值与支</w:t>
      </w:r>
      <w:r>
        <w:rPr>
          <w:w w:val="100"/>
        </w:rPr>
        <w:t> </w:t>
      </w:r>
      <w:r>
        <w:rPr>
          <w:spacing w:val="-2"/>
        </w:rPr>
        <w:t>付的合并对价账面价值（或发行股份面值总额）的差额，调整资本公积（股本溢价）；资本公积（股本溢</w:t>
      </w:r>
      <w:r>
        <w:rPr>
          <w:spacing w:val="-33"/>
        </w:rPr>
        <w:t> </w:t>
      </w:r>
      <w:r>
        <w:rPr>
          <w:spacing w:val="-33"/>
        </w:rPr>
      </w:r>
      <w:r>
        <w:rPr/>
        <w:t>价）不足以冲减的，调整留存收益。</w:t>
      </w:r>
    </w:p>
    <w:p>
      <w:pPr>
        <w:pStyle w:val="BodyText"/>
        <w:spacing w:line="240" w:lineRule="auto" w:before="40"/>
        <w:ind w:left="633" w:right="0"/>
        <w:jc w:val="left"/>
      </w:pPr>
      <w:r>
        <w:rPr/>
        <w:t>合并方为进行企业合并发生的各项直接费用，于发生时计入当期损益。</w:t>
      </w:r>
    </w:p>
    <w:p>
      <w:pPr>
        <w:pStyle w:val="BodyText"/>
        <w:spacing w:line="364" w:lineRule="auto" w:before="162"/>
        <w:ind w:left="633" w:right="0"/>
        <w:jc w:val="left"/>
      </w:pPr>
      <w:r>
        <w:rPr/>
        <w:t>（</w:t>
      </w:r>
      <w:r>
        <w:rPr>
          <w:rFonts w:ascii="Times New Roman" w:hAnsi="Times New Roman" w:cs="Times New Roman" w:eastAsia="Times New Roman" w:hint="default"/>
        </w:rPr>
        <w:t>2</w:t>
      </w:r>
      <w:r>
        <w:rPr/>
        <w:t>）非同一控制下企业合并</w:t>
      </w:r>
      <w:r>
        <w:rPr>
          <w:spacing w:val="-100"/>
        </w:rPr>
        <w:t> </w:t>
      </w:r>
      <w:r>
        <w:rPr>
          <w:spacing w:val="-100"/>
        </w:rPr>
      </w:r>
      <w:r>
        <w:rPr>
          <w:spacing w:val="-4"/>
        </w:rPr>
        <w:t>参与合并的企业在合并前后不受同一方或相同的多方最终控制的，为非同一控制下的企业合并。非同</w:t>
      </w:r>
    </w:p>
    <w:p>
      <w:pPr>
        <w:pStyle w:val="BodyText"/>
        <w:spacing w:line="381" w:lineRule="auto" w:before="57"/>
        <w:ind w:right="0"/>
        <w:jc w:val="left"/>
      </w:pPr>
      <w:r>
        <w:rPr>
          <w:spacing w:val="-2"/>
        </w:rPr>
        <w:t>一控制下的企业合并，在购买日取得对其他参与合并企业控制权的一方为购买方，参与合并的其他企业为</w:t>
      </w:r>
      <w:r>
        <w:rPr>
          <w:spacing w:val="-31"/>
        </w:rPr>
        <w:t> </w:t>
      </w:r>
      <w:r>
        <w:rPr>
          <w:spacing w:val="-31"/>
        </w:rPr>
      </w:r>
      <w:r>
        <w:rPr/>
        <w:t>被购买方。购买日，是指为购买方实际取得对被购买方控制权的日期。</w:t>
      </w:r>
    </w:p>
    <w:p>
      <w:pPr>
        <w:pStyle w:val="BodyText"/>
        <w:spacing w:line="384" w:lineRule="auto" w:before="43"/>
        <w:ind w:right="145" w:firstLine="480"/>
        <w:jc w:val="both"/>
      </w:pPr>
      <w:r>
        <w:rPr/>
        <w:t>对于非同一控制下的企业合并，合并成本包含购买日购买方为取得对被购买方的控制权而付出的资</w:t>
      </w:r>
      <w:r>
        <w:rPr>
          <w:w w:val="100"/>
        </w:rPr>
        <w:t> </w:t>
      </w:r>
      <w:r>
        <w:rPr>
          <w:spacing w:val="-2"/>
        </w:rPr>
        <w:t>产、发生或承担的负债以及发行的权益性证券的公允价值，为企业合并发生的审计、法律服务、评估咨询</w:t>
      </w:r>
      <w:r>
        <w:rPr>
          <w:spacing w:val="-33"/>
        </w:rPr>
        <w:t> </w:t>
      </w:r>
      <w:r>
        <w:rPr>
          <w:spacing w:val="-33"/>
        </w:rPr>
      </w:r>
      <w:r>
        <w:rPr>
          <w:spacing w:val="-2"/>
        </w:rPr>
        <w:t>等中介费用以及其他管理费用于发生时计入当期损益。购买方作为合并对价发行的权益性证券或债务性证</w:t>
      </w:r>
      <w:r>
        <w:rPr>
          <w:spacing w:val="-33"/>
        </w:rPr>
        <w:t> </w:t>
      </w:r>
      <w:r>
        <w:rPr>
          <w:spacing w:val="-33"/>
        </w:rPr>
      </w:r>
      <w:r>
        <w:rPr>
          <w:spacing w:val="-2"/>
        </w:rPr>
        <w:t>券的交易费用，计入权益性证券或债务性证券的初始确认金额。所涉及的或有对价按其在购买日的公允价</w:t>
      </w:r>
    </w:p>
    <w:p>
      <w:pPr>
        <w:spacing w:after="0" w:line="384" w:lineRule="auto"/>
        <w:jc w:val="both"/>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79" w:lineRule="auto" w:before="36"/>
        <w:ind w:right="0"/>
        <w:jc w:val="left"/>
      </w:pPr>
      <w:r>
        <w:rPr/>
        <w:t>值计入合并成本，购买日后</w:t>
      </w:r>
      <w:r>
        <w:rPr>
          <w:rFonts w:ascii="Times New Roman" w:hAnsi="Times New Roman" w:cs="Times New Roman" w:eastAsia="Times New Roman" w:hint="default"/>
        </w:rPr>
        <w:t>12</w:t>
      </w:r>
      <w:r>
        <w:rPr/>
        <w:t>个月内出现对购买日已存在情况的新的或进一步证据而需要调整或有对价</w:t>
      </w:r>
      <w:r>
        <w:rPr>
          <w:spacing w:val="64"/>
        </w:rPr>
        <w:t> </w:t>
      </w:r>
      <w:r>
        <w:rPr>
          <w:spacing w:val="64"/>
        </w:rPr>
      </w:r>
      <w:r>
        <w:rPr>
          <w:spacing w:val="-4"/>
        </w:rPr>
        <w:t>的，相应调整合并商誉。购买方发生的合并成本及在合并中取得的可辨认净资产按购买日的公允价值计量。</w:t>
      </w:r>
      <w:r>
        <w:rPr>
          <w:spacing w:val="-47"/>
        </w:rPr>
        <w:t> </w:t>
      </w:r>
      <w:r>
        <w:rPr>
          <w:spacing w:val="-47"/>
        </w:rPr>
      </w:r>
      <w:r>
        <w:rPr>
          <w:spacing w:val="-2"/>
        </w:rPr>
        <w:t>合并成本大于合并中取得的被购买方于购买日可辨认净资产公允价值份额的差额，确认为商誉。合并成本</w:t>
      </w:r>
      <w:r>
        <w:rPr>
          <w:spacing w:val="-33"/>
        </w:rPr>
        <w:t> </w:t>
      </w:r>
      <w:r>
        <w:rPr>
          <w:spacing w:val="-33"/>
        </w:rPr>
      </w:r>
      <w:r>
        <w:rPr>
          <w:spacing w:val="-2"/>
        </w:rPr>
        <w:t>小于合并中取得的被购买方可辨认净资产公允价值份额的，首先对取得的被购买方各项可辨认资产、负债</w:t>
      </w:r>
      <w:r>
        <w:rPr>
          <w:spacing w:val="-33"/>
        </w:rPr>
        <w:t> </w:t>
      </w:r>
      <w:r>
        <w:rPr>
          <w:spacing w:val="-33"/>
        </w:rPr>
      </w:r>
      <w:r>
        <w:rPr>
          <w:spacing w:val="-2"/>
        </w:rPr>
        <w:t>及或有负债的公允价值以及合并成本的计量进行复核，复核后合并成本仍小于合并中取得的被购买方可辨</w:t>
      </w:r>
      <w:r>
        <w:rPr>
          <w:spacing w:val="-33"/>
        </w:rPr>
        <w:t> </w:t>
      </w:r>
      <w:r>
        <w:rPr>
          <w:spacing w:val="-33"/>
        </w:rPr>
      </w:r>
      <w:r>
        <w:rPr/>
        <w:t>认净资产公允价值份额的，其差额计入当期损益。</w:t>
      </w:r>
    </w:p>
    <w:p>
      <w:pPr>
        <w:pStyle w:val="BodyText"/>
        <w:spacing w:line="379" w:lineRule="auto" w:before="45"/>
        <w:ind w:right="186" w:firstLine="480"/>
        <w:jc w:val="both"/>
      </w:pPr>
      <w:r>
        <w:rPr/>
        <w:t>购买方取得被购买方的可抵扣暂时性差异，在购买日因不符合递延所得税资产确认条件而未予确认</w:t>
      </w:r>
      <w:r>
        <w:rPr>
          <w:w w:val="100"/>
        </w:rPr>
        <w:t> </w:t>
      </w:r>
      <w:r>
        <w:rPr>
          <w:spacing w:val="-2"/>
        </w:rPr>
        <w:t>的，在购买日后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w:t>
      </w:r>
      <w:r>
        <w:rPr>
          <w:spacing w:val="-31"/>
        </w:rPr>
        <w:t> </w:t>
      </w:r>
      <w:r>
        <w:rPr>
          <w:spacing w:val="-31"/>
        </w:rPr>
      </w:r>
      <w:r>
        <w:rPr>
          <w:spacing w:val="-2"/>
        </w:rPr>
        <w:t>购买日可抵扣暂时性差异带来的经济利益能够实现的，则确认相关的递延所得税资产，同时减少商誉，商</w:t>
      </w:r>
      <w:r>
        <w:rPr>
          <w:spacing w:val="-33"/>
        </w:rPr>
        <w:t> </w:t>
      </w:r>
      <w:r>
        <w:rPr>
          <w:spacing w:val="-33"/>
        </w:rPr>
      </w:r>
      <w:r>
        <w:rPr>
          <w:spacing w:val="-2"/>
        </w:rPr>
        <w:t>誉不足冲减的，差额部分确认为当期损益；除上述情况以外，确认与企业合并相关的递延所得税资产的，</w:t>
      </w:r>
      <w:r>
        <w:rPr>
          <w:spacing w:val="-13"/>
        </w:rPr>
        <w:t> </w:t>
      </w:r>
      <w:r>
        <w:rPr>
          <w:spacing w:val="-13"/>
        </w:rPr>
      </w:r>
      <w:r>
        <w:rPr/>
        <w:t>计入当期损益。</w:t>
      </w:r>
    </w:p>
    <w:p>
      <w:pPr>
        <w:pStyle w:val="BodyText"/>
        <w:spacing w:line="364" w:lineRule="auto" w:before="40"/>
        <w:ind w:right="202" w:firstLine="480"/>
        <w:jc w:val="both"/>
      </w:pPr>
      <w:r>
        <w:rPr>
          <w:spacing w:val="-1"/>
        </w:rPr>
        <w:t>通过多次交易分步实现的非同一控制下企业合并，根据《财政部关于印发企业会计准则解释第</w:t>
      </w:r>
      <w:r>
        <w:rPr>
          <w:rFonts w:ascii="Times New Roman" w:hAnsi="Times New Roman" w:cs="Times New Roman" w:eastAsia="Times New Roman" w:hint="default"/>
          <w:spacing w:val="-1"/>
        </w:rPr>
        <w:t>5</w:t>
      </w:r>
      <w:r>
        <w:rPr>
          <w:spacing w:val="-1"/>
        </w:rPr>
        <w:t>号的</w:t>
      </w:r>
      <w:r>
        <w:rPr>
          <w:w w:val="100"/>
        </w:rPr>
        <w:t> </w:t>
      </w:r>
      <w:r>
        <w:rPr>
          <w:spacing w:val="-2"/>
        </w:rPr>
        <w:t>通知》（财会〔</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19</w:t>
      </w:r>
      <w:r>
        <w:rPr>
          <w:spacing w:val="-2"/>
        </w:rPr>
        <w:t>号）和《企业会计准则第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合并财务报表》第五十一条关于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8"/>
        </w:rPr>
        <w:t> </w:t>
      </w:r>
      <w:r>
        <w:rPr>
          <w:spacing w:val="-1"/>
        </w:rPr>
        <w:t>的判断标准（参见本附注四、</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w:t>
      </w:r>
      <w:r>
        <w:rPr>
          <w:spacing w:val="-1"/>
        </w:rPr>
        <w:t>）），判断该多次交易是否属于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27"/>
        </w:rPr>
        <w:t> </w:t>
      </w:r>
      <w:r>
        <w:rPr>
          <w:spacing w:val="-1"/>
        </w:rPr>
        <w:t>参考本部分前面各段描述及本附注四、</w:t>
      </w:r>
      <w:r>
        <w:rPr>
          <w:rFonts w:ascii="Times New Roman" w:hAnsi="Times New Roman" w:cs="Times New Roman" w:eastAsia="Times New Roman" w:hint="default"/>
          <w:spacing w:val="-1"/>
        </w:rPr>
        <w:t>13“</w:t>
      </w:r>
      <w:r>
        <w:rPr>
          <w:spacing w:val="-1"/>
        </w:rPr>
        <w:t>长期股权投资</w:t>
      </w:r>
      <w:r>
        <w:rPr>
          <w:rFonts w:ascii="Times New Roman" w:hAnsi="Times New Roman" w:cs="Times New Roman" w:eastAsia="Times New Roman" w:hint="default"/>
          <w:spacing w:val="-1"/>
        </w:rPr>
        <w:t>”</w:t>
      </w:r>
      <w:r>
        <w:rPr>
          <w:spacing w:val="-1"/>
        </w:rPr>
        <w:t>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的，区分个</w:t>
      </w:r>
      <w:r>
        <w:rPr>
          <w:spacing w:val="-31"/>
        </w:rPr>
        <w:t> </w:t>
      </w:r>
      <w:r>
        <w:rPr>
          <w:spacing w:val="-31"/>
        </w:rPr>
      </w:r>
      <w:r>
        <w:rPr/>
        <w:t>别财务报表和合并财务报表进行相关会计处理：</w:t>
      </w:r>
    </w:p>
    <w:p>
      <w:pPr>
        <w:pStyle w:val="BodyText"/>
        <w:spacing w:line="384" w:lineRule="auto" w:before="57"/>
        <w:ind w:right="0" w:firstLine="480"/>
        <w:jc w:val="left"/>
      </w:pPr>
      <w:r>
        <w:rPr>
          <w:spacing w:val="-2"/>
        </w:rPr>
        <w:t>在个别财务报表中，以购买日之前所持被购买方的股权投资的账面价值与购买日新增投资成本之和，</w:t>
      </w:r>
      <w:r>
        <w:rPr>
          <w:w w:val="100"/>
        </w:rPr>
        <w:t> </w:t>
      </w:r>
      <w:r>
        <w:rPr>
          <w:spacing w:val="-2"/>
        </w:rPr>
        <w:t>作为该项投资的初始投资成本；购买日之前持有的被购买方的股权涉及其他综合收益的，在处置该项投资</w:t>
      </w:r>
      <w:r>
        <w:rPr>
          <w:spacing w:val="-33"/>
        </w:rPr>
        <w:t> </w:t>
      </w:r>
      <w:r>
        <w:rPr>
          <w:spacing w:val="-33"/>
        </w:rPr>
      </w:r>
      <w:r>
        <w:rPr>
          <w:spacing w:val="-2"/>
        </w:rPr>
        <w:t>时将与其相关的其他综合收益采用与被购买方直接处置相关资产或负债相同的基础进行会计处理（即，除</w:t>
      </w:r>
      <w:r>
        <w:rPr>
          <w:spacing w:val="-29"/>
        </w:rPr>
        <w:t> </w:t>
      </w:r>
      <w:r>
        <w:rPr>
          <w:spacing w:val="-29"/>
        </w:rPr>
      </w:r>
      <w:r>
        <w:rPr>
          <w:spacing w:val="-2"/>
        </w:rPr>
        <w:t>了按照权益法核算的在被购买方重新计量设定受益计划净负债或净资产导致的变动中的相应份额以外，其</w:t>
      </w:r>
      <w:r>
        <w:rPr>
          <w:spacing w:val="-33"/>
        </w:rPr>
        <w:t> </w:t>
      </w:r>
      <w:r>
        <w:rPr>
          <w:spacing w:val="-33"/>
        </w:rPr>
      </w:r>
      <w:r>
        <w:rPr/>
        <w:t>余转入当期投资收益）。</w:t>
      </w:r>
    </w:p>
    <w:p>
      <w:pPr>
        <w:pStyle w:val="BodyText"/>
        <w:spacing w:line="384" w:lineRule="auto" w:before="40"/>
        <w:ind w:right="205" w:firstLine="480"/>
        <w:jc w:val="both"/>
      </w:pPr>
      <w:r>
        <w:rPr>
          <w:spacing w:val="-4"/>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新计量，公允价值与其账面价值的差额计入当期投资收益；购买日之前持有的被购买方的股权涉及其他综</w:t>
      </w:r>
      <w:r>
        <w:rPr>
          <w:spacing w:val="-33"/>
        </w:rPr>
        <w:t> </w:t>
      </w:r>
      <w:r>
        <w:rPr>
          <w:spacing w:val="-33"/>
        </w:rPr>
      </w:r>
      <w:r>
        <w:rPr>
          <w:spacing w:val="-2"/>
        </w:rPr>
        <w:t>合收益的，与其相关的其他综合收益应当采用与被购买方直接处置相关资产或负债相同的基础进行会计处</w:t>
      </w:r>
      <w:r>
        <w:rPr>
          <w:spacing w:val="-33"/>
        </w:rPr>
        <w:t> </w:t>
      </w:r>
      <w:r>
        <w:rPr>
          <w:spacing w:val="-33"/>
        </w:rPr>
      </w:r>
      <w:r>
        <w:rPr>
          <w:spacing w:val="-2"/>
        </w:rPr>
        <w:t>理（即，除了按照权益法核算的在被购买方重新计量设定受益计划净负债或净资产导致的变动中的相应份</w:t>
      </w:r>
      <w:r>
        <w:rPr>
          <w:spacing w:val="-33"/>
        </w:rPr>
        <w:t> </w:t>
      </w:r>
      <w:r>
        <w:rPr>
          <w:spacing w:val="-33"/>
        </w:rPr>
      </w:r>
      <w:r>
        <w:rPr/>
        <w:t>额以外，其余转为购买日所属当期投资收益）。</w:t>
      </w:r>
    </w:p>
    <w:p>
      <w:pPr>
        <w:spacing w:line="240" w:lineRule="auto" w:before="9"/>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22"/>
          <w:szCs w:val="22"/>
        </w:rPr>
      </w:pPr>
    </w:p>
    <w:p>
      <w:pPr>
        <w:pStyle w:val="BodyText"/>
        <w:spacing w:line="360" w:lineRule="auto" w:before="156"/>
        <w:ind w:left="633" w:right="0"/>
        <w:jc w:val="left"/>
      </w:pPr>
      <w:r>
        <w:rPr/>
        <w:t>（</w:t>
      </w:r>
      <w:r>
        <w:rPr>
          <w:rFonts w:ascii="Times New Roman" w:hAnsi="Times New Roman" w:cs="Times New Roman" w:eastAsia="Times New Roman" w:hint="default"/>
        </w:rPr>
        <w:t>1</w:t>
      </w:r>
      <w:r>
        <w:rPr/>
        <w:t>）合并财务报表范围的确定原则</w:t>
      </w:r>
      <w:r>
        <w:rPr>
          <w:spacing w:val="-102"/>
        </w:rPr>
        <w:t> </w:t>
      </w:r>
      <w:r>
        <w:rPr>
          <w:spacing w:val="-102"/>
        </w:rPr>
      </w:r>
      <w:r>
        <w:rPr>
          <w:spacing w:val="-4"/>
        </w:rPr>
        <w:t>合并财务报表的合并范围以控制为基础予以确定。控制是指本公司拥有对被投资方的权力，通过参与</w:t>
      </w:r>
    </w:p>
    <w:p>
      <w:pPr>
        <w:pStyle w:val="BodyText"/>
        <w:spacing w:line="240" w:lineRule="auto" w:before="61"/>
        <w:ind w:right="0"/>
        <w:jc w:val="left"/>
      </w:pPr>
      <w:r>
        <w:rPr/>
        <w:t>被投资方的相关活动而享有可变回报，并且有能力运用对被投资方的权力影响该回报金额。合并范围包括</w:t>
      </w:r>
    </w:p>
    <w:p>
      <w:pPr>
        <w:spacing w:after="0" w:line="240" w:lineRule="auto"/>
        <w:jc w:val="left"/>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86" w:lineRule="auto" w:before="36"/>
        <w:ind w:left="633" w:right="0" w:hanging="480"/>
        <w:jc w:val="left"/>
      </w:pPr>
      <w:r>
        <w:rPr/>
        <w:t>本公司及全部子公司。子公司，是指被本公司控制的主体。</w:t>
      </w:r>
      <w:r>
        <w:rPr>
          <w:w w:val="100"/>
        </w:rPr>
        <w:t> </w:t>
      </w:r>
      <w:r>
        <w:rPr>
          <w:spacing w:val="-2"/>
        </w:rPr>
        <w:t>一旦相关事实和情况的变化导致上述控制定义涉及的相关要素发生了变化，本公司将进行重新评估。</w:t>
      </w:r>
    </w:p>
    <w:p>
      <w:pPr>
        <w:pStyle w:val="BodyText"/>
        <w:spacing w:line="364" w:lineRule="auto"/>
        <w:ind w:left="633" w:right="0"/>
        <w:jc w:val="left"/>
      </w:pPr>
      <w:r>
        <w:rPr/>
        <w:t>（</w:t>
      </w:r>
      <w:r>
        <w:rPr>
          <w:rFonts w:ascii="Times New Roman" w:hAnsi="Times New Roman" w:cs="Times New Roman" w:eastAsia="Times New Roman" w:hint="default"/>
        </w:rPr>
        <w:t>2</w:t>
      </w:r>
      <w:r>
        <w:rPr/>
        <w:t>）合并财务报表编制的方法</w:t>
      </w:r>
      <w:r>
        <w:rPr>
          <w:spacing w:val="-99"/>
        </w:rPr>
        <w:t> </w:t>
      </w:r>
      <w:r>
        <w:rPr>
          <w:spacing w:val="-99"/>
        </w:rPr>
      </w:r>
      <w:r>
        <w:rPr>
          <w:spacing w:val="-3"/>
        </w:rPr>
        <w:t>从取得子公司的净资产和生产经营决策的实际控制权之日起，本公司开始将其纳入合并范围；从丧失</w:t>
      </w:r>
    </w:p>
    <w:p>
      <w:pPr>
        <w:pStyle w:val="BodyText"/>
        <w:spacing w:line="384" w:lineRule="auto" w:before="57"/>
        <w:ind w:right="205"/>
        <w:jc w:val="both"/>
      </w:pPr>
      <w:r>
        <w:rPr>
          <w:spacing w:val="-2"/>
        </w:rPr>
        <w:t>实际控制权之日起停止纳入合并范围。对于处置的子公司，处置日前的经营成果和现金流量已经适当地包</w:t>
      </w:r>
      <w:r>
        <w:rPr>
          <w:spacing w:val="-33"/>
        </w:rPr>
        <w:t> </w:t>
      </w:r>
      <w:r>
        <w:rPr>
          <w:spacing w:val="-33"/>
        </w:rPr>
      </w:r>
      <w:r>
        <w:rPr>
          <w:spacing w:val="-2"/>
        </w:rPr>
        <w:t>括在合并利润表和合并现金流量表中；当期处置的子公司，不调整合并资产负债表的期初数。非同一控制</w:t>
      </w:r>
      <w:r>
        <w:rPr>
          <w:spacing w:val="-33"/>
        </w:rPr>
        <w:t> </w:t>
      </w:r>
      <w:r>
        <w:rPr>
          <w:spacing w:val="-33"/>
        </w:rPr>
      </w:r>
      <w:r>
        <w:rPr>
          <w:spacing w:val="-2"/>
        </w:rPr>
        <w:t>下企业合并增加的子公司，其购买日后的经营成果及现金流量已经适当地包括在合并利润表和合并现金流</w:t>
      </w:r>
      <w:r>
        <w:rPr>
          <w:spacing w:val="-33"/>
        </w:rPr>
        <w:t> </w:t>
      </w:r>
      <w:r>
        <w:rPr>
          <w:spacing w:val="-33"/>
        </w:rPr>
      </w:r>
      <w:r>
        <w:rPr>
          <w:spacing w:val="-2"/>
        </w:rPr>
        <w:t>量表中，且不调整合并财务报表的期初数和对比数。同一控制下企业合并增加的子公司，其自合并当期期</w:t>
      </w:r>
      <w:r>
        <w:rPr>
          <w:spacing w:val="-33"/>
        </w:rPr>
        <w:t> </w:t>
      </w:r>
      <w:r>
        <w:rPr>
          <w:spacing w:val="-33"/>
        </w:rPr>
      </w:r>
      <w:r>
        <w:rPr>
          <w:spacing w:val="-2"/>
        </w:rPr>
        <w:t>初至合并日的经营成果和现金流量已经适当地包括在合并利润表和合并现金流量表中，并且同时调整合并</w:t>
      </w:r>
      <w:r>
        <w:rPr>
          <w:spacing w:val="-33"/>
        </w:rPr>
        <w:t> </w:t>
      </w:r>
      <w:r>
        <w:rPr>
          <w:spacing w:val="-33"/>
        </w:rPr>
      </w:r>
      <w:r>
        <w:rPr/>
        <w:t>财务报表的对比数。</w:t>
      </w:r>
    </w:p>
    <w:p>
      <w:pPr>
        <w:pStyle w:val="BodyText"/>
        <w:spacing w:line="384" w:lineRule="auto" w:before="40"/>
        <w:ind w:right="204" w:firstLine="480"/>
        <w:jc w:val="both"/>
      </w:pPr>
      <w:r>
        <w:rPr>
          <w:spacing w:val="-3"/>
        </w:rPr>
        <w:t>在编制合并财务报表时，子公司与本公司采用的会计政策或会计期间不一致的，按照本公司的会计政</w:t>
      </w:r>
      <w:r>
        <w:rPr>
          <w:w w:val="100"/>
        </w:rPr>
        <w:t> </w:t>
      </w:r>
      <w:r>
        <w:rPr>
          <w:spacing w:val="-2"/>
        </w:rPr>
        <w:t>策和会计期间对子公司财务报表进行必要的调整。对于非同一控制下企业合并取得的子公司，以购买日可</w:t>
      </w:r>
      <w:r>
        <w:rPr>
          <w:spacing w:val="-33"/>
        </w:rPr>
        <w:t> </w:t>
      </w:r>
      <w:r>
        <w:rPr>
          <w:spacing w:val="-33"/>
        </w:rPr>
      </w:r>
      <w:r>
        <w:rPr/>
        <w:t>辨认净资产公允价值为基础对其财务报表进行调整。</w:t>
      </w:r>
    </w:p>
    <w:p>
      <w:pPr>
        <w:pStyle w:val="BodyText"/>
        <w:spacing w:line="381" w:lineRule="auto" w:before="41"/>
        <w:ind w:left="633" w:right="0"/>
        <w:jc w:val="left"/>
      </w:pPr>
      <w:r>
        <w:rPr/>
        <w:t>公司内所有重大往来余额、交易及未实现利润在合并财务报表编制时予以抵销。</w:t>
      </w:r>
      <w:r>
        <w:rPr>
          <w:w w:val="100"/>
        </w:rPr>
        <w:t> </w:t>
      </w:r>
      <w:r>
        <w:rPr/>
        <w:t>子公司的股东权益及当期净损益中不属于本公司所拥有的部分分别作为少数股东权益及少数股东损</w:t>
      </w:r>
    </w:p>
    <w:p>
      <w:pPr>
        <w:pStyle w:val="BodyText"/>
        <w:spacing w:line="374" w:lineRule="auto" w:before="43"/>
        <w:ind w:right="205"/>
        <w:jc w:val="both"/>
      </w:pPr>
      <w:r>
        <w:rPr>
          <w:spacing w:val="-2"/>
        </w:rPr>
        <w:t>益在合并财务报表中股东权益及净利润项下单独列示。子公司当期净损益中属于少数股东权益的份额，在</w:t>
      </w:r>
      <w:r>
        <w:rPr>
          <w:spacing w:val="-33"/>
        </w:rPr>
        <w:t> </w:t>
      </w:r>
      <w:r>
        <w:rPr>
          <w:spacing w:val="-33"/>
        </w:rPr>
      </w:r>
      <w:r>
        <w:rPr>
          <w:spacing w:val="-2"/>
        </w:rPr>
        <w:t>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项目列示。少数股东分担的子公司的亏损超过了少数股东在</w:t>
      </w:r>
      <w:r>
        <w:rPr>
          <w:spacing w:val="-10"/>
        </w:rPr>
        <w:t> </w:t>
      </w:r>
      <w:r>
        <w:rPr>
          <w:spacing w:val="-10"/>
        </w:rPr>
      </w:r>
      <w:r>
        <w:rPr/>
        <w:t>该子公司期初股东权益中所享有的份额，仍冲减少数股东权益。</w:t>
      </w:r>
    </w:p>
    <w:p>
      <w:pPr>
        <w:pStyle w:val="BodyText"/>
        <w:spacing w:line="379" w:lineRule="auto" w:before="49"/>
        <w:ind w:right="0" w:firstLine="480"/>
        <w:jc w:val="left"/>
      </w:pPr>
      <w:r>
        <w:rPr>
          <w:spacing w:val="-4"/>
        </w:rPr>
        <w:t>当因处置部分股权投资或其他原因丧失了对原有子公司的控制权时，对于剩余股权，按照其在丧失控</w:t>
      </w:r>
      <w:r>
        <w:rPr>
          <w:w w:val="100"/>
        </w:rPr>
        <w:t> </w:t>
      </w:r>
      <w:r>
        <w:rPr/>
        <w:t>制权日的公允价值进行重新计量。处置股权取得的对价与剩余股权公允价值之和，减去按原持股比例计算</w:t>
      </w:r>
      <w:r>
        <w:rPr>
          <w:w w:val="100"/>
        </w:rPr>
        <w:t> </w:t>
      </w:r>
      <w:r>
        <w:rPr/>
        <w:t>应享有原有子公司自购买日开始持续计算的净资产的份额之间的差额，计入丧失控制权当期的投资收益。</w:t>
      </w:r>
      <w:r>
        <w:rPr>
          <w:w w:val="100"/>
        </w:rPr>
        <w:t> </w:t>
      </w:r>
      <w:r>
        <w:rPr/>
        <w:t>与原有子公司股权投资相关的其他综合收益，在丧失控制权时采用与被购买方直接处置相关资产或负债相</w:t>
      </w:r>
      <w:r>
        <w:rPr>
          <w:w w:val="100"/>
        </w:rPr>
        <w:t> </w:t>
      </w:r>
      <w:r>
        <w:rPr>
          <w:spacing w:val="-4"/>
        </w:rPr>
        <w:t>同的基础进行会计处理（即，除了在该原有子公司重新计量设定受益计划净负债或净资产导致的变动以外，</w:t>
      </w:r>
      <w:r>
        <w:rPr>
          <w:spacing w:val="-45"/>
        </w:rPr>
        <w:t> </w:t>
      </w:r>
      <w:r>
        <w:rPr>
          <w:spacing w:val="-45"/>
        </w:rPr>
      </w:r>
      <w:r>
        <w:rPr/>
        <w:t>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spacing w:val="-28"/>
        </w:rPr>
        <w:t> </w:t>
      </w:r>
      <w:r>
        <w:rPr>
          <w:spacing w:val="-28"/>
        </w:rPr>
      </w:r>
      <w:r>
        <w:rPr/>
        <w:t>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12“</w:t>
      </w:r>
      <w:r>
        <w:rPr/>
        <w:t>长期</w:t>
      </w:r>
      <w:r>
        <w:rPr>
          <w:spacing w:val="-13"/>
        </w:rPr>
        <w:t> </w:t>
      </w:r>
      <w:r>
        <w:rPr/>
        <w:t>股权投资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r>
        <w:rPr>
          <w:w w:val="100"/>
        </w:rPr>
        <w:t> </w:t>
      </w:r>
      <w:r>
        <w:rPr/>
        <w:t>本公司通过多次交易分步处置对子公司股权投资直至丧失控制权的，需区分处置对子公司股权投资直至丧</w:t>
      </w:r>
      <w:r>
        <w:rPr>
          <w:w w:val="100"/>
        </w:rPr>
        <w:t> </w:t>
      </w:r>
      <w:r>
        <w:rPr/>
        <w:t>失控制权的各项交易是否属于一揽子交易。处置对子公司股权投资的各项交易的条款、条件以及经济影响</w:t>
      </w:r>
      <w:r>
        <w:rPr>
          <w:w w:val="100"/>
        </w:rPr>
        <w:t> </w:t>
      </w:r>
      <w:r>
        <w:rPr/>
        <w:t>符合以下一种或多种情况，通常表明应将多次交易事项作为一揽子交易进行会计处理：①这些交易是同时</w:t>
      </w:r>
      <w:r>
        <w:rPr>
          <w:w w:val="100"/>
        </w:rPr>
        <w:t> </w:t>
      </w:r>
      <w:r>
        <w:rPr/>
        <w:t>或者在考虑了彼此影响的情况下订立的；②这些交易整体才能达成一项完整的商业结果；③一项交易的发</w:t>
      </w:r>
      <w:r>
        <w:rPr>
          <w:w w:val="100"/>
        </w:rPr>
        <w:t> </w:t>
      </w:r>
      <w:r>
        <w:rPr>
          <w:spacing w:val="-4"/>
        </w:rPr>
        <w:t>生取决于其他至少一项交易的发生；④一项交易单独看是不经济的，但是和其他交易一并考虑时是经济的。</w:t>
      </w:r>
    </w:p>
    <w:p>
      <w:pPr>
        <w:spacing w:after="0" w:line="379" w:lineRule="auto"/>
        <w:jc w:val="left"/>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72" w:lineRule="auto" w:before="36"/>
        <w:ind w:right="0"/>
        <w:jc w:val="left"/>
      </w:pPr>
      <w:r>
        <w:rPr/>
        <w:t>不属于一揽子交易的，对其中的每一项交易视情况分别按照</w:t>
      </w:r>
      <w:r>
        <w:rPr>
          <w:rFonts w:ascii="Times New Roman" w:hAnsi="Times New Roman" w:cs="Times New Roman" w:eastAsia="Times New Roman" w:hint="default"/>
        </w:rPr>
        <w:t>“</w:t>
      </w:r>
      <w:r>
        <w:rPr/>
        <w:t>不丧失控制权的情况下部分处置对子公司的</w:t>
      </w:r>
      <w:r>
        <w:rPr>
          <w:spacing w:val="-102"/>
        </w:rPr>
        <w:t> </w:t>
      </w:r>
      <w:r>
        <w:rPr>
          <w:spacing w:val="-102"/>
        </w:rPr>
      </w:r>
      <w:r>
        <w:rPr>
          <w:spacing w:val="-4"/>
        </w:rPr>
        <w:t>长期股权投资</w:t>
      </w:r>
      <w:r>
        <w:rPr>
          <w:rFonts w:ascii="Times New Roman" w:hAnsi="Times New Roman" w:cs="Times New Roman" w:eastAsia="Times New Roman" w:hint="default"/>
          <w:spacing w:val="-4"/>
        </w:rPr>
        <w:t>”</w:t>
      </w:r>
      <w:r>
        <w:rPr>
          <w:spacing w:val="-4"/>
        </w:rPr>
        <w:t>（详见本附注四、</w:t>
      </w:r>
      <w:r>
        <w:rPr>
          <w:rFonts w:ascii="Times New Roman" w:hAnsi="Times New Roman" w:cs="Times New Roman" w:eastAsia="Times New Roman" w:hint="default"/>
          <w:spacing w:val="-4"/>
        </w:rPr>
        <w:t>12</w:t>
      </w:r>
      <w:r>
        <w:rPr>
          <w:spacing w:val="-4"/>
        </w:rPr>
        <w:t>、（</w:t>
      </w:r>
      <w:r>
        <w:rPr>
          <w:rFonts w:ascii="Times New Roman" w:hAnsi="Times New Roman" w:cs="Times New Roman" w:eastAsia="Times New Roman" w:hint="default"/>
          <w:spacing w:val="-4"/>
        </w:rPr>
        <w:t>2</w:t>
      </w:r>
      <w:r>
        <w:rPr>
          <w:spacing w:val="-4"/>
        </w:rPr>
        <w:t>）④）和</w:t>
      </w:r>
      <w:r>
        <w:rPr>
          <w:rFonts w:ascii="Times New Roman" w:hAnsi="Times New Roman" w:cs="Times New Roman" w:eastAsia="Times New Roman" w:hint="default"/>
          <w:spacing w:val="-4"/>
        </w:rPr>
        <w:t>“</w:t>
      </w:r>
      <w:r>
        <w:rPr>
          <w:spacing w:val="-4"/>
        </w:rPr>
        <w:t>因处置部分股权投资或其他原因丧失了对原有子公司的</w:t>
      </w:r>
      <w:r>
        <w:rPr>
          <w:spacing w:val="-12"/>
        </w:rPr>
        <w:t> </w:t>
      </w:r>
      <w:r>
        <w:rPr>
          <w:spacing w:val="-12"/>
        </w:rPr>
      </w:r>
      <w:r>
        <w:rPr/>
        <w:t>控制权</w:t>
      </w:r>
      <w:r>
        <w:rPr>
          <w:rFonts w:ascii="Times New Roman" w:hAnsi="Times New Roman" w:cs="Times New Roman" w:eastAsia="Times New Roman" w:hint="default"/>
        </w:rPr>
        <w:t>”</w:t>
      </w:r>
      <w:r>
        <w:rPr/>
        <w:t>（详见前段）适用的原则进行会计处理。处置对子公司股权投资直至丧失控制权的各项交易属于</w:t>
      </w:r>
      <w:r>
        <w:rPr>
          <w:w w:val="100"/>
        </w:rPr>
        <w:t> </w:t>
      </w:r>
      <w:r>
        <w:rPr>
          <w:spacing w:val="-2"/>
        </w:rPr>
        <w:t>一揽子交易的，将各项交易作为一项处置子公司并丧失控制权的交易进行会计处理；但是，在丧失控制权</w:t>
      </w:r>
      <w:r>
        <w:rPr>
          <w:spacing w:val="-33"/>
        </w:rPr>
        <w:t> </w:t>
      </w:r>
      <w:r>
        <w:rPr>
          <w:spacing w:val="-33"/>
        </w:rPr>
      </w:r>
      <w:r>
        <w:rPr>
          <w:spacing w:val="-2"/>
        </w:rPr>
        <w:t>之前每一次处置价款与处置投资对应的享有该子公司净资产份额的差额，在合并财务报表中确认为其他综</w:t>
      </w:r>
      <w:r>
        <w:rPr>
          <w:spacing w:val="-33"/>
        </w:rPr>
        <w:t> </w:t>
      </w:r>
      <w:r>
        <w:rPr>
          <w:spacing w:val="-33"/>
        </w:rPr>
      </w:r>
      <w:r>
        <w:rPr/>
        <w:t>合收益，在丧失控制权时一并转入丧失控制权当期的损益。</w:t>
      </w:r>
    </w:p>
    <w:p>
      <w:pPr>
        <w:spacing w:line="240" w:lineRule="auto" w:before="12"/>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1"/>
        <w:ind w:right="145" w:firstLine="480"/>
        <w:jc w:val="both"/>
      </w:pPr>
      <w:r>
        <w:rPr>
          <w:spacing w:val="-4"/>
        </w:rPr>
        <w:t>合营安排，是指一项由两个或两个以上的参与方共同控制的安排。本公司根据在合营安排中享有的权</w:t>
      </w:r>
      <w:r>
        <w:rPr>
          <w:w w:val="100"/>
        </w:rPr>
        <w:t> </w:t>
      </w:r>
      <w:r>
        <w:rPr>
          <w:spacing w:val="-2"/>
        </w:rPr>
        <w:t>利和承担的义务，将合营安排分为共同经营和合营企业。共同经营，是指本公司享有该安排相关资产且承</w:t>
      </w:r>
      <w:r>
        <w:rPr>
          <w:spacing w:val="-33"/>
        </w:rPr>
        <w:t> </w:t>
      </w:r>
      <w:r>
        <w:rPr>
          <w:spacing w:val="-33"/>
        </w:rPr>
      </w:r>
      <w:r>
        <w:rPr/>
        <w:t>担该安排相关负债的合营安排。合营企业，是指本公司仅对该安排的净资产享有权利的合营安排。</w:t>
      </w:r>
    </w:p>
    <w:p>
      <w:pPr>
        <w:pStyle w:val="BodyText"/>
        <w:spacing w:line="364" w:lineRule="auto"/>
        <w:ind w:right="0" w:firstLine="480"/>
        <w:jc w:val="left"/>
      </w:pPr>
      <w:r>
        <w:rPr/>
        <w:t>本公司对合营企业的投资采用权益法核算，按照本附注四、</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中所述的会计政策处理。</w:t>
      </w:r>
    </w:p>
    <w:p>
      <w:pPr>
        <w:pStyle w:val="BodyText"/>
        <w:spacing w:line="381" w:lineRule="auto" w:before="58"/>
        <w:ind w:right="0" w:firstLine="480"/>
        <w:jc w:val="left"/>
      </w:pPr>
      <w:r>
        <w:rPr>
          <w:spacing w:val="-4"/>
        </w:rPr>
        <w:t>本公司作为合营方对共同经营，确认本公司单独持有的资产、单独所承担的负债，以及按本公司份额</w:t>
      </w:r>
      <w:r>
        <w:rPr>
          <w:w w:val="100"/>
        </w:rPr>
        <w:t> </w:t>
      </w:r>
      <w:r>
        <w:rPr>
          <w:spacing w:val="-2"/>
        </w:rPr>
        <w:t>确认共同持有的资产和共同承担的负债；确认出售本公司享有的共同经营产出份额所产生的收入；按本公</w:t>
      </w:r>
      <w:r>
        <w:rPr>
          <w:spacing w:val="-33"/>
        </w:rPr>
        <w:t> </w:t>
      </w:r>
      <w:r>
        <w:rPr>
          <w:spacing w:val="-33"/>
        </w:rPr>
      </w:r>
      <w:r>
        <w:rPr>
          <w:spacing w:val="-2"/>
        </w:rPr>
        <w:t>司份额确认共同经营因出售产出所产生的收入；确认本公司单独所发生的费用，以及按本公司份额确认共</w:t>
      </w:r>
      <w:r>
        <w:rPr>
          <w:spacing w:val="-33"/>
        </w:rPr>
        <w:t> </w:t>
      </w:r>
      <w:r>
        <w:rPr>
          <w:spacing w:val="-33"/>
        </w:rPr>
      </w:r>
      <w:r>
        <w:rPr/>
        <w:t>同经营发生的费用。</w:t>
      </w:r>
      <w:r>
        <w:rPr>
          <w:spacing w:val="-100"/>
        </w:rPr>
        <w:t> </w:t>
      </w:r>
      <w:r>
        <w:rPr>
          <w:spacing w:val="-100"/>
        </w:rPr>
      </w:r>
      <w:r>
        <w:rPr>
          <w:spacing w:val="-2"/>
        </w:rPr>
        <w:t>当本公司作为合营方向共同经营投出或出售资产（该资产不构成业务，下同）、或者自共同经营购买资产</w:t>
      </w:r>
      <w:r>
        <w:rPr>
          <w:spacing w:val="-30"/>
        </w:rPr>
        <w:t> </w:t>
      </w:r>
      <w:r>
        <w:rPr>
          <w:spacing w:val="-30"/>
        </w:rPr>
      </w:r>
      <w:r>
        <w:rPr>
          <w:spacing w:val="-2"/>
        </w:rPr>
        <w:t>时，在该等资产出售给第三方之前，本公司仅确认因该交易产生的损益中归属于共同经营其他参与方的部</w:t>
      </w:r>
      <w:r>
        <w:rPr>
          <w:spacing w:val="-33"/>
        </w:rPr>
        <w:t> </w:t>
      </w:r>
      <w:r>
        <w:rPr>
          <w:spacing w:val="-33"/>
        </w:rPr>
      </w:r>
      <w:r>
        <w:rPr/>
        <w:t>分。该等资产发生符合《企业会计准则第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w:t>
      </w:r>
      <w:r>
        <w:rPr>
          <w:w w:val="100"/>
        </w:rPr>
        <w:t> </w:t>
      </w:r>
      <w:r>
        <w:rPr>
          <w:spacing w:val="-2"/>
        </w:rPr>
        <w:t>共同经营投出或出售资产的情况，本公司全额确认该损失；对于本公司自共同经营购买资产的情况，本公</w:t>
      </w:r>
      <w:r>
        <w:rPr>
          <w:spacing w:val="-33"/>
        </w:rPr>
        <w:t> </w:t>
      </w:r>
      <w:r>
        <w:rPr>
          <w:spacing w:val="-33"/>
        </w:rPr>
      </w:r>
      <w:r>
        <w:rPr/>
        <w:t>司按承担的份额确认该损失。</w:t>
      </w:r>
    </w:p>
    <w:p>
      <w:pPr>
        <w:spacing w:line="240" w:lineRule="auto" w:before="3"/>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1"/>
        <w:ind w:right="0" w:firstLine="480"/>
        <w:jc w:val="left"/>
      </w:pPr>
      <w:r>
        <w:rPr>
          <w:spacing w:val="-4"/>
        </w:rPr>
        <w:t>本公司现金及现金等价物包括库存现金、可以随时用于支付的存款以及本公司持有的期限短（一般为</w:t>
      </w:r>
      <w:r>
        <w:rPr>
          <w:w w:val="100"/>
        </w:rPr>
        <w:t> </w:t>
      </w:r>
      <w:r>
        <w:rPr/>
        <w:t>从购买日起，三个月内到期）、流动性强、易于转换为已知金额的现金、价值变动风险很小的投资。</w:t>
      </w:r>
    </w:p>
    <w:p>
      <w:pPr>
        <w:spacing w:line="240" w:lineRule="auto" w:before="7"/>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22"/>
          <w:szCs w:val="22"/>
        </w:rPr>
      </w:pPr>
    </w:p>
    <w:p>
      <w:pPr>
        <w:pStyle w:val="BodyText"/>
        <w:spacing w:line="364" w:lineRule="auto" w:before="151"/>
        <w:ind w:left="633" w:right="0"/>
        <w:jc w:val="left"/>
      </w:pPr>
      <w:r>
        <w:rPr/>
        <w:t>（</w:t>
      </w:r>
      <w:r>
        <w:rPr>
          <w:rFonts w:ascii="Times New Roman" w:hAnsi="Times New Roman" w:cs="Times New Roman" w:eastAsia="Times New Roman" w:hint="default"/>
        </w:rPr>
        <w:t>1</w:t>
      </w:r>
      <w:r>
        <w:rPr/>
        <w:t>）外币交易的折算方法</w:t>
      </w:r>
      <w:r>
        <w:rPr>
          <w:spacing w:val="-102"/>
        </w:rPr>
        <w:t> </w:t>
      </w:r>
      <w:r>
        <w:rPr>
          <w:spacing w:val="-102"/>
        </w:rPr>
      </w:r>
      <w:r>
        <w:rPr>
          <w:spacing w:val="-4"/>
        </w:rPr>
        <w:t>本公司发生的外币交易在初始确认时，按交易日的即期汇率（通常指中国人民银行公布的当日外汇牌</w:t>
      </w:r>
    </w:p>
    <w:p>
      <w:pPr>
        <w:pStyle w:val="BodyText"/>
        <w:spacing w:line="240" w:lineRule="auto" w:before="57"/>
        <w:ind w:right="0"/>
        <w:jc w:val="left"/>
      </w:pPr>
      <w:r>
        <w:rPr/>
        <w:t>价的中间价，下同）折算为记账本位币金额，但公司发生的外币兑换业务或涉及外币兑换的交易事项，按</w:t>
      </w:r>
    </w:p>
    <w:p>
      <w:pPr>
        <w:spacing w:after="0" w:line="240"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right="0"/>
        <w:jc w:val="left"/>
      </w:pPr>
      <w:r>
        <w:rPr/>
        <w:t>照实际采用的汇率折算为记账本位币金额。</w:t>
      </w:r>
    </w:p>
    <w:p>
      <w:pPr>
        <w:pStyle w:val="BodyText"/>
        <w:spacing w:line="360" w:lineRule="auto" w:before="166"/>
        <w:ind w:left="633" w:right="0"/>
        <w:jc w:val="left"/>
      </w:pPr>
      <w:r>
        <w:rPr/>
        <w:t>（</w:t>
      </w:r>
      <w:r>
        <w:rPr>
          <w:rFonts w:ascii="Times New Roman" w:hAnsi="Times New Roman" w:cs="Times New Roman" w:eastAsia="Times New Roman" w:hint="default"/>
        </w:rPr>
        <w:t>2</w:t>
      </w:r>
      <w:r>
        <w:rPr/>
        <w:t>）对于外币货币性项目和外币非货币性项目的折算方法</w:t>
      </w:r>
      <w:r>
        <w:rPr>
          <w:w w:val="100"/>
        </w:rPr>
        <w:t> </w:t>
      </w:r>
      <w:r>
        <w:rPr>
          <w:spacing w:val="-4"/>
        </w:rPr>
        <w:t>资产负债表日，对于外币货币性项目采用资产负债表日即期汇率折算，由此产生的汇兑差额，除：①</w:t>
      </w:r>
    </w:p>
    <w:p>
      <w:pPr>
        <w:pStyle w:val="BodyText"/>
        <w:spacing w:line="240" w:lineRule="auto" w:before="61"/>
        <w:ind w:right="0"/>
        <w:jc w:val="left"/>
      </w:pPr>
      <w:r>
        <w:rPr/>
        <w:t>属于与购建符合资本化条件的资产相关的外币专门借款产生的汇兑差额按照借款费用资本化的原则处理；</w:t>
      </w:r>
    </w:p>
    <w:p>
      <w:pPr>
        <w:pStyle w:val="BodyText"/>
        <w:spacing w:line="381" w:lineRule="auto" w:before="166"/>
        <w:ind w:right="0"/>
        <w:jc w:val="left"/>
      </w:pPr>
      <w:r>
        <w:rPr/>
        <w:t>②可供出售的外币货币性项目除摊余成本之外的其他账面余额变动产生的汇兑差额计入其他综合收益之</w:t>
      </w:r>
      <w:r>
        <w:rPr>
          <w:spacing w:val="60"/>
        </w:rPr>
        <w:t> </w:t>
      </w:r>
      <w:r>
        <w:rPr>
          <w:spacing w:val="60"/>
        </w:rPr>
      </w:r>
      <w:r>
        <w:rPr/>
        <w:t>外，均计入当期损益。</w:t>
      </w:r>
    </w:p>
    <w:p>
      <w:pPr>
        <w:pStyle w:val="BodyText"/>
        <w:spacing w:line="384" w:lineRule="auto" w:before="43"/>
        <w:ind w:right="186" w:firstLine="480"/>
        <w:jc w:val="both"/>
      </w:pPr>
      <w:r>
        <w:rPr>
          <w:spacing w:val="-4"/>
        </w:rPr>
        <w:t>以历史成本计量的外币非货币性项目，仍采用交易发生日的即期汇率折算的记账本位币金额计量。以</w:t>
      </w:r>
      <w:r>
        <w:rPr>
          <w:w w:val="100"/>
        </w:rPr>
        <w:t> </w:t>
      </w:r>
      <w:r>
        <w:rPr>
          <w:spacing w:val="-2"/>
        </w:rPr>
        <w:t>公允价值计量的外币非货币性项目，采用公允价值确定日的即期汇率折算，折算后的记账本位币金额与原</w:t>
      </w:r>
      <w:r>
        <w:rPr>
          <w:spacing w:val="-33"/>
        </w:rPr>
        <w:t> </w:t>
      </w:r>
      <w:r>
        <w:rPr>
          <w:spacing w:val="-33"/>
        </w:rPr>
      </w:r>
      <w:r>
        <w:rPr>
          <w:spacing w:val="-2"/>
        </w:rPr>
        <w:t>记账本位币金额的差额，作为公允价值变动（含汇率变动）处理，计入当期损益或确认为其他综合收益。</w:t>
      </w:r>
    </w:p>
    <w:p>
      <w:pPr>
        <w:pStyle w:val="BodyText"/>
        <w:spacing w:line="364" w:lineRule="auto" w:before="41"/>
        <w:ind w:left="633" w:right="0"/>
        <w:jc w:val="left"/>
      </w:pPr>
      <w:r>
        <w:rPr/>
        <w:t>（</w:t>
      </w:r>
      <w:r>
        <w:rPr>
          <w:rFonts w:ascii="Times New Roman" w:hAnsi="Times New Roman" w:cs="Times New Roman" w:eastAsia="Times New Roman" w:hint="default"/>
        </w:rPr>
        <w:t>3</w:t>
      </w:r>
      <w:r>
        <w:rPr/>
        <w:t>）外币财务报表的折算方法</w:t>
      </w:r>
      <w:r>
        <w:rPr>
          <w:spacing w:val="-99"/>
        </w:rPr>
        <w:t> </w:t>
      </w:r>
      <w:r>
        <w:rPr>
          <w:spacing w:val="-99"/>
        </w:rPr>
      </w:r>
      <w:r>
        <w:rPr>
          <w:spacing w:val="-4"/>
        </w:rPr>
        <w:t>编制合并财务报表涉及境外经营的，如有实质上构成对境外经营净投资的外币货币性项目，因汇率变</w:t>
      </w:r>
    </w:p>
    <w:p>
      <w:pPr>
        <w:pStyle w:val="BodyText"/>
        <w:spacing w:line="364" w:lineRule="auto" w:before="52"/>
        <w:ind w:right="0"/>
        <w:jc w:val="left"/>
      </w:pPr>
      <w:r>
        <w:rPr>
          <w:spacing w:val="-2"/>
        </w:rPr>
        <w:t>动而产生的汇兑差额，作为</w:t>
      </w:r>
      <w:r>
        <w:rPr>
          <w:rFonts w:ascii="Times New Roman" w:hAnsi="Times New Roman" w:cs="Times New Roman" w:eastAsia="Times New Roman" w:hint="default"/>
          <w:spacing w:val="-2"/>
        </w:rPr>
        <w:t>“</w:t>
      </w:r>
      <w:r>
        <w:rPr>
          <w:spacing w:val="-2"/>
        </w:rPr>
        <w:t>外币报表折算差额</w:t>
      </w:r>
      <w:r>
        <w:rPr>
          <w:rFonts w:ascii="Times New Roman" w:hAnsi="Times New Roman" w:cs="Times New Roman" w:eastAsia="Times New Roman" w:hint="default"/>
          <w:spacing w:val="-2"/>
        </w:rPr>
        <w:t>”</w:t>
      </w:r>
      <w:r>
        <w:rPr>
          <w:spacing w:val="-2"/>
        </w:rPr>
        <w:t>确认为其他综合收益；处置境外经营时，计入处置当期损</w:t>
      </w:r>
      <w:r>
        <w:rPr>
          <w:spacing w:val="-11"/>
        </w:rPr>
        <w:t> </w:t>
      </w:r>
      <w:r>
        <w:rPr>
          <w:spacing w:val="-11"/>
        </w:rPr>
      </w:r>
      <w:r>
        <w:rPr/>
        <w:t>益。</w:t>
      </w:r>
    </w:p>
    <w:p>
      <w:pPr>
        <w:pStyle w:val="BodyText"/>
        <w:spacing w:line="381" w:lineRule="auto" w:before="58"/>
        <w:ind w:right="0" w:firstLine="480"/>
        <w:jc w:val="left"/>
      </w:pPr>
      <w:r>
        <w:rPr>
          <w:spacing w:val="-4"/>
        </w:rPr>
        <w:t>境外经营的外币财务报表按以下方法折算为人民币报表：资产负债表中的资产和负债项目，采用资产</w:t>
      </w:r>
      <w:r>
        <w:rPr>
          <w:w w:val="100"/>
        </w:rPr>
        <w:t> </w:t>
      </w:r>
      <w:r>
        <w:rPr>
          <w:spacing w:val="-4"/>
        </w:rPr>
        <w:t>负债表日的即期汇率折算；股东权益类项目除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项目外，其他项目采用发生时的即期汇率折算。</w:t>
      </w:r>
      <w:r>
        <w:rPr>
          <w:spacing w:val="-13"/>
        </w:rPr>
        <w:t> </w:t>
      </w:r>
      <w:r>
        <w:rPr>
          <w:spacing w:val="-13"/>
        </w:rPr>
      </w:r>
      <w:r>
        <w:rPr/>
        <w:t>利润表中的收入和费用项目，采用交易发生日的即期汇率折算。年初未分配利润为上一年折算后的年末未</w:t>
      </w:r>
      <w:r>
        <w:rPr>
          <w:w w:val="100"/>
        </w:rPr>
        <w:t> </w:t>
      </w:r>
      <w:r>
        <w:rPr/>
        <w:t>分配利润；年末未分配利润按折算后的利润分配各项目计算列示；折算后资产类项目与负债类项目和股东</w:t>
      </w:r>
      <w:r>
        <w:rPr>
          <w:w w:val="100"/>
        </w:rPr>
        <w:t> </w:t>
      </w:r>
      <w:r>
        <w:rPr>
          <w:spacing w:val="-4"/>
        </w:rPr>
        <w:t>权益类项目合计数的差额，作为外币报表折算差额，确认为其他综合收益。处置境外经营并丧失控制权时，</w:t>
      </w:r>
      <w:r>
        <w:rPr>
          <w:spacing w:val="-44"/>
        </w:rPr>
        <w:t> </w:t>
      </w:r>
      <w:r>
        <w:rPr>
          <w:spacing w:val="-44"/>
        </w:rPr>
      </w:r>
      <w:r>
        <w:rPr/>
        <w:t>将资产负债表中股东权益项目下列示的、与该境外经营相关的外币报表折算差额，全部或按处置该境外经</w:t>
      </w:r>
      <w:r>
        <w:rPr>
          <w:w w:val="100"/>
        </w:rPr>
        <w:t> </w:t>
      </w:r>
      <w:r>
        <w:rPr/>
        <w:t>营的比例转入处置当期损益。</w:t>
      </w:r>
    </w:p>
    <w:p>
      <w:pPr>
        <w:pStyle w:val="BodyText"/>
        <w:spacing w:line="386" w:lineRule="auto" w:before="38"/>
        <w:ind w:right="0" w:firstLine="480"/>
        <w:jc w:val="left"/>
      </w:pPr>
      <w:r>
        <w:rPr>
          <w:spacing w:val="-4"/>
        </w:rPr>
        <w:t>外币现金流量，采用现金流量发生日的即期汇率折算。汇率变动对现金的影响额作为调节项目，在现</w:t>
      </w:r>
      <w:r>
        <w:rPr>
          <w:w w:val="100"/>
        </w:rPr>
        <w:t> </w:t>
      </w:r>
      <w:r>
        <w:rPr/>
        <w:t>金流量表中单独列报。</w:t>
      </w:r>
    </w:p>
    <w:p>
      <w:pPr>
        <w:pStyle w:val="BodyText"/>
        <w:spacing w:line="381" w:lineRule="auto" w:before="38"/>
        <w:ind w:left="633" w:right="0"/>
        <w:jc w:val="left"/>
      </w:pPr>
      <w:r>
        <w:rPr/>
        <w:t>年初数和上年实际数按照上年财务报表折算后的数额列示。</w:t>
      </w:r>
      <w:r>
        <w:rPr>
          <w:w w:val="100"/>
        </w:rPr>
        <w:t> </w:t>
      </w:r>
      <w:r>
        <w:rPr/>
        <w:t>在处置本公司在境外经营的全部所有者权益或因处置部分股权投资或其他原因丧失了对境外经营控</w:t>
      </w:r>
    </w:p>
    <w:p>
      <w:pPr>
        <w:pStyle w:val="BodyText"/>
        <w:spacing w:line="384" w:lineRule="auto" w:before="43"/>
        <w:ind w:right="0"/>
        <w:jc w:val="left"/>
      </w:pPr>
      <w:r>
        <w:rPr>
          <w:spacing w:val="-2"/>
        </w:rPr>
        <w:t>制权时，将资产负债表中股东权益项目下列示的、与该境外经营相关的归属于母公司所有者权益的外币报</w:t>
      </w:r>
      <w:r>
        <w:rPr>
          <w:spacing w:val="-33"/>
        </w:rPr>
        <w:t> </w:t>
      </w:r>
      <w:r>
        <w:rPr>
          <w:spacing w:val="-33"/>
        </w:rPr>
      </w:r>
      <w:r>
        <w:rPr/>
        <w:t>表折算差额，全部转入处置当期损益。</w:t>
      </w:r>
      <w:r>
        <w:rPr>
          <w:spacing w:val="-100"/>
        </w:rPr>
        <w:t> </w:t>
      </w:r>
      <w:r>
        <w:rPr>
          <w:spacing w:val="-100"/>
        </w:rPr>
      </w:r>
      <w:r>
        <w:rPr>
          <w:spacing w:val="-2"/>
        </w:rPr>
        <w:t>在处置部分股权投资或其他原因导致持有境外经营权益比例降低但不丧失对境外经营控制权时，与该境外</w:t>
      </w:r>
      <w:r>
        <w:rPr>
          <w:spacing w:val="-33"/>
        </w:rPr>
        <w:t> </w:t>
      </w:r>
      <w:r>
        <w:rPr>
          <w:spacing w:val="-33"/>
        </w:rPr>
      </w:r>
      <w:r>
        <w:rPr>
          <w:spacing w:val="-2"/>
        </w:rPr>
        <w:t>经营处置部分相关的外币报表折算差额将归属于少数股东权益，不转入当期损益。在处置境外经营为联营</w:t>
      </w:r>
      <w:r>
        <w:rPr>
          <w:spacing w:val="-33"/>
        </w:rPr>
        <w:t> </w:t>
      </w:r>
      <w:r>
        <w:rPr>
          <w:spacing w:val="-33"/>
        </w:rPr>
      </w:r>
      <w:r>
        <w:rPr>
          <w:spacing w:val="-2"/>
        </w:rPr>
        <w:t>企业或合营企业的部分股权时，与该境外经营相关的外币报表折算差额，按处置该境外经营的比例转入处</w:t>
      </w:r>
      <w:r>
        <w:rPr>
          <w:spacing w:val="-33"/>
        </w:rPr>
        <w:t> </w:t>
      </w:r>
      <w:r>
        <w:rPr>
          <w:spacing w:val="-33"/>
        </w:rPr>
      </w:r>
      <w:r>
        <w:rPr/>
        <w:t>置当期损益。</w:t>
      </w:r>
    </w:p>
    <w:p>
      <w:pPr>
        <w:spacing w:after="0" w:line="384" w:lineRule="auto"/>
        <w:jc w:val="left"/>
        <w:sectPr>
          <w:pgSz w:w="11910" w:h="16840"/>
          <w:pgMar w:header="741" w:footer="979" w:top="1060" w:bottom="1160" w:left="980" w:right="920"/>
        </w:sectPr>
      </w:pPr>
    </w:p>
    <w:p>
      <w:pPr>
        <w:spacing w:line="240" w:lineRule="auto" w:before="4"/>
        <w:rPr>
          <w:rFonts w:ascii="宋体" w:hAnsi="宋体" w:cs="宋体" w:eastAsia="宋体" w:hint="default"/>
          <w:sz w:val="25"/>
          <w:szCs w:val="25"/>
        </w:rPr>
      </w:pPr>
    </w:p>
    <w:p>
      <w:pPr>
        <w:pStyle w:val="Heading4"/>
        <w:spacing w:line="240" w:lineRule="auto" w:before="36"/>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1"/>
        <w:ind w:right="202" w:firstLine="480"/>
        <w:jc w:val="both"/>
      </w:pPr>
      <w:r>
        <w:rPr>
          <w:spacing w:val="-3"/>
        </w:rPr>
        <w:t>在本公司成为金融工具合同的一方时确认一项金融资产或金融负债。金融资产和金融负债在初始确认</w:t>
      </w:r>
      <w:r>
        <w:rPr>
          <w:w w:val="100"/>
        </w:rPr>
        <w:t> </w:t>
      </w:r>
      <w:r>
        <w:rPr>
          <w:spacing w:val="-2"/>
        </w:rPr>
        <w:t>时以公允价值计量。对于以公允价值计量且其变动计入当期损益的金融资产和金融负债，相关的交易费用</w:t>
      </w:r>
      <w:r>
        <w:rPr>
          <w:spacing w:val="-30"/>
        </w:rPr>
        <w:t> </w:t>
      </w:r>
      <w:r>
        <w:rPr>
          <w:spacing w:val="-30"/>
        </w:rPr>
      </w:r>
      <w:r>
        <w:rPr/>
        <w:t>直接计入损益，对于其他类别的金融资产和金融负债，相关交易费用计入初始确认金额。</w:t>
      </w:r>
    </w:p>
    <w:p>
      <w:pPr>
        <w:pStyle w:val="BodyText"/>
        <w:spacing w:line="360" w:lineRule="auto" w:before="40"/>
        <w:ind w:left="633" w:right="0"/>
        <w:jc w:val="left"/>
      </w:pPr>
      <w:r>
        <w:rPr/>
        <w:t>（</w:t>
      </w:r>
      <w:r>
        <w:rPr>
          <w:rFonts w:ascii="Times New Roman" w:hAnsi="Times New Roman" w:cs="Times New Roman" w:eastAsia="Times New Roman" w:hint="default"/>
        </w:rPr>
        <w:t>1</w:t>
      </w:r>
      <w:r>
        <w:rPr/>
        <w:t>）金融资产和金融负债的公允价值确定方法</w:t>
      </w:r>
      <w:r>
        <w:rPr>
          <w:spacing w:val="-101"/>
        </w:rPr>
        <w:t> </w:t>
      </w:r>
      <w:r>
        <w:rPr>
          <w:spacing w:val="-101"/>
        </w:rPr>
      </w:r>
      <w:r>
        <w:rPr>
          <w:spacing w:val="-4"/>
        </w:rPr>
        <w:t>公允价值，是指市场参与者在计量日发生的有序交易中，出售一项资产所能收到或者转移一项负债所</w:t>
      </w:r>
    </w:p>
    <w:p>
      <w:pPr>
        <w:pStyle w:val="BodyText"/>
        <w:spacing w:line="384" w:lineRule="auto" w:before="61"/>
        <w:ind w:right="205"/>
        <w:jc w:val="both"/>
      </w:pPr>
      <w:r>
        <w:rPr>
          <w:spacing w:val="-2"/>
        </w:rPr>
        <w:t>需支付的价格。金融工具存在活跃市场的，本公司采用活跃市场中的报价确定其公允价值。活跃市场中的</w:t>
      </w:r>
      <w:r>
        <w:rPr>
          <w:spacing w:val="-33"/>
        </w:rPr>
        <w:t> </w:t>
      </w:r>
      <w:r>
        <w:rPr>
          <w:spacing w:val="-33"/>
        </w:rPr>
      </w:r>
      <w:r>
        <w:rPr>
          <w:spacing w:val="-2"/>
        </w:rPr>
        <w:t>报价是指易于定期从交易所、经纪商、行业协会、定价服务机构等获得的价格，且代表了在公平交易中实</w:t>
      </w:r>
      <w:r>
        <w:rPr>
          <w:spacing w:val="-33"/>
        </w:rPr>
        <w:t> </w:t>
      </w:r>
      <w:r>
        <w:rPr>
          <w:spacing w:val="-33"/>
        </w:rPr>
      </w:r>
      <w:r>
        <w:rPr>
          <w:spacing w:val="-2"/>
        </w:rPr>
        <w:t>际发生的市场交易的价格。金融工具不存在活跃市场的，本公司采用估值技术确定其公允价值。估值技术</w:t>
      </w:r>
      <w:r>
        <w:rPr>
          <w:spacing w:val="-33"/>
        </w:rPr>
        <w:t> </w:t>
      </w:r>
      <w:r>
        <w:rPr>
          <w:spacing w:val="-33"/>
        </w:rPr>
      </w:r>
      <w:r>
        <w:rPr>
          <w:spacing w:val="-2"/>
        </w:rPr>
        <w:t>包括参考熟悉情况并自愿交易的各方最近进行的市场交易中使用的价格、参照实质上相同的其他金融工具</w:t>
      </w:r>
      <w:r>
        <w:rPr>
          <w:spacing w:val="-33"/>
        </w:rPr>
        <w:t> </w:t>
      </w:r>
      <w:r>
        <w:rPr>
          <w:spacing w:val="-33"/>
        </w:rPr>
      </w:r>
      <w:r>
        <w:rPr/>
        <w:t>当前的公允价值、现金流量折现法和期权定价模型等。</w:t>
      </w:r>
    </w:p>
    <w:p>
      <w:pPr>
        <w:pStyle w:val="BodyText"/>
        <w:spacing w:line="364" w:lineRule="auto" w:before="36"/>
        <w:ind w:left="633" w:right="0"/>
        <w:jc w:val="left"/>
      </w:pPr>
      <w:r>
        <w:rPr/>
        <w:t>（</w:t>
      </w:r>
      <w:r>
        <w:rPr>
          <w:rFonts w:ascii="Times New Roman" w:hAnsi="Times New Roman" w:cs="Times New Roman" w:eastAsia="Times New Roman" w:hint="default"/>
        </w:rPr>
        <w:t>2</w:t>
      </w:r>
      <w:r>
        <w:rPr/>
        <w:t>）金融资产的分类、确认和计量</w:t>
      </w:r>
      <w:r>
        <w:rPr>
          <w:spacing w:val="-102"/>
        </w:rPr>
        <w:t> </w:t>
      </w:r>
      <w:r>
        <w:rPr>
          <w:spacing w:val="-102"/>
        </w:rPr>
      </w:r>
      <w:r>
        <w:rPr>
          <w:spacing w:val="-4"/>
        </w:rPr>
        <w:t>以常规方式买卖金融资产，按交易日进行会计确认和终止确认。金融资产在初始确认时划分为以公允</w:t>
      </w:r>
    </w:p>
    <w:p>
      <w:pPr>
        <w:pStyle w:val="BodyText"/>
        <w:spacing w:line="240" w:lineRule="auto" w:before="58"/>
        <w:ind w:right="0"/>
        <w:jc w:val="both"/>
      </w:pPr>
      <w:r>
        <w:rPr/>
        <w:t>价值计量且其变动计入当期损益的金融资产、持有至到期投资、贷款和应收款项以及可供出售金融资产。</w:t>
      </w:r>
    </w:p>
    <w:p>
      <w:pPr>
        <w:pStyle w:val="BodyText"/>
        <w:spacing w:line="386" w:lineRule="auto" w:before="162"/>
        <w:ind w:left="633" w:right="0"/>
        <w:jc w:val="left"/>
      </w:pPr>
      <w:r>
        <w:rPr/>
        <w:t>①以公允价值计量且其变动计入当期损益的金融资产</w:t>
      </w:r>
      <w:r>
        <w:rPr>
          <w:spacing w:val="-103"/>
        </w:rPr>
        <w:t> </w:t>
      </w:r>
      <w:r>
        <w:rPr>
          <w:spacing w:val="-103"/>
        </w:rPr>
      </w:r>
      <w:r>
        <w:rPr/>
        <w:t>包括交易性金融资产和指定为以公允价值计量且其变动计入当期损益的金融资产。</w:t>
      </w:r>
      <w:r>
        <w:rPr>
          <w:spacing w:val="-102"/>
        </w:rPr>
        <w:t> </w:t>
      </w:r>
      <w:r>
        <w:rPr>
          <w:spacing w:val="-102"/>
        </w:rPr>
      </w:r>
      <w:r>
        <w:rPr>
          <w:spacing w:val="-3"/>
        </w:rPr>
        <w:t>交易性金融资产是指满足下列条件之一的金融资产：</w:t>
      </w:r>
      <w:r>
        <w:rPr>
          <w:rFonts w:ascii="Times New Roman" w:hAnsi="Times New Roman" w:cs="Times New Roman" w:eastAsia="Times New Roman" w:hint="default"/>
          <w:spacing w:val="-3"/>
        </w:rPr>
        <w:t>A.</w:t>
      </w:r>
      <w:r>
        <w:rPr>
          <w:spacing w:val="-3"/>
        </w:rPr>
        <w:t>取得该金融资产的目的，主要是为了近期内出</w:t>
      </w:r>
    </w:p>
    <w:p>
      <w:pPr>
        <w:pStyle w:val="BodyText"/>
        <w:spacing w:line="369" w:lineRule="auto" w:before="4"/>
        <w:ind w:right="205"/>
        <w:jc w:val="both"/>
      </w:pPr>
      <w:r>
        <w:rPr>
          <w:spacing w:val="-2"/>
        </w:rPr>
        <w:t>售；</w:t>
      </w:r>
      <w:r>
        <w:rPr>
          <w:rFonts w:ascii="Times New Roman" w:hAnsi="Times New Roman" w:cs="Times New Roman" w:eastAsia="Times New Roman" w:hint="default"/>
          <w:spacing w:val="-2"/>
        </w:rPr>
        <w:t>B.</w:t>
      </w:r>
      <w:r>
        <w:rPr>
          <w:spacing w:val="-2"/>
        </w:rPr>
        <w:t>属于进行集中管理的可辨认金融工具组合的一部分，且有客观证据表明本公司近期采用短期获利方</w:t>
      </w:r>
      <w:r>
        <w:rPr>
          <w:spacing w:val="-13"/>
        </w:rPr>
        <w:t> </w:t>
      </w:r>
      <w:r>
        <w:rPr>
          <w:spacing w:val="-13"/>
        </w:rPr>
      </w:r>
      <w:r>
        <w:rPr>
          <w:spacing w:val="-2"/>
        </w:rPr>
        <w:t>式对该组合进行管理；</w:t>
      </w:r>
      <w:r>
        <w:rPr>
          <w:rFonts w:ascii="Times New Roman" w:hAnsi="Times New Roman" w:cs="Times New Roman" w:eastAsia="Times New Roman" w:hint="default"/>
          <w:spacing w:val="-2"/>
        </w:rPr>
        <w:t>C.</w:t>
      </w:r>
      <w:r>
        <w:rPr>
          <w:spacing w:val="-2"/>
        </w:rPr>
        <w:t>属于衍生工具，但是，被指定且为有效套期工具的衍生工具、属于财务担保合同</w:t>
      </w:r>
      <w:r>
        <w:rPr>
          <w:spacing w:val="-12"/>
        </w:rPr>
        <w:t> </w:t>
      </w:r>
      <w:r>
        <w:rPr>
          <w:spacing w:val="-12"/>
        </w:rPr>
      </w:r>
      <w:r>
        <w:rPr>
          <w:spacing w:val="-2"/>
        </w:rPr>
        <w:t>的衍生工具、与在活跃市场中没有报价且其公允价值不能可靠计量的权益工具投资挂钩并须通过交付该权</w:t>
      </w:r>
      <w:r>
        <w:rPr>
          <w:spacing w:val="-33"/>
        </w:rPr>
        <w:t> </w:t>
      </w:r>
      <w:r>
        <w:rPr>
          <w:spacing w:val="-33"/>
        </w:rPr>
      </w:r>
      <w:r>
        <w:rPr/>
        <w:t>益工具结算的衍生工具除外。</w:t>
      </w:r>
    </w:p>
    <w:p>
      <w:pPr>
        <w:pStyle w:val="BodyText"/>
        <w:spacing w:line="369" w:lineRule="auto" w:before="53"/>
        <w:ind w:right="202" w:firstLine="480"/>
        <w:jc w:val="both"/>
      </w:pPr>
      <w:r>
        <w:rPr>
          <w:spacing w:val="-3"/>
        </w:rPr>
        <w:t>符合下述条件之一的金融资产，在初始确认时可指定为以公允价值计量且其变动计入当期损益的金融</w:t>
      </w:r>
      <w:r>
        <w:rPr>
          <w:w w:val="100"/>
        </w:rPr>
        <w:t> </w:t>
      </w:r>
      <w:r>
        <w:rPr>
          <w:spacing w:val="-2"/>
        </w:rPr>
        <w:t>资产：</w:t>
      </w:r>
      <w:r>
        <w:rPr>
          <w:rFonts w:ascii="Times New Roman" w:hAnsi="Times New Roman" w:cs="Times New Roman" w:eastAsia="Times New Roman" w:hint="default"/>
          <w:spacing w:val="-2"/>
        </w:rPr>
        <w:t>A.</w:t>
      </w:r>
      <w:r>
        <w:rPr>
          <w:spacing w:val="-2"/>
        </w:rPr>
        <w:t>该指定可以消除或明显减少由于该金融资产的计量基础不同所导致的相关利得或损失在确认或计</w:t>
      </w:r>
      <w:r>
        <w:rPr>
          <w:spacing w:val="-23"/>
        </w:rPr>
        <w:t> </w:t>
      </w:r>
      <w:r>
        <w:rPr>
          <w:spacing w:val="-23"/>
        </w:rPr>
      </w:r>
      <w:r>
        <w:rPr>
          <w:spacing w:val="-2"/>
        </w:rPr>
        <w:t>量方面不一致的情况；</w:t>
      </w:r>
      <w:r>
        <w:rPr>
          <w:rFonts w:ascii="Times New Roman" w:hAnsi="Times New Roman" w:cs="Times New Roman" w:eastAsia="Times New Roman" w:hint="default"/>
          <w:spacing w:val="-2"/>
        </w:rPr>
        <w:t>B.</w:t>
      </w:r>
      <w:r>
        <w:rPr>
          <w:spacing w:val="-2"/>
        </w:rPr>
        <w:t>本公司风险管理或投资策略的正式书面文件已载明，对该金融资产所在的金融资</w:t>
      </w:r>
      <w:r>
        <w:rPr>
          <w:spacing w:val="-12"/>
        </w:rPr>
        <w:t> </w:t>
      </w:r>
      <w:r>
        <w:rPr>
          <w:spacing w:val="-12"/>
        </w:rPr>
      </w:r>
      <w:r>
        <w:rPr/>
        <w:t>产组合或金融资产和金融负债组合以公允价值为基础进行管理、评价并向关键管理人员报告。</w:t>
      </w:r>
    </w:p>
    <w:p>
      <w:pPr>
        <w:pStyle w:val="BodyText"/>
        <w:spacing w:line="381" w:lineRule="auto" w:before="53"/>
        <w:ind w:right="206" w:firstLine="480"/>
        <w:jc w:val="both"/>
      </w:pPr>
      <w:r>
        <w:rPr>
          <w:spacing w:val="-3"/>
        </w:rPr>
        <w:t>以公允价值计量且其变动计入当期损益的金融资产采用公允价值进行后续计量，公允价值变动形成的</w:t>
      </w:r>
      <w:r>
        <w:rPr>
          <w:w w:val="100"/>
        </w:rPr>
        <w:t> </w:t>
      </w:r>
      <w:r>
        <w:rPr/>
        <w:t>利得或损失以及与该等金融资产相关的股利和利息收入计入当期损益。</w:t>
      </w:r>
    </w:p>
    <w:p>
      <w:pPr>
        <w:pStyle w:val="BodyText"/>
        <w:spacing w:line="384" w:lineRule="auto" w:before="43"/>
        <w:ind w:left="633" w:right="0"/>
        <w:jc w:val="left"/>
      </w:pPr>
      <w:r>
        <w:rPr/>
        <w:t>②持有至到期投资</w:t>
      </w:r>
      <w:r>
        <w:rPr>
          <w:spacing w:val="-101"/>
        </w:rPr>
        <w:t> </w:t>
      </w:r>
      <w:r>
        <w:rPr>
          <w:spacing w:val="-101"/>
        </w:rPr>
      </w:r>
      <w:r>
        <w:rPr>
          <w:spacing w:val="-6"/>
          <w:w w:val="100"/>
        </w:rPr>
        <w:t>是指到期日固定、回收金额固定或可确定，且本公司有明确意图和能力持有至到期的非衍生金融资产。</w:t>
      </w:r>
      <w:r>
        <w:rPr>
          <w:spacing w:val="-75"/>
          <w:w w:val="100"/>
        </w:rPr>
        <w:t> </w:t>
      </w:r>
      <w:r>
        <w:rPr>
          <w:spacing w:val="-75"/>
          <w:w w:val="100"/>
        </w:rPr>
      </w:r>
      <w:r>
        <w:rPr>
          <w:spacing w:val="-4"/>
        </w:rPr>
        <w:t>持有至到期投资采用实际利率法，按摊余成本进行后续计量，在终止确认、发生减值或摊销时产生的</w:t>
      </w:r>
    </w:p>
    <w:p>
      <w:pPr>
        <w:pStyle w:val="BodyText"/>
        <w:spacing w:line="240" w:lineRule="auto" w:before="40"/>
        <w:ind w:right="0"/>
        <w:jc w:val="both"/>
      </w:pPr>
      <w:r>
        <w:rPr/>
        <w:t>利得或损失，计入当期损益。</w:t>
      </w:r>
    </w:p>
    <w:p>
      <w:pPr>
        <w:spacing w:after="0" w:line="240" w:lineRule="auto"/>
        <w:jc w:val="both"/>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84" w:lineRule="auto" w:before="36"/>
        <w:ind w:right="206" w:firstLine="480"/>
        <w:jc w:val="both"/>
      </w:pPr>
      <w:r>
        <w:rPr>
          <w:spacing w:val="-4"/>
        </w:rPr>
        <w:t>实际利率法是指按照金融资产或金融负债（含一组金融资产或金融负债）的实际利率计算其摊余成本</w:t>
      </w:r>
      <w:r>
        <w:rPr>
          <w:w w:val="100"/>
        </w:rPr>
        <w:t> </w:t>
      </w:r>
      <w:r>
        <w:rPr>
          <w:spacing w:val="-2"/>
        </w:rPr>
        <w:t>及各期利息收入或支出的方法。实际利率是指将金融资产或金融负债在预期存续期间或适用的更短期间内</w:t>
      </w:r>
      <w:r>
        <w:rPr>
          <w:spacing w:val="-33"/>
        </w:rPr>
        <w:t> </w:t>
      </w:r>
      <w:r>
        <w:rPr>
          <w:spacing w:val="-33"/>
        </w:rPr>
      </w:r>
      <w:r>
        <w:rPr/>
        <w:t>的未来现金流量，折现为该金融资产或金融负债当前账面价值所使用的利率。</w:t>
      </w:r>
    </w:p>
    <w:p>
      <w:pPr>
        <w:pStyle w:val="BodyText"/>
        <w:spacing w:line="240" w:lineRule="auto" w:before="40"/>
        <w:ind w:left="633" w:right="0"/>
        <w:jc w:val="left"/>
      </w:pPr>
      <w:r>
        <w:rPr/>
        <w:t>在计算实际利率时，本公司将在考虑金融资产或金融负债所有合同条款的基础上预计未来现金流量</w:t>
      </w:r>
    </w:p>
    <w:p>
      <w:pPr>
        <w:pStyle w:val="BodyText"/>
        <w:spacing w:line="381" w:lineRule="auto" w:before="166"/>
        <w:ind w:right="0"/>
        <w:jc w:val="left"/>
      </w:pPr>
      <w:r>
        <w:rPr>
          <w:spacing w:val="-2"/>
        </w:rPr>
        <w:t>（不考虑未来的信用损失），同时还将考虑金融资产或金融负债合同各方之间支付或收取的、属于实际利</w:t>
      </w:r>
      <w:r>
        <w:rPr>
          <w:spacing w:val="-33"/>
        </w:rPr>
        <w:t> </w:t>
      </w:r>
      <w:r>
        <w:rPr>
          <w:spacing w:val="-33"/>
        </w:rPr>
      </w:r>
      <w:r>
        <w:rPr/>
        <w:t>率组成部分的各项收费、交易费用及折价或溢价等。</w:t>
      </w:r>
    </w:p>
    <w:p>
      <w:pPr>
        <w:pStyle w:val="BodyText"/>
        <w:spacing w:line="386" w:lineRule="auto" w:before="43"/>
        <w:ind w:left="633" w:right="0"/>
        <w:jc w:val="left"/>
      </w:pPr>
      <w:r>
        <w:rPr/>
        <w:t>③贷款和应收款项</w:t>
      </w:r>
      <w:r>
        <w:rPr>
          <w:spacing w:val="-101"/>
        </w:rPr>
        <w:t> </w:t>
      </w:r>
      <w:r>
        <w:rPr>
          <w:spacing w:val="-101"/>
        </w:rPr>
      </w:r>
      <w:r>
        <w:rPr>
          <w:spacing w:val="-4"/>
        </w:rPr>
        <w:t>是指在活跃市场中没有报价、回收金额固定或可确定的非衍生金融资产。本公司划分为贷款和应收款</w:t>
      </w:r>
    </w:p>
    <w:p>
      <w:pPr>
        <w:pStyle w:val="BodyText"/>
        <w:spacing w:line="386" w:lineRule="auto"/>
        <w:ind w:left="633" w:right="0" w:hanging="480"/>
        <w:jc w:val="left"/>
      </w:pPr>
      <w:r>
        <w:rPr/>
        <w:t>的金融资产包括应收票据、应收账款、应收利息、应收股利及其他应收款等。</w:t>
      </w:r>
      <w:r>
        <w:rPr>
          <w:w w:val="100"/>
        </w:rPr>
        <w:t> </w:t>
      </w:r>
      <w:r>
        <w:rPr>
          <w:spacing w:val="-4"/>
        </w:rPr>
        <w:t>贷款和应收款项采用实际利率法，按摊余成本进行后续计量，在终止确认、发生减值或摊销时产生的</w:t>
      </w:r>
    </w:p>
    <w:p>
      <w:pPr>
        <w:pStyle w:val="BodyText"/>
        <w:spacing w:line="240" w:lineRule="auto" w:before="38"/>
        <w:ind w:right="0"/>
        <w:jc w:val="left"/>
      </w:pPr>
      <w:r>
        <w:rPr/>
        <w:t>利得或损失，计入当期损益。</w:t>
      </w:r>
    </w:p>
    <w:p>
      <w:pPr>
        <w:pStyle w:val="BodyText"/>
        <w:spacing w:line="386" w:lineRule="auto" w:before="162"/>
        <w:ind w:left="633" w:right="0"/>
        <w:jc w:val="left"/>
      </w:pPr>
      <w:r>
        <w:rPr/>
        <w:t>④可供出售金融资产</w:t>
      </w:r>
      <w:r>
        <w:rPr>
          <w:spacing w:val="-100"/>
        </w:rPr>
        <w:t> </w:t>
      </w:r>
      <w:r>
        <w:rPr>
          <w:spacing w:val="-100"/>
        </w:rPr>
      </w:r>
      <w:r>
        <w:rPr>
          <w:spacing w:val="-3"/>
        </w:rPr>
        <w:t>包括初始确认时即被指定为可供出售的非衍生金融资产，以及除了以公允价值计量且其变动计入当期</w:t>
      </w:r>
    </w:p>
    <w:p>
      <w:pPr>
        <w:pStyle w:val="BodyText"/>
        <w:spacing w:line="381" w:lineRule="auto" w:before="39"/>
        <w:ind w:left="633" w:right="0" w:hanging="480"/>
        <w:jc w:val="left"/>
      </w:pPr>
      <w:r>
        <w:rPr/>
        <w:t>损益的金融资产、贷款和应收款项、持有至到期投资以外的金融资产。</w:t>
      </w:r>
      <w:r>
        <w:rPr>
          <w:spacing w:val="-103"/>
        </w:rPr>
        <w:t> </w:t>
      </w:r>
      <w:r>
        <w:rPr>
          <w:spacing w:val="-103"/>
        </w:rPr>
      </w:r>
      <w:r>
        <w:rPr>
          <w:spacing w:val="-3"/>
        </w:rPr>
        <w:t>可供出售债务工具投资的期末成本按照其摊余成本法确定，即初始确认金额扣除已偿还的本金，加上</w:t>
      </w:r>
    </w:p>
    <w:p>
      <w:pPr>
        <w:pStyle w:val="BodyText"/>
        <w:spacing w:line="386" w:lineRule="auto" w:before="43"/>
        <w:ind w:right="0"/>
        <w:jc w:val="left"/>
      </w:pPr>
      <w:r>
        <w:rPr>
          <w:spacing w:val="-2"/>
        </w:rPr>
        <w:t>或减去采用实际利率法将该初始确认金额与到期日金额之间的差额进行摊销形成的累计摊销额，并扣除已</w:t>
      </w:r>
      <w:r>
        <w:rPr>
          <w:spacing w:val="-33"/>
        </w:rPr>
        <w:t> </w:t>
      </w:r>
      <w:r>
        <w:rPr>
          <w:spacing w:val="-33"/>
        </w:rPr>
      </w:r>
      <w:r>
        <w:rPr/>
        <w:t>发生的减值损失后的金额。可供出售权益工具投资的期末成本为其初始取得成本。</w:t>
      </w:r>
    </w:p>
    <w:p>
      <w:pPr>
        <w:pStyle w:val="BodyText"/>
        <w:spacing w:line="384" w:lineRule="auto"/>
        <w:ind w:right="205" w:firstLine="480"/>
        <w:jc w:val="both"/>
      </w:pPr>
      <w:r>
        <w:rPr>
          <w:spacing w:val="-4"/>
        </w:rPr>
        <w:t>可供出售金融资产采用公允价值进行后续计量，公允价值变动形成的利得或损失，除减值损失和外币</w:t>
      </w:r>
      <w:r>
        <w:rPr>
          <w:w w:val="100"/>
        </w:rPr>
        <w:t> </w:t>
      </w:r>
      <w:r>
        <w:rPr>
          <w:spacing w:val="-2"/>
        </w:rPr>
        <w:t>货币性金融资产与摊余成本相关的汇兑差额计入当期损益外，确认为其他综合收益，在该金融资产终止确</w:t>
      </w:r>
      <w:r>
        <w:rPr>
          <w:spacing w:val="-33"/>
        </w:rPr>
        <w:t> </w:t>
      </w:r>
      <w:r>
        <w:rPr>
          <w:spacing w:val="-33"/>
        </w:rPr>
      </w:r>
      <w:r>
        <w:rPr>
          <w:spacing w:val="-2"/>
        </w:rPr>
        <w:t>认时转出，计入当期损益。但是，在活跃市场中没有报价且其公允价值不能可靠计量的权益工具投资，以</w:t>
      </w:r>
      <w:r>
        <w:rPr>
          <w:spacing w:val="-33"/>
        </w:rPr>
        <w:t> </w:t>
      </w:r>
      <w:r>
        <w:rPr>
          <w:spacing w:val="-33"/>
        </w:rPr>
      </w:r>
      <w:r>
        <w:rPr/>
        <w:t>及与该权益工具挂钩并须通过交付该权益工具结算的衍生金融资产，按照成本进行后续计量。</w:t>
      </w:r>
    </w:p>
    <w:p>
      <w:pPr>
        <w:pStyle w:val="BodyText"/>
        <w:spacing w:line="240" w:lineRule="auto" w:before="40"/>
        <w:ind w:left="633" w:right="0"/>
        <w:jc w:val="left"/>
      </w:pPr>
      <w:r>
        <w:rPr/>
        <w:t>可供出售金融资产持有期间取得的利息及被投资单位宣告发放的现金股利，计入投资收益。</w:t>
      </w:r>
    </w:p>
    <w:p>
      <w:pPr>
        <w:pStyle w:val="BodyText"/>
        <w:spacing w:line="360" w:lineRule="auto" w:before="166"/>
        <w:ind w:left="633" w:right="0"/>
        <w:jc w:val="left"/>
      </w:pPr>
      <w:r>
        <w:rPr/>
        <w:t>（</w:t>
      </w:r>
      <w:r>
        <w:rPr>
          <w:rFonts w:ascii="Times New Roman" w:hAnsi="Times New Roman" w:cs="Times New Roman" w:eastAsia="Times New Roman" w:hint="default"/>
        </w:rPr>
        <w:t>3</w:t>
      </w:r>
      <w:r>
        <w:rPr/>
        <w:t>）金融资产减值</w:t>
      </w:r>
      <w:r>
        <w:rPr>
          <w:spacing w:val="-100"/>
        </w:rPr>
        <w:t> </w:t>
      </w:r>
      <w:r>
        <w:rPr>
          <w:spacing w:val="-100"/>
        </w:rPr>
      </w:r>
      <w:r>
        <w:rPr>
          <w:spacing w:val="-3"/>
        </w:rPr>
        <w:t>除了以公允价值计量且其变动计入当期损益的金融资产外，本公司在每个资产负债表日对其他金融资</w:t>
      </w:r>
    </w:p>
    <w:p>
      <w:pPr>
        <w:pStyle w:val="BodyText"/>
        <w:spacing w:line="386" w:lineRule="auto" w:before="62"/>
        <w:ind w:left="633" w:right="0" w:hanging="480"/>
        <w:jc w:val="left"/>
      </w:pPr>
      <w:r>
        <w:rPr/>
        <w:t>产的账面价值进行检查，有客观证据表明金融资产发生减值的，计提减值准备。</w:t>
      </w:r>
      <w:r>
        <w:rPr>
          <w:w w:val="100"/>
        </w:rPr>
        <w:t> </w:t>
      </w:r>
      <w:r>
        <w:rPr>
          <w:spacing w:val="-4"/>
        </w:rPr>
        <w:t>本公司对单项金额重大的金融资产单独进行减值测试；对单项金额不重大的金融资产，单独进行减值</w:t>
      </w:r>
    </w:p>
    <w:p>
      <w:pPr>
        <w:pStyle w:val="BodyText"/>
        <w:spacing w:line="240" w:lineRule="auto"/>
        <w:ind w:right="0"/>
        <w:jc w:val="left"/>
      </w:pPr>
      <w:r>
        <w:rPr>
          <w:spacing w:val="2"/>
        </w:rPr>
        <w:t>测试或包括在具有类似信用风险特征的金融资产组合中进行减值测试。单独测试未发生减值的金融资产</w:t>
      </w:r>
    </w:p>
    <w:p>
      <w:pPr>
        <w:pStyle w:val="BodyText"/>
        <w:spacing w:line="386" w:lineRule="auto" w:before="166"/>
        <w:ind w:right="0"/>
        <w:jc w:val="left"/>
      </w:pPr>
      <w:r>
        <w:rPr>
          <w:spacing w:val="-2"/>
        </w:rPr>
        <w:t>（包括单项金额重大和不重大的金融资产），包括在具有类似信用风险特征的金融资产组合中再进行减值</w:t>
      </w:r>
      <w:r>
        <w:rPr>
          <w:spacing w:val="-33"/>
        </w:rPr>
        <w:t> </w:t>
      </w:r>
      <w:r>
        <w:rPr>
          <w:spacing w:val="-33"/>
        </w:rPr>
      </w:r>
      <w:r>
        <w:rPr>
          <w:spacing w:val="-4"/>
        </w:rPr>
        <w:t>测试。已单项确认减值损失的金融资产，不包括在具有类似信用风险特征的金融资产组合中进行减值测试。</w:t>
      </w:r>
    </w:p>
    <w:p>
      <w:pPr>
        <w:pStyle w:val="BodyText"/>
        <w:spacing w:line="386" w:lineRule="auto"/>
        <w:ind w:left="633" w:right="0"/>
        <w:jc w:val="left"/>
      </w:pPr>
      <w:r>
        <w:rPr/>
        <w:t>①持有至到期投资、贷款和应收款项减值</w:t>
      </w:r>
      <w:r>
        <w:rPr>
          <w:w w:val="100"/>
        </w:rPr>
        <w:t> </w:t>
      </w:r>
      <w:r>
        <w:rPr>
          <w:spacing w:val="-3"/>
        </w:rPr>
        <w:t>以成本或摊余成本计量的金融资产将其账面价值减记至预计未来现金流量现值，减记金额确认为减值</w:t>
      </w:r>
    </w:p>
    <w:p>
      <w:pPr>
        <w:spacing w:after="0" w:line="386" w:lineRule="auto"/>
        <w:jc w:val="left"/>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84" w:lineRule="auto" w:before="36"/>
        <w:ind w:right="145"/>
        <w:jc w:val="both"/>
      </w:pPr>
      <w:r>
        <w:rPr>
          <w:spacing w:val="-2"/>
        </w:rPr>
        <w:t>损失，计入当期损益。金融资产在确认减值损失后，如有客观证据表明该金融资产价值已恢复，且客观上</w:t>
      </w:r>
      <w:r>
        <w:rPr>
          <w:spacing w:val="-33"/>
        </w:rPr>
        <w:t> </w:t>
      </w:r>
      <w:r>
        <w:rPr>
          <w:spacing w:val="-33"/>
        </w:rPr>
      </w:r>
      <w:r>
        <w:rPr>
          <w:spacing w:val="-2"/>
        </w:rPr>
        <w:t>与确认该损失后发生的事项有关，原确认的减值损失予以转回，金融资产转回减值损失后的账面价值不超</w:t>
      </w:r>
      <w:r>
        <w:rPr>
          <w:spacing w:val="-33"/>
        </w:rPr>
        <w:t> </w:t>
      </w:r>
      <w:r>
        <w:rPr>
          <w:spacing w:val="-33"/>
        </w:rPr>
      </w:r>
      <w:r>
        <w:rPr/>
        <w:t>过假定不计提减值准备情况下该金融资产在转回日的摊余成本。</w:t>
      </w:r>
    </w:p>
    <w:p>
      <w:pPr>
        <w:pStyle w:val="BodyText"/>
        <w:spacing w:line="386" w:lineRule="auto" w:before="40"/>
        <w:ind w:left="633" w:right="0"/>
        <w:jc w:val="left"/>
      </w:pPr>
      <w:r>
        <w:rPr/>
        <w:t>②可供出售金融资产减值</w:t>
      </w:r>
      <w:r>
        <w:rPr>
          <w:spacing w:val="-102"/>
        </w:rPr>
        <w:t> </w:t>
      </w:r>
      <w:r>
        <w:rPr>
          <w:spacing w:val="-102"/>
        </w:rPr>
      </w:r>
      <w:r>
        <w:rPr>
          <w:spacing w:val="-3"/>
        </w:rPr>
        <w:t>当综合相关因素判断可供出售权益工具投资公允价值下跌是严重或非暂时性下跌时，表明该可供出售</w:t>
      </w:r>
    </w:p>
    <w:p>
      <w:pPr>
        <w:pStyle w:val="BodyText"/>
        <w:spacing w:line="364" w:lineRule="auto"/>
        <w:ind w:right="142"/>
        <w:jc w:val="both"/>
      </w:pPr>
      <w:r>
        <w:rPr/>
        <w:t>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w:t>
      </w:r>
      <w:r>
        <w:rPr>
          <w:spacing w:val="-41"/>
        </w:rPr>
        <w:t> </w:t>
      </w:r>
      <w:r>
        <w:rPr/>
        <w:t>价值连续下跌时间超过</w:t>
      </w:r>
      <w:r>
        <w:rPr>
          <w:rFonts w:ascii="Times New Roman" w:hAnsi="Times New Roman" w:cs="Times New Roman" w:eastAsia="Times New Roman" w:hint="default"/>
        </w:rPr>
        <w:t>12</w:t>
      </w:r>
      <w:r>
        <w:rPr/>
        <w:t>个月。</w:t>
      </w:r>
    </w:p>
    <w:p>
      <w:pPr>
        <w:pStyle w:val="BodyText"/>
        <w:spacing w:line="384" w:lineRule="auto" w:before="30"/>
        <w:ind w:right="145" w:firstLine="480"/>
        <w:jc w:val="both"/>
      </w:pPr>
      <w:r>
        <w:rPr>
          <w:spacing w:val="-3"/>
        </w:rPr>
        <w:t>可供出售金融资产发生减值时，将原计入其他综合收益的因公允价值下降形成的累计损失予以转出并</w:t>
      </w:r>
      <w:r>
        <w:rPr>
          <w:w w:val="100"/>
        </w:rPr>
        <w:t> </w:t>
      </w:r>
      <w:r>
        <w:rPr>
          <w:spacing w:val="-2"/>
        </w:rPr>
        <w:t>计入当期损益，该转出的累计损失为该资产初始取得成本扣除已收回本金和已摊销金额、当前公允价值和</w:t>
      </w:r>
      <w:r>
        <w:rPr>
          <w:spacing w:val="-33"/>
        </w:rPr>
        <w:t> </w:t>
      </w:r>
      <w:r>
        <w:rPr>
          <w:spacing w:val="-33"/>
        </w:rPr>
      </w:r>
      <w:r>
        <w:rPr/>
        <w:t>原已计入损益的减值损失后的余额。</w:t>
      </w:r>
    </w:p>
    <w:p>
      <w:pPr>
        <w:pStyle w:val="BodyText"/>
        <w:spacing w:line="384" w:lineRule="auto" w:before="40"/>
        <w:ind w:right="145" w:firstLine="480"/>
        <w:jc w:val="both"/>
      </w:pPr>
      <w:r>
        <w:rPr>
          <w:spacing w:val="-4"/>
        </w:rPr>
        <w:t>在确认减值损失后，期后如有客观证据表明该金融资产价值已恢复，且客观上与确认该损失后发生的</w:t>
      </w:r>
      <w:r>
        <w:rPr>
          <w:w w:val="100"/>
        </w:rPr>
        <w:t> </w:t>
      </w:r>
      <w:r>
        <w:rPr>
          <w:spacing w:val="-2"/>
        </w:rPr>
        <w:t>事项有关，原确认的减值损失予以转回，可供出售权益工具投资的减值损失转回确认为其他综合收益，可</w:t>
      </w:r>
      <w:r>
        <w:rPr>
          <w:spacing w:val="-33"/>
        </w:rPr>
        <w:t> </w:t>
      </w:r>
      <w:r>
        <w:rPr>
          <w:spacing w:val="-33"/>
        </w:rPr>
      </w:r>
      <w:r>
        <w:rPr/>
        <w:t>供出售债务工具的减值损失转回计入当期损益。</w:t>
      </w:r>
    </w:p>
    <w:p>
      <w:pPr>
        <w:pStyle w:val="BodyText"/>
        <w:spacing w:line="381" w:lineRule="auto" w:before="41"/>
        <w:ind w:right="146" w:firstLine="480"/>
        <w:jc w:val="both"/>
      </w:pPr>
      <w:r>
        <w:rPr>
          <w:spacing w:val="-3"/>
        </w:rPr>
        <w:t>在活跃市场中没有报价且其公允价值不能可靠计量的权益工具投资，或与该权益工具挂钩并须通过交</w:t>
      </w:r>
      <w:r>
        <w:rPr>
          <w:w w:val="100"/>
        </w:rPr>
        <w:t> </w:t>
      </w:r>
      <w:r>
        <w:rPr/>
        <w:t>付该权益工具结算的衍生金融资产的减值损失，不予转回。</w:t>
      </w:r>
    </w:p>
    <w:p>
      <w:pPr>
        <w:pStyle w:val="BodyText"/>
        <w:spacing w:line="364" w:lineRule="auto" w:before="43"/>
        <w:ind w:left="633" w:right="0"/>
        <w:jc w:val="left"/>
      </w:pPr>
      <w:r>
        <w:rPr/>
        <w:t>（</w:t>
      </w:r>
      <w:r>
        <w:rPr>
          <w:rFonts w:ascii="Times New Roman" w:hAnsi="Times New Roman" w:cs="Times New Roman" w:eastAsia="Times New Roman" w:hint="default"/>
        </w:rPr>
        <w:t>4</w:t>
      </w:r>
      <w:r>
        <w:rPr/>
        <w:t>）金融资产转移的确认依据和计量方法</w:t>
      </w:r>
      <w:r>
        <w:rPr>
          <w:spacing w:val="-103"/>
        </w:rPr>
        <w:t> </w:t>
      </w:r>
      <w:r>
        <w:rPr>
          <w:spacing w:val="-103"/>
        </w:rPr>
      </w:r>
      <w:r>
        <w:rPr>
          <w:spacing w:val="-3"/>
        </w:rPr>
        <w:t>满足下列条件之一的金融资产，予以终止确认：①收取该金融资产现金流量的合同权利终止；②该金</w:t>
      </w:r>
    </w:p>
    <w:p>
      <w:pPr>
        <w:pStyle w:val="BodyText"/>
        <w:spacing w:line="386" w:lineRule="auto" w:before="53"/>
        <w:ind w:right="144"/>
        <w:jc w:val="both"/>
      </w:pPr>
      <w:r>
        <w:rPr>
          <w:spacing w:val="-2"/>
        </w:rPr>
        <w:t>融资产已转移，且将金融资产所有权上几乎所有的风险和报酬转移给转入方；③该金融资产已转移，虽然</w:t>
      </w:r>
      <w:r>
        <w:rPr>
          <w:spacing w:val="-32"/>
        </w:rPr>
        <w:t> </w:t>
      </w:r>
      <w:r>
        <w:rPr>
          <w:spacing w:val="-32"/>
        </w:rPr>
      </w:r>
      <w:r>
        <w:rPr/>
        <w:t>企业既没有转移也没有保留金融资产所有权上几乎所有的风险和报酬，但是放弃了对该金融资产控制。</w:t>
      </w:r>
    </w:p>
    <w:p>
      <w:pPr>
        <w:pStyle w:val="BodyText"/>
        <w:spacing w:line="384" w:lineRule="auto" w:before="38"/>
        <w:ind w:right="145" w:firstLine="480"/>
        <w:jc w:val="both"/>
      </w:pPr>
      <w:r>
        <w:rPr>
          <w:spacing w:val="-3"/>
          <w:w w:val="100"/>
        </w:rPr>
        <w:t>若企业既没有转移也没有保留金融资产所有权上几乎所有的风险和报酬，且未放弃对该金融资产的控</w:t>
      </w:r>
      <w:r>
        <w:rPr>
          <w:w w:val="100"/>
        </w:rPr>
        <w:t> </w:t>
      </w:r>
      <w:r>
        <w:rPr>
          <w:spacing w:val="-2"/>
        </w:rPr>
        <w:t>制的，则按照继续涉入所转移金融资产的程度确认有关金融资产，并相应确认有关负债。继续涉入所转移</w:t>
      </w:r>
      <w:r>
        <w:rPr>
          <w:spacing w:val="-33"/>
        </w:rPr>
        <w:t> </w:t>
      </w:r>
      <w:r>
        <w:rPr>
          <w:spacing w:val="-33"/>
        </w:rPr>
      </w:r>
      <w:r>
        <w:rPr/>
        <w:t>金融资产的程度，是指该金融资产价值变动使企业面临的风险水平。</w:t>
      </w:r>
    </w:p>
    <w:p>
      <w:pPr>
        <w:pStyle w:val="BodyText"/>
        <w:spacing w:line="381" w:lineRule="auto" w:before="40"/>
        <w:ind w:right="146" w:firstLine="480"/>
        <w:jc w:val="both"/>
      </w:pPr>
      <w:r>
        <w:rPr>
          <w:spacing w:val="-3"/>
        </w:rPr>
        <w:t>金融资产整体转移满足终止确认条件的，将所转移金融资产的账面价值及因转移而收到的对价与原计</w:t>
      </w:r>
      <w:r>
        <w:rPr>
          <w:w w:val="100"/>
        </w:rPr>
        <w:t> </w:t>
      </w:r>
      <w:r>
        <w:rPr/>
        <w:t>入其他综合收益的公允价值变动累计额之和的差额计入当期损益。</w:t>
      </w:r>
    </w:p>
    <w:p>
      <w:pPr>
        <w:pStyle w:val="BodyText"/>
        <w:spacing w:line="384" w:lineRule="auto" w:before="43"/>
        <w:ind w:right="146" w:firstLine="480"/>
        <w:jc w:val="both"/>
      </w:pPr>
      <w:r>
        <w:rPr>
          <w:spacing w:val="-3"/>
        </w:rPr>
        <w:t>金融资产部分转移满足终止确认条件的，将所转移金融资产的账面价值在终止确认及未终止确认部分</w:t>
      </w:r>
      <w:r>
        <w:rPr>
          <w:w w:val="100"/>
        </w:rPr>
        <w:t> </w:t>
      </w:r>
      <w:r>
        <w:rPr>
          <w:spacing w:val="-2"/>
        </w:rPr>
        <w:t>之间按其相对的公允价值进行分摊，并将因转移而收到的对价与应分摊至终止确认部分的原计入其他综合</w:t>
      </w:r>
      <w:r>
        <w:rPr>
          <w:spacing w:val="-33"/>
        </w:rPr>
        <w:t> </w:t>
      </w:r>
      <w:r>
        <w:rPr>
          <w:spacing w:val="-33"/>
        </w:rPr>
      </w:r>
      <w:r>
        <w:rPr/>
        <w:t>收益的公允价值变动累计额之和与分摊的前述账面金额之差额计入当期损益。</w:t>
      </w:r>
    </w:p>
    <w:p>
      <w:pPr>
        <w:pStyle w:val="BodyText"/>
        <w:spacing w:line="384" w:lineRule="auto" w:before="40"/>
        <w:ind w:right="124" w:firstLine="480"/>
        <w:jc w:val="both"/>
      </w:pPr>
      <w:r>
        <w:rPr>
          <w:spacing w:val="-4"/>
        </w:rPr>
        <w:t>本公司对采用附追索权方式出售的金融资产，或将持有的金融资产背书转让，需确定该金融资产所有</w:t>
      </w:r>
      <w:r>
        <w:rPr>
          <w:w w:val="100"/>
        </w:rPr>
        <w:t> </w:t>
      </w:r>
      <w:r>
        <w:rPr>
          <w:spacing w:val="-2"/>
        </w:rPr>
        <w:t>权上几乎所有的风险和报酬是否已经转移。已将该金融资产所有权上几乎所有的风险和报酬转移给转入方</w:t>
      </w:r>
      <w:r>
        <w:rPr>
          <w:spacing w:val="-33"/>
        </w:rPr>
        <w:t> </w:t>
      </w:r>
      <w:r>
        <w:rPr>
          <w:spacing w:val="-33"/>
        </w:rPr>
      </w:r>
      <w:r>
        <w:rPr>
          <w:spacing w:val="-2"/>
        </w:rPr>
        <w:t>的，终止确认该金融资产；保留了金融资产所有权上几乎所有的风险和报酬的，不终止确认该金融资产；</w:t>
      </w:r>
      <w:r>
        <w:rPr>
          <w:spacing w:val="-11"/>
        </w:rPr>
        <w:t> </w:t>
      </w:r>
      <w:r>
        <w:rPr>
          <w:spacing w:val="-11"/>
        </w:rPr>
      </w:r>
      <w:r>
        <w:rPr>
          <w:spacing w:val="-2"/>
        </w:rPr>
        <w:t>既没有转移也没有保留金融资产所有权上几乎所有的风险和报酬的，则继续判断企业是否对该资产保留了</w:t>
      </w:r>
    </w:p>
    <w:p>
      <w:pPr>
        <w:spacing w:after="0" w:line="384" w:lineRule="auto"/>
        <w:jc w:val="both"/>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right="0"/>
        <w:jc w:val="left"/>
      </w:pPr>
      <w:r>
        <w:rPr/>
        <w:t>控制，并根据前面各段所述的原则进行会计处理。</w:t>
      </w:r>
    </w:p>
    <w:p>
      <w:pPr>
        <w:pStyle w:val="BodyText"/>
        <w:spacing w:line="360" w:lineRule="auto" w:before="166"/>
        <w:ind w:left="633" w:right="0"/>
        <w:jc w:val="left"/>
      </w:pPr>
      <w:r>
        <w:rPr/>
        <w:t>（</w:t>
      </w:r>
      <w:r>
        <w:rPr>
          <w:rFonts w:ascii="Times New Roman" w:hAnsi="Times New Roman" w:cs="Times New Roman" w:eastAsia="Times New Roman" w:hint="default"/>
        </w:rPr>
        <w:t>5</w:t>
      </w:r>
      <w:r>
        <w:rPr/>
        <w:t>）金融负债的分类和计量</w:t>
      </w:r>
      <w:r>
        <w:rPr>
          <w:spacing w:val="-100"/>
        </w:rPr>
        <w:t> </w:t>
      </w:r>
      <w:r>
        <w:rPr>
          <w:spacing w:val="-100"/>
        </w:rPr>
      </w:r>
      <w:r>
        <w:rPr>
          <w:spacing w:val="-3"/>
        </w:rPr>
        <w:t>金融负债在初始确认时划分为以公允价值计量且其变动计入当期损益的金融负债和其他金融负债。初</w:t>
      </w:r>
    </w:p>
    <w:p>
      <w:pPr>
        <w:pStyle w:val="BodyText"/>
        <w:spacing w:line="386" w:lineRule="auto" w:before="61"/>
        <w:ind w:right="0"/>
        <w:jc w:val="left"/>
      </w:pPr>
      <w:r>
        <w:rPr>
          <w:spacing w:val="-2"/>
        </w:rPr>
        <w:t>始确认金融负债，以公允价值计量。对于以公允价值计量且其变动计入当期损益的金融负债，相关的交易</w:t>
      </w:r>
      <w:r>
        <w:rPr>
          <w:spacing w:val="-33"/>
        </w:rPr>
        <w:t> </w:t>
      </w:r>
      <w:r>
        <w:rPr>
          <w:spacing w:val="-33"/>
        </w:rPr>
      </w:r>
      <w:r>
        <w:rPr/>
        <w:t>费用直接计入当期损益，对于其他金融负债，相关交易费用计入初始确认金额。</w:t>
      </w:r>
    </w:p>
    <w:p>
      <w:pPr>
        <w:pStyle w:val="BodyText"/>
        <w:spacing w:line="386" w:lineRule="auto"/>
        <w:ind w:left="633" w:right="0"/>
        <w:jc w:val="left"/>
      </w:pPr>
      <w:r>
        <w:rPr/>
        <w:t>①以公允价值计量且其变动计入当期损益的金融负债</w:t>
      </w:r>
      <w:r>
        <w:rPr>
          <w:spacing w:val="-101"/>
        </w:rPr>
        <w:t> </w:t>
      </w:r>
      <w:r>
        <w:rPr>
          <w:spacing w:val="-101"/>
        </w:rPr>
      </w:r>
      <w:r>
        <w:rPr/>
        <w:t>分类为交易性金融负债和在初始确认时指定为以公允价值计量且其变动计入当期损益的金融负债的</w:t>
      </w:r>
    </w:p>
    <w:p>
      <w:pPr>
        <w:pStyle w:val="BodyText"/>
        <w:spacing w:line="381" w:lineRule="auto" w:before="38"/>
        <w:ind w:right="0"/>
        <w:jc w:val="left"/>
      </w:pPr>
      <w:r>
        <w:rPr/>
        <w:t>条件与分类为交易性金融资产和在初始确认时指定为以公允价值计量且其变动计入当期损益的金融资产</w:t>
      </w:r>
      <w:r>
        <w:rPr>
          <w:spacing w:val="60"/>
        </w:rPr>
        <w:t> </w:t>
      </w:r>
      <w:r>
        <w:rPr>
          <w:spacing w:val="60"/>
        </w:rPr>
      </w:r>
      <w:r>
        <w:rPr/>
        <w:t>的条件一致。</w:t>
      </w:r>
    </w:p>
    <w:p>
      <w:pPr>
        <w:pStyle w:val="BodyText"/>
        <w:spacing w:line="386" w:lineRule="auto" w:before="43"/>
        <w:ind w:right="206" w:firstLine="480"/>
        <w:jc w:val="both"/>
      </w:pPr>
      <w:r>
        <w:rPr>
          <w:spacing w:val="-3"/>
        </w:rPr>
        <w:t>以公允价值计量且其变动计入当期损益的金融负债采用公允价值进行后续计量，公允价值的变动形成</w:t>
      </w:r>
      <w:r>
        <w:rPr>
          <w:w w:val="100"/>
        </w:rPr>
        <w:t> </w:t>
      </w:r>
      <w:r>
        <w:rPr/>
        <w:t>的利得或损失以及与该等金融负债相关的股利和利息支出计入当期损益。</w:t>
      </w:r>
    </w:p>
    <w:p>
      <w:pPr>
        <w:pStyle w:val="BodyText"/>
        <w:spacing w:line="240" w:lineRule="auto"/>
        <w:ind w:left="633" w:right="0"/>
        <w:jc w:val="left"/>
      </w:pPr>
      <w:r>
        <w:rPr/>
        <w:t>②其他金融负债</w:t>
      </w:r>
    </w:p>
    <w:p>
      <w:pPr>
        <w:spacing w:line="367" w:lineRule="auto" w:before="155"/>
        <w:ind w:left="153" w:right="203" w:firstLine="480"/>
        <w:jc w:val="both"/>
        <w:rPr>
          <w:rFonts w:ascii="宋体" w:hAnsi="宋体" w:cs="宋体" w:eastAsia="宋体" w:hint="default"/>
          <w:sz w:val="22"/>
          <w:szCs w:val="22"/>
        </w:rPr>
      </w:pPr>
      <w:r>
        <w:rPr>
          <w:rFonts w:ascii="宋体" w:hAnsi="宋体" w:cs="宋体" w:eastAsia="宋体" w:hint="default"/>
          <w:i/>
          <w:spacing w:val="-4"/>
          <w:w w:val="95"/>
          <w:sz w:val="22"/>
          <w:szCs w:val="22"/>
        </w:rPr>
        <w:t>与在活跃市场中没有报价、公允价值不能可靠计量的权益工具挂钩并须通过交付该权益工具结算的衍</w:t>
      </w:r>
      <w:r>
        <w:rPr>
          <w:rFonts w:ascii="宋体" w:hAnsi="宋体" w:cs="宋体" w:eastAsia="宋体" w:hint="default"/>
          <w:i/>
          <w:w w:val="96"/>
          <w:sz w:val="22"/>
          <w:szCs w:val="22"/>
        </w:rPr>
        <w:t> </w:t>
      </w:r>
      <w:r>
        <w:rPr>
          <w:rFonts w:ascii="宋体" w:hAnsi="宋体" w:cs="宋体" w:eastAsia="宋体" w:hint="default"/>
          <w:i/>
          <w:spacing w:val="-2"/>
          <w:w w:val="95"/>
          <w:sz w:val="22"/>
          <w:szCs w:val="22"/>
        </w:rPr>
        <w:t>生金融负债，按照成本进行后续计量。其他金融负债采用实际利率法，按摊余成本进行后续计量，终止确</w:t>
      </w:r>
      <w:r>
        <w:rPr>
          <w:rFonts w:ascii="宋体" w:hAnsi="宋体" w:cs="宋体" w:eastAsia="宋体" w:hint="default"/>
          <w:i/>
          <w:spacing w:val="15"/>
          <w:w w:val="95"/>
          <w:sz w:val="22"/>
          <w:szCs w:val="22"/>
        </w:rPr>
        <w:t> </w:t>
      </w:r>
      <w:r>
        <w:rPr>
          <w:rFonts w:ascii="宋体" w:hAnsi="宋体" w:cs="宋体" w:eastAsia="宋体" w:hint="default"/>
          <w:i/>
          <w:spacing w:val="15"/>
          <w:w w:val="95"/>
          <w:sz w:val="22"/>
          <w:szCs w:val="22"/>
        </w:rPr>
      </w:r>
      <w:r>
        <w:rPr>
          <w:rFonts w:ascii="宋体" w:hAnsi="宋体" w:cs="宋体" w:eastAsia="宋体" w:hint="default"/>
          <w:i/>
          <w:sz w:val="22"/>
          <w:szCs w:val="22"/>
        </w:rPr>
        <w:t>认或摊销产生的利得或损失计入当期损益。</w:t>
      </w:r>
      <w:r>
        <w:rPr>
          <w:rFonts w:ascii="宋体" w:hAnsi="宋体" w:cs="宋体" w:eastAsia="宋体" w:hint="default"/>
          <w:sz w:val="22"/>
          <w:szCs w:val="22"/>
        </w:rPr>
      </w:r>
    </w:p>
    <w:p>
      <w:pPr>
        <w:pStyle w:val="BodyText"/>
        <w:spacing w:line="386" w:lineRule="auto" w:before="48"/>
        <w:ind w:left="633" w:right="190"/>
        <w:jc w:val="left"/>
      </w:pPr>
      <w:r>
        <w:rPr/>
        <w:t>③财务担保合同及贷款承诺</w:t>
      </w:r>
      <w:r>
        <w:rPr>
          <w:spacing w:val="-101"/>
        </w:rPr>
        <w:t> </w:t>
      </w:r>
      <w:r>
        <w:rPr>
          <w:spacing w:val="-101"/>
        </w:rPr>
      </w:r>
      <w:r>
        <w:rPr>
          <w:spacing w:val="-3"/>
          <w:w w:val="100"/>
        </w:rPr>
        <w:t>不属于指定为以公允价值计量且其变动计入当期损益的金融负债的财务担保合同，或没有指定为以公</w:t>
      </w:r>
    </w:p>
    <w:p>
      <w:pPr>
        <w:pStyle w:val="BodyText"/>
        <w:spacing w:line="386" w:lineRule="auto"/>
        <w:ind w:right="0"/>
        <w:jc w:val="left"/>
      </w:pPr>
      <w:r>
        <w:rPr>
          <w:spacing w:val="-2"/>
        </w:rPr>
        <w:t>允价值计量且其变动计入损益并将以低于市场利率贷款的贷款承诺，以公允价值进行初始确认，在初始确</w:t>
      </w:r>
      <w:r>
        <w:rPr>
          <w:spacing w:val="-33"/>
        </w:rPr>
        <w:t> </w:t>
      </w:r>
      <w:r>
        <w:rPr>
          <w:spacing w:val="-33"/>
        </w:rPr>
      </w:r>
      <w:r>
        <w:rPr>
          <w:spacing w:val="-2"/>
        </w:rPr>
        <w:t>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p>
    <w:p>
      <w:pPr>
        <w:pStyle w:val="BodyText"/>
        <w:spacing w:line="240" w:lineRule="auto" w:before="9"/>
        <w:ind w:right="0"/>
        <w:jc w:val="left"/>
      </w:pP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364" w:lineRule="auto" w:before="146"/>
        <w:ind w:left="633" w:right="0"/>
        <w:jc w:val="left"/>
      </w:pPr>
      <w:r>
        <w:rPr/>
        <w:t>（</w:t>
      </w:r>
      <w:r>
        <w:rPr>
          <w:rFonts w:ascii="Times New Roman" w:hAnsi="Times New Roman" w:cs="Times New Roman" w:eastAsia="Times New Roman" w:hint="default"/>
        </w:rPr>
        <w:t>6</w:t>
      </w:r>
      <w:r>
        <w:rPr/>
        <w:t>）金融负债的终止确认</w:t>
      </w:r>
      <w:r>
        <w:rPr>
          <w:spacing w:val="-102"/>
        </w:rPr>
        <w:t> </w:t>
      </w:r>
      <w:r>
        <w:rPr>
          <w:spacing w:val="-102"/>
        </w:rPr>
      </w:r>
      <w:r>
        <w:rPr>
          <w:spacing w:val="-6"/>
        </w:rPr>
        <w:t>金融负债的现时义务全部或部分已经解除的，才能终止确认该金融负债或其一部分。本公司（债务人）</w:t>
      </w:r>
    </w:p>
    <w:p>
      <w:pPr>
        <w:pStyle w:val="BodyText"/>
        <w:spacing w:line="381" w:lineRule="auto" w:before="57"/>
        <w:ind w:right="0"/>
        <w:jc w:val="left"/>
      </w:pPr>
      <w:r>
        <w:rPr>
          <w:spacing w:val="-2"/>
        </w:rPr>
        <w:t>与债权人之间签订协议，以承担新金融负债方式替换现存金融负债，且新金融负债与现存金融负债的合同</w:t>
      </w:r>
      <w:r>
        <w:rPr>
          <w:spacing w:val="-33"/>
        </w:rPr>
        <w:t> </w:t>
      </w:r>
      <w:r>
        <w:rPr>
          <w:spacing w:val="-33"/>
        </w:rPr>
      </w:r>
      <w:r>
        <w:rPr/>
        <w:t>条款实质上不同的，终止确认现存金融负债，并同时确认新金融负债。</w:t>
      </w:r>
    </w:p>
    <w:p>
      <w:pPr>
        <w:pStyle w:val="BodyText"/>
        <w:spacing w:line="386" w:lineRule="auto" w:before="43"/>
        <w:ind w:right="206" w:firstLine="480"/>
        <w:jc w:val="both"/>
      </w:pPr>
      <w:r>
        <w:rPr>
          <w:spacing w:val="-4"/>
        </w:rPr>
        <w:t>金融负债全部或部分终止确认的，将终止确认部分的账面价值与支付的对价（包括转出的非现金资产</w:t>
      </w:r>
      <w:r>
        <w:rPr>
          <w:w w:val="100"/>
        </w:rPr>
        <w:t> </w:t>
      </w:r>
      <w:r>
        <w:rPr/>
        <w:t>或承担的新金融负债）之间的差额，计入当期损益。</w:t>
      </w:r>
    </w:p>
    <w:p>
      <w:pPr>
        <w:pStyle w:val="BodyText"/>
        <w:spacing w:line="364" w:lineRule="auto"/>
        <w:ind w:left="633" w:right="0"/>
        <w:jc w:val="left"/>
      </w:pPr>
      <w:r>
        <w:rPr/>
        <w:t>（</w:t>
      </w:r>
      <w:r>
        <w:rPr>
          <w:rFonts w:ascii="Times New Roman" w:hAnsi="Times New Roman" w:cs="Times New Roman" w:eastAsia="Times New Roman" w:hint="default"/>
        </w:rPr>
        <w:t>7</w:t>
      </w:r>
      <w:r>
        <w:rPr/>
        <w:t>）衍生工具及嵌入衍生工具</w:t>
      </w:r>
      <w:r>
        <w:rPr>
          <w:spacing w:val="-99"/>
        </w:rPr>
        <w:t> </w:t>
      </w:r>
      <w:r>
        <w:rPr>
          <w:spacing w:val="-99"/>
        </w:rPr>
      </w:r>
      <w:r>
        <w:rPr>
          <w:spacing w:val="-4"/>
        </w:rPr>
        <w:t>衍生工具于相关合同签署日以公允价值进行初始计量，并以公允价值进行后续计量。除指定为套期工</w:t>
      </w:r>
    </w:p>
    <w:p>
      <w:pPr>
        <w:pStyle w:val="BodyText"/>
        <w:spacing w:line="381" w:lineRule="auto" w:before="58"/>
        <w:ind w:right="0"/>
        <w:jc w:val="left"/>
      </w:pPr>
      <w:r>
        <w:rPr>
          <w:spacing w:val="-2"/>
        </w:rPr>
        <w:t>具且套期高度有效的衍生工具，其公允价值变动形成的利得或损失将根据套期关系的性质按照套期会计的</w:t>
      </w:r>
      <w:r>
        <w:rPr>
          <w:spacing w:val="-31"/>
        </w:rPr>
        <w:t> </w:t>
      </w:r>
      <w:r>
        <w:rPr>
          <w:spacing w:val="-31"/>
        </w:rPr>
      </w:r>
      <w:r>
        <w:rPr/>
        <w:t>要求确定计入损益的期间外，其余衍生工具的公允价值变动计入当期损益。</w:t>
      </w:r>
    </w:p>
    <w:p>
      <w:pPr>
        <w:pStyle w:val="BodyText"/>
        <w:spacing w:line="240" w:lineRule="auto" w:before="43"/>
        <w:ind w:left="633" w:right="0"/>
        <w:jc w:val="left"/>
      </w:pPr>
      <w:r>
        <w:rPr>
          <w:spacing w:val="-3"/>
        </w:rPr>
        <w:t>对包含嵌入衍生工具的混合工具，如未指定为以公允价值计量且其变动计入当期损益的金融资产或金</w:t>
      </w:r>
    </w:p>
    <w:p>
      <w:pPr>
        <w:spacing w:after="0" w:line="240" w:lineRule="auto"/>
        <w:jc w:val="left"/>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84" w:lineRule="auto" w:before="36"/>
        <w:ind w:right="126"/>
        <w:jc w:val="both"/>
      </w:pPr>
      <w:r>
        <w:rPr>
          <w:spacing w:val="-2"/>
        </w:rPr>
        <w:t>融负债，嵌入衍生工具与该主合同在经济特征及风险方面不存在紧密关系，且与嵌入衍生工具条件相同，</w:t>
      </w:r>
      <w:r>
        <w:rPr>
          <w:spacing w:val="-13"/>
        </w:rPr>
        <w:t> </w:t>
      </w:r>
      <w:r>
        <w:rPr>
          <w:spacing w:val="-13"/>
        </w:rPr>
      </w:r>
      <w:r>
        <w:rPr>
          <w:spacing w:val="-2"/>
        </w:rPr>
        <w:t>单独存在的工具符合衍生工具定义的，嵌入衍生工具从混合工具中分拆，作为单独的衍生金融工具处理。</w:t>
      </w:r>
      <w:r>
        <w:rPr>
          <w:spacing w:val="-13"/>
        </w:rPr>
        <w:t> </w:t>
      </w:r>
      <w:r>
        <w:rPr>
          <w:spacing w:val="-13"/>
        </w:rPr>
      </w:r>
      <w:r>
        <w:rPr>
          <w:spacing w:val="-2"/>
        </w:rPr>
        <w:t>如果无法在取得时或后续的资产负债表日对嵌入衍生工具进行单独计量，则将混合工具整体指定为以公允</w:t>
      </w:r>
      <w:r>
        <w:rPr>
          <w:spacing w:val="-33"/>
        </w:rPr>
        <w:t> </w:t>
      </w:r>
      <w:r>
        <w:rPr>
          <w:spacing w:val="-33"/>
        </w:rPr>
      </w:r>
      <w:r>
        <w:rPr/>
        <w:t>价值计量且其变动计入当期损益的金融资产或金融负债。</w:t>
      </w:r>
    </w:p>
    <w:p>
      <w:pPr>
        <w:pStyle w:val="BodyText"/>
        <w:spacing w:line="360" w:lineRule="auto" w:before="40"/>
        <w:ind w:left="633" w:right="0"/>
        <w:jc w:val="left"/>
      </w:pPr>
      <w:r>
        <w:rPr/>
        <w:t>（</w:t>
      </w:r>
      <w:r>
        <w:rPr>
          <w:rFonts w:ascii="Times New Roman" w:hAnsi="Times New Roman" w:cs="Times New Roman" w:eastAsia="Times New Roman" w:hint="default"/>
        </w:rPr>
        <w:t>8</w:t>
      </w:r>
      <w:r>
        <w:rPr/>
        <w:t>）金融资产和金融负债的抵销</w:t>
      </w:r>
      <w:r>
        <w:rPr>
          <w:spacing w:val="-103"/>
        </w:rPr>
        <w:t> </w:t>
      </w:r>
      <w:r>
        <w:rPr>
          <w:spacing w:val="-103"/>
        </w:rPr>
      </w:r>
      <w:r>
        <w:rPr>
          <w:spacing w:val="-4"/>
        </w:rPr>
        <w:t>当本公司具有抵销已确认金融资产和金融负债的法定权利，且目前可执行该种法定权利，同时本公司</w:t>
      </w:r>
    </w:p>
    <w:p>
      <w:pPr>
        <w:pStyle w:val="BodyText"/>
        <w:spacing w:line="386" w:lineRule="auto" w:before="62"/>
        <w:ind w:right="0"/>
        <w:jc w:val="left"/>
      </w:pPr>
      <w:r>
        <w:rPr>
          <w:spacing w:val="-2"/>
        </w:rPr>
        <w:t>计划以净额结算或同时变现该金融资产和清偿该金融负债时，金融资产和金融负债以相互抵销后的金额在</w:t>
      </w:r>
      <w:r>
        <w:rPr>
          <w:spacing w:val="-33"/>
        </w:rPr>
        <w:t> </w:t>
      </w:r>
      <w:r>
        <w:rPr>
          <w:spacing w:val="-33"/>
        </w:rPr>
      </w:r>
      <w:r>
        <w:rPr/>
        <w:t>资产负债表内列示。除此以外，金融资产和金融负债在资产负债表内分别列示，不予相互抵销。</w:t>
      </w:r>
    </w:p>
    <w:p>
      <w:pPr>
        <w:pStyle w:val="BodyText"/>
        <w:spacing w:line="364" w:lineRule="auto"/>
        <w:ind w:left="633" w:right="0"/>
        <w:jc w:val="left"/>
      </w:pPr>
      <w:r>
        <w:rPr/>
        <w:t>（</w:t>
      </w:r>
      <w:r>
        <w:rPr>
          <w:rFonts w:ascii="Times New Roman" w:hAnsi="Times New Roman" w:cs="Times New Roman" w:eastAsia="Times New Roman" w:hint="default"/>
        </w:rPr>
        <w:t>9</w:t>
      </w:r>
      <w:r>
        <w:rPr/>
        <w:t>）权益工具</w:t>
      </w:r>
      <w:r>
        <w:rPr>
          <w:spacing w:val="-103"/>
        </w:rPr>
        <w:t> </w:t>
      </w:r>
      <w:r>
        <w:rPr>
          <w:spacing w:val="-103"/>
        </w:rPr>
      </w:r>
      <w:r>
        <w:rPr>
          <w:spacing w:val="-4"/>
        </w:rPr>
        <w:t>权益工具是指能证明拥有本公司在扣除所有负债后的资产中的剩余权益的合同。本公司发行（含再融</w:t>
      </w:r>
    </w:p>
    <w:p>
      <w:pPr>
        <w:pStyle w:val="BodyText"/>
        <w:spacing w:line="384" w:lineRule="auto" w:before="57"/>
        <w:ind w:right="0"/>
        <w:jc w:val="left"/>
      </w:pPr>
      <w:r>
        <w:rPr>
          <w:spacing w:val="-2"/>
        </w:rPr>
        <w:t>资）、回购、出售或注销权益工具作为权益的变动处理。本公司不确认权益工具的公允价值变动。与权益</w:t>
      </w:r>
      <w:r>
        <w:rPr>
          <w:spacing w:val="-38"/>
        </w:rPr>
        <w:t> </w:t>
      </w:r>
      <w:r>
        <w:rPr>
          <w:spacing w:val="-38"/>
        </w:rPr>
      </w:r>
      <w:r>
        <w:rPr/>
        <w:t>性交易相关的交易费用从权益中扣减。</w:t>
      </w:r>
      <w:r>
        <w:rPr>
          <w:spacing w:val="-100"/>
        </w:rPr>
        <w:t> </w:t>
      </w:r>
      <w:r>
        <w:rPr>
          <w:spacing w:val="-100"/>
        </w:rPr>
      </w:r>
      <w:r>
        <w:rPr>
          <w:spacing w:val="-2"/>
        </w:rPr>
        <w:t>本公司对权益工具持有方的各种分配（不包括股票股利），减少股东权益。本公司不确认权益工具的公允</w:t>
      </w:r>
      <w:r>
        <w:rPr>
          <w:spacing w:val="-33"/>
        </w:rPr>
        <w:t> </w:t>
      </w:r>
      <w:r>
        <w:rPr>
          <w:spacing w:val="-33"/>
        </w:rPr>
      </w:r>
      <w:r>
        <w:rPr/>
        <w:t>价值变动额。</w:t>
      </w:r>
    </w:p>
    <w:p>
      <w:pPr>
        <w:spacing w:line="240" w:lineRule="auto" w:before="9"/>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6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万元以上的应收款项确认为单项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金额重大的应收款项。</w:t>
            </w:r>
          </w:p>
        </w:tc>
      </w:tr>
      <w:tr>
        <w:trPr>
          <w:trHeight w:val="1652"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61"/>
              <w:jc w:val="both"/>
              <w:rPr>
                <w:rFonts w:ascii="宋体" w:hAnsi="宋体" w:cs="宋体" w:eastAsia="宋体" w:hint="default"/>
                <w:sz w:val="18"/>
                <w:szCs w:val="18"/>
              </w:rPr>
            </w:pPr>
            <w:r>
              <w:rPr>
                <w:rFonts w:ascii="宋体" w:hAnsi="宋体" w:cs="宋体" w:eastAsia="宋体" w:hint="default"/>
                <w:spacing w:val="-3"/>
                <w:sz w:val="18"/>
                <w:szCs w:val="18"/>
              </w:rPr>
              <w:t>本公司对单项金额重大的应收款项单独进行减值测试，单独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测试未发生减值的金融资产，包括在具有类似信用风险特征</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的金融资产组合中进行减值测试。单项测试已确认减值损失</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的应收款项，不再包括在具有类似信用风险特征的应收款项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组合中进行减值测试。</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组合中，采用账龄分析法计提坏账准备的：</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0"/>
              <w:jc w:val="right"/>
              <w:rPr>
                <w:rFonts w:ascii="宋体" w:hAnsi="宋体" w:cs="宋体" w:eastAsia="宋体" w:hint="default"/>
                <w:sz w:val="18"/>
                <w:szCs w:val="18"/>
              </w:rPr>
            </w:pPr>
            <w:r>
              <w:rPr>
                <w:rFonts w:ascii="宋体" w:hAnsi="宋体" w:cs="宋体" w:eastAsia="宋体" w:hint="default"/>
                <w:sz w:val="18"/>
                <w:szCs w:val="18"/>
              </w:rPr>
              <w:t>账龄</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其他应收款计提比例</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92"/>
              <w:jc w:val="righ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组合中，采用余额百分比法计提坏账准备的：</w:t>
      </w:r>
    </w:p>
    <w:p>
      <w:pPr>
        <w:spacing w:line="343" w:lineRule="auto" w:before="115"/>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组合中，采用其他方法计提坏账准备的：</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1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．与对方存在争议或涉及诉讼、仲裁的应收款项；</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．已有</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明显迹象表明债务人很可能无法履行还款义务的应收款项。</w:t>
            </w:r>
          </w:p>
        </w:tc>
      </w:tr>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坏账准备的计提方法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根据其未来现金流量现值低于其账面价值的差额，确认减值</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损失，计提坏账准备。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22"/>
          <w:szCs w:val="22"/>
        </w:rPr>
      </w:pPr>
    </w:p>
    <w:p>
      <w:pPr>
        <w:pStyle w:val="BodyText"/>
        <w:spacing w:line="374" w:lineRule="auto" w:before="151"/>
        <w:ind w:right="0" w:firstLine="292"/>
        <w:jc w:val="left"/>
      </w:pPr>
      <w:r>
        <w:rPr/>
        <w:t>（</w:t>
      </w:r>
      <w:r>
        <w:rPr>
          <w:rFonts w:ascii="Times New Roman" w:hAnsi="Times New Roman" w:cs="Times New Roman" w:eastAsia="Times New Roman" w:hint="default"/>
        </w:rPr>
        <w:t>1</w:t>
      </w:r>
      <w:r>
        <w:rPr/>
        <w:t>）存货的分类</w:t>
      </w:r>
      <w:r>
        <w:rPr>
          <w:w w:val="100"/>
        </w:rPr>
        <w:t> </w:t>
      </w:r>
      <w:r>
        <w:rPr>
          <w:spacing w:val="-2"/>
        </w:rPr>
        <w:t>存货主要包括原材料、在产品、产成品、库存商品、低值易耗品、包装物、消耗性生物资产、开发成本、</w:t>
      </w:r>
      <w:r>
        <w:rPr>
          <w:spacing w:val="-13"/>
        </w:rPr>
        <w:t> </w:t>
      </w:r>
      <w:r>
        <w:rPr>
          <w:spacing w:val="-13"/>
        </w:rPr>
      </w:r>
      <w:r>
        <w:rPr/>
        <w:t>完工开发产品等。</w:t>
      </w:r>
    </w:p>
    <w:p>
      <w:pPr>
        <w:pStyle w:val="BodyText"/>
        <w:spacing w:line="374" w:lineRule="auto" w:before="44"/>
        <w:ind w:right="0" w:firstLine="254"/>
        <w:jc w:val="left"/>
      </w:pPr>
      <w:r>
        <w:rPr/>
        <w:t>（</w:t>
      </w:r>
      <w:r>
        <w:rPr>
          <w:rFonts w:ascii="Times New Roman" w:hAnsi="Times New Roman" w:cs="Times New Roman" w:eastAsia="Times New Roman" w:hint="default"/>
        </w:rPr>
        <w:t>2</w:t>
      </w:r>
      <w:r>
        <w:rPr/>
        <w:t>）存货取得和发出的计价方法</w:t>
      </w:r>
      <w:r>
        <w:rPr>
          <w:w w:val="100"/>
        </w:rPr>
        <w:t> </w:t>
      </w:r>
      <w:r>
        <w:rPr>
          <w:spacing w:val="-2"/>
        </w:rPr>
        <w:t>存货在取得时按实际成本计价，存货成本包括采购成本、加工成本和其他成本。领用和发出时按加权平均</w:t>
      </w:r>
      <w:r>
        <w:rPr>
          <w:spacing w:val="-33"/>
        </w:rPr>
        <w:t> </w:t>
      </w:r>
      <w:r>
        <w:rPr>
          <w:spacing w:val="-33"/>
        </w:rPr>
      </w:r>
      <w:r>
        <w:rPr/>
        <w:t>法计价。</w:t>
      </w:r>
    </w:p>
    <w:p>
      <w:pPr>
        <w:pStyle w:val="BodyText"/>
        <w:spacing w:line="376" w:lineRule="auto" w:before="44"/>
        <w:ind w:right="0" w:firstLine="254"/>
        <w:jc w:val="left"/>
      </w:pPr>
      <w:r>
        <w:rPr/>
        <w:t>（</w:t>
      </w:r>
      <w:r>
        <w:rPr>
          <w:rFonts w:ascii="Times New Roman" w:hAnsi="Times New Roman" w:cs="Times New Roman" w:eastAsia="Times New Roman" w:hint="default"/>
        </w:rPr>
        <w:t>3</w:t>
      </w:r>
      <w:r>
        <w:rPr/>
        <w:t>）存货可变现净值的确认和跌价准备的计提方法</w:t>
      </w:r>
      <w:r>
        <w:rPr>
          <w:w w:val="100"/>
        </w:rPr>
        <w:t> </w:t>
      </w:r>
      <w:r>
        <w:rPr>
          <w:spacing w:val="-2"/>
        </w:rPr>
        <w:t>可变现净值是指在日常活动中，存货的估计售价减去至完工时估计将要发生的成本、估计的销售费用以及</w:t>
      </w:r>
      <w:r>
        <w:rPr>
          <w:spacing w:val="-33"/>
        </w:rPr>
        <w:t> </w:t>
      </w:r>
      <w:r>
        <w:rPr>
          <w:spacing w:val="-33"/>
        </w:rPr>
      </w:r>
      <w:r>
        <w:rPr>
          <w:spacing w:val="-2"/>
        </w:rPr>
        <w:t>相关税费后的金额。在确定存货的可变现净值时，以取得的确凿证据为基础，同时考虑持有存货的目的以</w:t>
      </w:r>
      <w:r>
        <w:rPr>
          <w:spacing w:val="-33"/>
        </w:rPr>
        <w:t> </w:t>
      </w:r>
      <w:r>
        <w:rPr>
          <w:spacing w:val="-33"/>
        </w:rPr>
      </w:r>
      <w:r>
        <w:rPr/>
        <w:t>及资产负债表日后事项的影响。</w:t>
      </w:r>
    </w:p>
    <w:p>
      <w:pPr>
        <w:pStyle w:val="BodyText"/>
        <w:spacing w:line="386" w:lineRule="auto" w:before="47"/>
        <w:ind w:right="0" w:firstLine="340"/>
        <w:jc w:val="left"/>
      </w:pPr>
      <w:r>
        <w:rPr/>
        <w:t>在资产负债表日，存货按照成本与可变现净值孰低计量。当其可变现净值低于成本时，提取存货跌价</w:t>
      </w:r>
      <w:r>
        <w:rPr>
          <w:w w:val="100"/>
        </w:rPr>
        <w:t> </w:t>
      </w:r>
      <w:r>
        <w:rPr/>
        <w:t>准备。存货跌价准备通常按单个存货项目的成本高于其可变现净值的差额提取。</w:t>
      </w:r>
    </w:p>
    <w:p>
      <w:pPr>
        <w:pStyle w:val="BodyText"/>
        <w:spacing w:line="386" w:lineRule="auto"/>
        <w:ind w:right="0" w:firstLine="480"/>
        <w:jc w:val="left"/>
      </w:pPr>
      <w:r>
        <w:rPr>
          <w:spacing w:val="-4"/>
        </w:rPr>
        <w:t>计提存货跌价准备后，如果以前减记存货价值的影响因素已经消失，导致存货的可变现净值高于其账</w:t>
      </w:r>
      <w:r>
        <w:rPr>
          <w:w w:val="100"/>
        </w:rPr>
        <w:t> </w:t>
      </w:r>
      <w:r>
        <w:rPr/>
        <w:t>面价值的，在原已计提的存货跌价准备金额内予以转回，转回的金额计入当期损益。</w:t>
      </w:r>
    </w:p>
    <w:p>
      <w:pPr>
        <w:pStyle w:val="BodyText"/>
        <w:spacing w:line="240" w:lineRule="auto" w:before="38"/>
        <w:ind w:left="633" w:right="0"/>
        <w:jc w:val="left"/>
      </w:pPr>
      <w:r>
        <w:rPr/>
        <w:t>（</w:t>
      </w:r>
      <w:r>
        <w:rPr>
          <w:rFonts w:ascii="Times New Roman" w:hAnsi="Times New Roman" w:cs="Times New Roman" w:eastAsia="Times New Roman" w:hint="default"/>
        </w:rPr>
        <w:t>4</w:t>
      </w:r>
      <w:r>
        <w:rPr/>
        <w:t>）存货的盘存制度为永续盘存制。</w:t>
      </w:r>
    </w:p>
    <w:p>
      <w:pPr>
        <w:pStyle w:val="BodyText"/>
        <w:spacing w:line="240" w:lineRule="auto" w:before="146"/>
        <w:ind w:left="633" w:right="0"/>
        <w:jc w:val="left"/>
      </w:pPr>
      <w:r>
        <w:rPr/>
        <w:t>（</w:t>
      </w:r>
      <w:r>
        <w:rPr>
          <w:rFonts w:ascii="Times New Roman" w:hAnsi="Times New Roman" w:cs="Times New Roman" w:eastAsia="Times New Roman" w:hint="default"/>
        </w:rPr>
        <w:t>5</w:t>
      </w:r>
      <w:r>
        <w:rPr/>
        <w:t>）低值易耗品和包装物的摊销方法</w:t>
      </w:r>
    </w:p>
    <w:p>
      <w:pPr>
        <w:spacing w:after="0" w:line="240"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left="633" w:right="0"/>
        <w:jc w:val="left"/>
      </w:pPr>
      <w:r>
        <w:rPr/>
        <w:t>低值易耗品于领用时按一次摊销法摊销；包装物于领用时按一次摊销法摊销。</w:t>
      </w:r>
    </w:p>
    <w:p>
      <w:pPr>
        <w:spacing w:line="240" w:lineRule="auto" w:before="4"/>
        <w:rPr>
          <w:rFonts w:ascii="宋体" w:hAnsi="宋体" w:cs="宋体" w:eastAsia="宋体" w:hint="default"/>
          <w:sz w:val="27"/>
          <w:szCs w:val="27"/>
        </w:rPr>
      </w:pPr>
    </w:p>
    <w:p>
      <w:pPr>
        <w:spacing w:line="720" w:lineRule="atLeast" w:before="0"/>
        <w:ind w:left="575" w:right="0" w:hanging="4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spacing w:val="-101"/>
          <w:sz w:val="21"/>
          <w:szCs w:val="21"/>
        </w:rPr>
        <w:t> </w:t>
      </w:r>
      <w:r>
        <w:rPr>
          <w:rFonts w:ascii="宋体" w:hAnsi="宋体" w:cs="宋体" w:eastAsia="宋体" w:hint="default"/>
          <w:spacing w:val="-2"/>
          <w:sz w:val="21"/>
          <w:szCs w:val="21"/>
        </w:rPr>
        <w:t>若某项非流动资产在其当前状况下仅根据出售此类资产的惯常条款即可立即出售，本公司已就处置该</w:t>
      </w:r>
    </w:p>
    <w:p>
      <w:pPr>
        <w:pStyle w:val="BodyText"/>
        <w:spacing w:line="379" w:lineRule="auto" w:before="162"/>
        <w:ind w:right="0"/>
        <w:jc w:val="left"/>
      </w:pPr>
      <w:r>
        <w:rPr/>
        <w:t>项非流动资产作出决议，已经与受让方签订了不可撤销的转让协议，且该项转让将在一年内完成，则该非</w:t>
      </w:r>
      <w:r>
        <w:rPr>
          <w:w w:val="100"/>
        </w:rPr>
        <w:t> </w:t>
      </w:r>
      <w:r>
        <w:rPr/>
        <w:t>流动资产作为持有待售非流动资产核算，自划分为持有待售之日起不计提折旧或进行摊销，按照账面价值</w:t>
      </w:r>
      <w:r>
        <w:rPr>
          <w:w w:val="100"/>
        </w:rPr>
        <w:t> </w:t>
      </w:r>
      <w:r>
        <w:rPr/>
        <w:t>与公允价值减去处置费用后的净额孰低计量。持有待售的非流动资产包括单项资产和处置组。如果处置组</w:t>
      </w:r>
      <w:r>
        <w:rPr>
          <w:w w:val="100"/>
        </w:rPr>
        <w:t> </w:t>
      </w:r>
      <w:r>
        <w:rPr/>
        <w:t>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资产减值》所定义的资产组，并且按照该准则的规定将企业合并中取得</w:t>
      </w:r>
      <w:r>
        <w:rPr>
          <w:w w:val="100"/>
        </w:rPr>
        <w:t> </w:t>
      </w:r>
      <w:r>
        <w:rPr>
          <w:spacing w:val="-4"/>
        </w:rPr>
        <w:t>的商誉分摊至该资产组，或者该处置组是资产组中的一项经营，则该处置组包括企业合并中所形成的商誉。</w:t>
      </w:r>
    </w:p>
    <w:p>
      <w:pPr>
        <w:pStyle w:val="BodyText"/>
        <w:spacing w:line="381" w:lineRule="auto" w:before="45"/>
        <w:ind w:right="225" w:firstLine="590"/>
        <w:jc w:val="both"/>
      </w:pPr>
      <w:r>
        <w:rPr>
          <w:spacing w:val="-2"/>
        </w:rPr>
        <w:t>被划分为持有待售的单项非流动资产和处置组中的资产，在资产负债表的流动资产部分单独列报；</w:t>
      </w:r>
      <w:r>
        <w:rPr>
          <w:w w:val="100"/>
        </w:rPr>
        <w:t> </w:t>
      </w:r>
      <w:r>
        <w:rPr/>
        <w:t>被划分为持有待售的处置组中的与转让资产相关的负债，在资产负债表的流动负债部分单独列报。</w:t>
      </w:r>
    </w:p>
    <w:p>
      <w:pPr>
        <w:pStyle w:val="BodyText"/>
        <w:spacing w:line="376" w:lineRule="auto" w:before="43"/>
        <w:ind w:right="202" w:firstLine="590"/>
        <w:jc w:val="both"/>
      </w:pPr>
      <w:r>
        <w:rPr>
          <w:spacing w:val="-2"/>
        </w:rPr>
        <w:t>某项资产或处置组被划归为持有待售，但后来不再满足持有待售的非流动资产的确认条件，本公司</w:t>
      </w:r>
      <w:r>
        <w:rPr>
          <w:w w:val="100"/>
        </w:rPr>
        <w:t> </w:t>
      </w:r>
      <w:r>
        <w:rPr/>
        <w:t>停止将其划归为持有待售，并按照下列两项金额中较低者进行计量：（</w:t>
      </w:r>
      <w:r>
        <w:rPr>
          <w:rFonts w:ascii="Times New Roman" w:hAnsi="Times New Roman" w:cs="Times New Roman" w:eastAsia="Times New Roman" w:hint="default"/>
        </w:rPr>
        <w:t>1</w:t>
      </w:r>
      <w:r>
        <w:rPr/>
        <w:t>）该资产或处置组被划归为持有</w:t>
      </w:r>
      <w:r>
        <w:rPr>
          <w:w w:val="100"/>
        </w:rPr>
        <w:t> </w:t>
      </w:r>
      <w:r>
        <w:rPr>
          <w:spacing w:val="-2"/>
        </w:rPr>
        <w:t>待售之前的账面价值，按照其假定在没有被划归为持有待售的情况下原应确认的折旧、摊销或减值进行调</w:t>
      </w:r>
      <w:r>
        <w:rPr>
          <w:spacing w:val="-30"/>
        </w:rPr>
        <w:t> </w:t>
      </w:r>
      <w:r>
        <w:rPr>
          <w:spacing w:val="-30"/>
        </w:rPr>
      </w:r>
      <w:r>
        <w:rPr/>
        <w:t>整后的金额；（</w:t>
      </w:r>
      <w:r>
        <w:rPr>
          <w:rFonts w:ascii="Times New Roman" w:hAnsi="Times New Roman" w:cs="Times New Roman" w:eastAsia="Times New Roman" w:hint="default"/>
        </w:rPr>
        <w:t>2</w:t>
      </w:r>
      <w:r>
        <w:rPr/>
        <w:t>）决定不再出售之日的可收回金额。</w:t>
      </w:r>
    </w:p>
    <w:p>
      <w:pPr>
        <w:spacing w:line="240" w:lineRule="auto" w:before="5"/>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1"/>
        <w:ind w:right="205" w:firstLine="480"/>
        <w:jc w:val="both"/>
      </w:pPr>
      <w:r>
        <w:rPr/>
        <w:t>本部分所指的长期股权投资是指本公司对被投资单位具有控制、共同控制或重大影响的长期股权投</w:t>
      </w:r>
      <w:r>
        <w:rPr>
          <w:w w:val="100"/>
        </w:rPr>
        <w:t> </w:t>
      </w:r>
      <w:r>
        <w:rPr>
          <w:spacing w:val="-2"/>
        </w:rPr>
        <w:t>资。本公司对被投资单位不具有控制、共同控制或重大影响的长期股权投资，作为可供出售金融资产或以</w:t>
      </w:r>
      <w:r>
        <w:rPr>
          <w:spacing w:val="-33"/>
        </w:rPr>
        <w:t> </w:t>
      </w:r>
      <w:r>
        <w:rPr>
          <w:spacing w:val="-33"/>
        </w:rPr>
      </w:r>
      <w:r>
        <w:rPr/>
        <w:t>公允价值计量且其变动计入当期损益的金融资产核算，其会计政策详见附注四、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84" w:lineRule="auto" w:before="11"/>
        <w:ind w:right="202" w:firstLine="480"/>
        <w:jc w:val="both"/>
      </w:pPr>
      <w:r>
        <w:rPr>
          <w:spacing w:val="-4"/>
        </w:rPr>
        <w:t>共同控制，是指本公司按照相关约定对某项安排所共有的控制，并且该安排的相关活动必须经过分享</w:t>
      </w:r>
      <w:r>
        <w:rPr>
          <w:w w:val="100"/>
        </w:rPr>
        <w:t> </w:t>
      </w:r>
      <w:r>
        <w:rPr>
          <w:spacing w:val="-2"/>
        </w:rPr>
        <w:t>控制权的参与方一致同意后才能决策。重大影响，是指本公司对被投资单位的财务和经营政策有参与决策</w:t>
      </w:r>
      <w:r>
        <w:rPr>
          <w:spacing w:val="-30"/>
        </w:rPr>
        <w:t> </w:t>
      </w:r>
      <w:r>
        <w:rPr>
          <w:spacing w:val="-30"/>
        </w:rPr>
      </w:r>
      <w:r>
        <w:rPr/>
        <w:t>的权力，但并不能够控制或者与其他方一起共同控制这些政策的制定。</w:t>
      </w:r>
    </w:p>
    <w:p>
      <w:pPr>
        <w:pStyle w:val="BodyText"/>
        <w:spacing w:line="364" w:lineRule="auto" w:before="41"/>
        <w:ind w:left="633" w:right="0"/>
        <w:jc w:val="left"/>
      </w:pPr>
      <w:r>
        <w:rPr/>
        <w:t>（</w:t>
      </w:r>
      <w:r>
        <w:rPr>
          <w:rFonts w:ascii="Times New Roman" w:hAnsi="Times New Roman" w:cs="Times New Roman" w:eastAsia="Times New Roman" w:hint="default"/>
        </w:rPr>
        <w:t>1</w:t>
      </w:r>
      <w:r>
        <w:rPr/>
        <w:t>）投资成本的确定</w:t>
      </w:r>
      <w:r>
        <w:rPr>
          <w:spacing w:val="-99"/>
        </w:rPr>
        <w:t> </w:t>
      </w:r>
      <w:r>
        <w:rPr>
          <w:spacing w:val="-99"/>
        </w:rPr>
      </w:r>
      <w:r>
        <w:rPr>
          <w:spacing w:val="-3"/>
        </w:rPr>
        <w:t>对于同一控制下的企业合并取得的长期股权投资，在合并日按照被合并方股东权益在最终控制方合并</w:t>
      </w:r>
    </w:p>
    <w:p>
      <w:pPr>
        <w:pStyle w:val="BodyText"/>
        <w:spacing w:line="384" w:lineRule="auto" w:before="52"/>
        <w:ind w:right="203"/>
        <w:jc w:val="both"/>
      </w:pPr>
      <w:r>
        <w:rPr>
          <w:spacing w:val="-2"/>
        </w:rPr>
        <w:t>财务报表中的账面价值的份额作为长期股权投资的初始投资成本。长期股权投资初始投资成本与支付的现</w:t>
      </w:r>
      <w:r>
        <w:rPr>
          <w:spacing w:val="-33"/>
        </w:rPr>
        <w:t> </w:t>
      </w:r>
      <w:r>
        <w:rPr>
          <w:spacing w:val="-33"/>
        </w:rPr>
      </w:r>
      <w:r>
        <w:rPr>
          <w:spacing w:val="-2"/>
        </w:rPr>
        <w:t>金、转让的非现金资产以及所承担债务账面价值之间的差额，调整资本公积；资本公积不足冲减的，调整</w:t>
      </w:r>
      <w:r>
        <w:rPr>
          <w:spacing w:val="-33"/>
        </w:rPr>
        <w:t> </w:t>
      </w:r>
      <w:r>
        <w:rPr>
          <w:spacing w:val="-33"/>
        </w:rPr>
      </w:r>
      <w:r>
        <w:rPr>
          <w:spacing w:val="-2"/>
        </w:rPr>
        <w:t>留存收益。以发行权益性证券作为合并对价的，在合并日按照被合并方股东权益在最终控制方合并财务报</w:t>
      </w:r>
      <w:r>
        <w:rPr>
          <w:spacing w:val="-33"/>
        </w:rPr>
        <w:t> </w:t>
      </w:r>
      <w:r>
        <w:rPr>
          <w:spacing w:val="-33"/>
        </w:rPr>
      </w:r>
      <w:r>
        <w:rPr>
          <w:spacing w:val="-2"/>
        </w:rPr>
        <w:t>表中的账面价值的份额作为长期股权投资的初始投资成本，按照发行股份的面值总额作为股本，长期股权</w:t>
      </w:r>
      <w:r>
        <w:rPr>
          <w:spacing w:val="-31"/>
        </w:rPr>
        <w:t> </w:t>
      </w:r>
      <w:r>
        <w:rPr>
          <w:spacing w:val="-31"/>
        </w:rPr>
      </w:r>
      <w:r>
        <w:rPr>
          <w:spacing w:val="-2"/>
        </w:rPr>
        <w:t>投资初始投资成本与所发行股份面值总额之间的差额，调整资本公积；资本公积不足冲减的，调整留存收</w:t>
      </w:r>
    </w:p>
    <w:p>
      <w:pPr>
        <w:spacing w:after="0" w:line="384" w:lineRule="auto"/>
        <w:jc w:val="both"/>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right="0"/>
        <w:jc w:val="left"/>
      </w:pPr>
      <w:r>
        <w:rPr/>
        <w:t>益。</w:t>
      </w:r>
    </w:p>
    <w:p>
      <w:pPr>
        <w:spacing w:line="240" w:lineRule="auto" w:before="13"/>
        <w:rPr>
          <w:rFonts w:ascii="宋体" w:hAnsi="宋体" w:cs="宋体" w:eastAsia="宋体" w:hint="default"/>
          <w:sz w:val="9"/>
          <w:szCs w:val="9"/>
        </w:rPr>
      </w:pPr>
    </w:p>
    <w:p>
      <w:pPr>
        <w:pStyle w:val="BodyText"/>
        <w:spacing w:line="381" w:lineRule="auto" w:before="36"/>
        <w:ind w:right="105" w:firstLine="480"/>
        <w:jc w:val="both"/>
      </w:pPr>
      <w:r>
        <w:rPr>
          <w:spacing w:val="-3"/>
          <w:w w:val="100"/>
        </w:rPr>
        <w:t>对于非同一控制下的企业合并取得的长期股权投资，在购买日按照合并成本作为长期股权投资的初始</w:t>
      </w:r>
      <w:r>
        <w:rPr>
          <w:w w:val="100"/>
        </w:rPr>
        <w:t> </w:t>
      </w:r>
      <w:r>
        <w:rPr>
          <w:spacing w:val="-4"/>
        </w:rPr>
        <w:t>投资成本，合并成本包括包括购买方付出的资产、发生或承担的负债、发行的权益性证券的公允价值之和。</w:t>
      </w:r>
    </w:p>
    <w:p>
      <w:pPr>
        <w:pStyle w:val="BodyText"/>
        <w:spacing w:line="386" w:lineRule="auto" w:before="43"/>
        <w:ind w:right="210" w:firstLine="480"/>
        <w:jc w:val="both"/>
      </w:pPr>
      <w:r>
        <w:rPr>
          <w:spacing w:val="-4"/>
        </w:rPr>
        <w:t>合并方或购买方为企业合并发生的审计、法律服务、评估咨询等中介费用以及其他相关管理费用，于</w:t>
      </w:r>
      <w:r>
        <w:rPr>
          <w:w w:val="100"/>
        </w:rPr>
        <w:t> </w:t>
      </w:r>
      <w:r>
        <w:rPr/>
        <w:t>发生时计入当期损益。</w:t>
      </w:r>
    </w:p>
    <w:p>
      <w:pPr>
        <w:pStyle w:val="BodyText"/>
        <w:spacing w:line="384" w:lineRule="auto"/>
        <w:ind w:right="186" w:firstLine="480"/>
        <w:jc w:val="both"/>
      </w:pPr>
      <w:r>
        <w:rPr>
          <w:spacing w:val="-4"/>
        </w:rPr>
        <w:t>除企业合并形成的长期股权投资外的其他股权投资，按成本进行初始计量，该成本视长期股权投资取</w:t>
      </w:r>
      <w:r>
        <w:rPr>
          <w:w w:val="100"/>
        </w:rPr>
        <w:t> </w:t>
      </w:r>
      <w:r>
        <w:rPr>
          <w:spacing w:val="-2"/>
        </w:rPr>
        <w:t>得方式的不同，分别按照本公司实际支付的现金购买价款、本公司发行的权益性证券的公允价值、投资合</w:t>
      </w:r>
      <w:r>
        <w:rPr>
          <w:spacing w:val="-33"/>
        </w:rPr>
        <w:t> </w:t>
      </w:r>
      <w:r>
        <w:rPr>
          <w:spacing w:val="-33"/>
        </w:rPr>
      </w:r>
      <w:r>
        <w:rPr>
          <w:spacing w:val="-2"/>
        </w:rPr>
        <w:t>同或协议约定的价值、非货币性资产交换交易中换出资产的公允价值或原账面价值、该项长期股权投资自</w:t>
      </w:r>
      <w:r>
        <w:rPr>
          <w:spacing w:val="-33"/>
        </w:rPr>
        <w:t> </w:t>
      </w:r>
      <w:r>
        <w:rPr>
          <w:spacing w:val="-33"/>
        </w:rPr>
      </w:r>
      <w:r>
        <w:rPr>
          <w:spacing w:val="-2"/>
        </w:rPr>
        <w:t>身的公允价值等方式确定。与取得长期股权投资直接相关的费用、税金及其他必要支出也计入投资成本。</w:t>
      </w:r>
    </w:p>
    <w:p>
      <w:pPr>
        <w:pStyle w:val="BodyText"/>
        <w:spacing w:line="364" w:lineRule="auto" w:before="41"/>
        <w:ind w:left="633" w:right="0"/>
        <w:jc w:val="left"/>
      </w:pPr>
      <w:r>
        <w:rPr/>
        <w:t>（</w:t>
      </w:r>
      <w:r>
        <w:rPr>
          <w:rFonts w:ascii="Times New Roman" w:hAnsi="Times New Roman" w:cs="Times New Roman" w:eastAsia="Times New Roman" w:hint="default"/>
        </w:rPr>
        <w:t>2</w:t>
      </w:r>
      <w:r>
        <w:rPr/>
        <w:t>）后续计量及损益确认方法</w:t>
      </w:r>
      <w:r>
        <w:rPr>
          <w:spacing w:val="-99"/>
        </w:rPr>
        <w:t> </w:t>
      </w:r>
      <w:r>
        <w:rPr>
          <w:spacing w:val="-99"/>
        </w:rPr>
      </w:r>
      <w:r>
        <w:rPr>
          <w:spacing w:val="-2"/>
        </w:rPr>
        <w:t>对被投资单位具有共同控制（构成共同经营者除外）或重大影响的长期股权投资，采用权益法核算。</w:t>
      </w:r>
    </w:p>
    <w:p>
      <w:pPr>
        <w:pStyle w:val="BodyText"/>
        <w:spacing w:line="240" w:lineRule="auto" w:before="52"/>
        <w:ind w:right="0"/>
        <w:jc w:val="left"/>
      </w:pPr>
      <w:r>
        <w:rPr/>
        <w:t>此外，公司财务报表采用成本法核算能够对被投资单位实施控制的长期股权投资。</w:t>
      </w:r>
    </w:p>
    <w:p>
      <w:pPr>
        <w:pStyle w:val="BodyText"/>
        <w:spacing w:line="386" w:lineRule="auto" w:before="166"/>
        <w:ind w:left="633" w:right="0"/>
        <w:jc w:val="left"/>
      </w:pPr>
      <w:r>
        <w:rPr/>
        <w:t>①成本法核算的长期股权投资</w:t>
      </w:r>
      <w:r>
        <w:rPr>
          <w:spacing w:val="-100"/>
        </w:rPr>
        <w:t> </w:t>
      </w:r>
      <w:r>
        <w:rPr>
          <w:spacing w:val="-100"/>
        </w:rPr>
      </w:r>
      <w:r>
        <w:rPr>
          <w:spacing w:val="-2"/>
        </w:rPr>
        <w:t>采用成本法核算时，长期股权投资按初始投资成本计价，追加或收回投资调整长期股权投资的成本。</w:t>
      </w:r>
    </w:p>
    <w:p>
      <w:pPr>
        <w:pStyle w:val="BodyText"/>
        <w:spacing w:line="386" w:lineRule="auto"/>
        <w:ind w:right="0"/>
        <w:jc w:val="left"/>
      </w:pPr>
      <w:r>
        <w:rPr>
          <w:spacing w:val="-2"/>
        </w:rPr>
        <w:t>除取得投资时实际支付的价款或者对价中包含的已宣告但尚未发放的现金股利或者利润外，当期投资收益</w:t>
      </w:r>
      <w:r>
        <w:rPr>
          <w:spacing w:val="-33"/>
        </w:rPr>
        <w:t> </w:t>
      </w:r>
      <w:r>
        <w:rPr>
          <w:spacing w:val="-33"/>
        </w:rPr>
      </w:r>
      <w:r>
        <w:rPr/>
        <w:t>按照享有被投资单位宣告发放的现金股利或利润确认。</w:t>
      </w:r>
    </w:p>
    <w:p>
      <w:pPr>
        <w:pStyle w:val="BodyText"/>
        <w:spacing w:line="381" w:lineRule="auto" w:before="38"/>
        <w:ind w:left="633" w:right="0"/>
        <w:jc w:val="left"/>
      </w:pPr>
      <w:r>
        <w:rPr/>
        <w:t>②权益法核算的长期股权投资</w:t>
      </w:r>
      <w:r>
        <w:rPr>
          <w:spacing w:val="-100"/>
        </w:rPr>
        <w:t> </w:t>
      </w:r>
      <w:r>
        <w:rPr>
          <w:spacing w:val="-100"/>
        </w:rPr>
      </w:r>
      <w:r>
        <w:rPr>
          <w:spacing w:val="-3"/>
        </w:rPr>
        <w:t>采用权益法核算时，长期股权投资的初始投资成本大于投资时应享有被投资单位可辨认净资产公允价</w:t>
      </w:r>
    </w:p>
    <w:p>
      <w:pPr>
        <w:pStyle w:val="BodyText"/>
        <w:spacing w:line="386" w:lineRule="auto" w:before="43"/>
        <w:ind w:right="0"/>
        <w:jc w:val="left"/>
      </w:pPr>
      <w:r>
        <w:rPr>
          <w:spacing w:val="-2"/>
        </w:rPr>
        <w:t>值份额的，不调整长期股权投资的初始投资成本；初始投资成本小于投资时应享有被投资单位可辨认净资</w:t>
      </w:r>
      <w:r>
        <w:rPr>
          <w:spacing w:val="-33"/>
        </w:rPr>
        <w:t> </w:t>
      </w:r>
      <w:r>
        <w:rPr>
          <w:spacing w:val="-33"/>
        </w:rPr>
      </w:r>
      <w:r>
        <w:rPr/>
        <w:t>产公允价值份额的，其差额计入当期损益，同时调整长期股权投资的成本。</w:t>
      </w:r>
    </w:p>
    <w:p>
      <w:pPr>
        <w:pStyle w:val="BodyText"/>
        <w:spacing w:line="384" w:lineRule="auto"/>
        <w:ind w:right="202" w:firstLine="480"/>
        <w:jc w:val="both"/>
      </w:pPr>
      <w:r>
        <w:rPr>
          <w:spacing w:val="-4"/>
        </w:rPr>
        <w:t>采用权益法核算时，按照应享有或应分担的被投资单位实现的净损益和其他综合收益的份额，分别确</w:t>
      </w:r>
      <w:r>
        <w:rPr>
          <w:w w:val="100"/>
        </w:rPr>
        <w:t> </w:t>
      </w:r>
      <w:r>
        <w:rPr>
          <w:spacing w:val="-2"/>
        </w:rPr>
        <w:t>认投资收益和其他综合收益，同时调整长期股权投资的账面价值；按照被投资单位宣告分派的利润或现金</w:t>
      </w:r>
      <w:r>
        <w:rPr>
          <w:spacing w:val="-33"/>
        </w:rPr>
        <w:t> </w:t>
      </w:r>
      <w:r>
        <w:rPr>
          <w:spacing w:val="-33"/>
        </w:rPr>
      </w:r>
      <w:r>
        <w:rPr>
          <w:spacing w:val="-2"/>
        </w:rPr>
        <w:t>股利计算应享有的部分，相应减少长期股权投资的账面价值；对于被投资单位除净损益、其他综合收益和</w:t>
      </w:r>
      <w:r>
        <w:rPr>
          <w:spacing w:val="-33"/>
        </w:rPr>
        <w:t> </w:t>
      </w:r>
      <w:r>
        <w:rPr>
          <w:spacing w:val="-33"/>
        </w:rPr>
      </w:r>
      <w:r>
        <w:rPr>
          <w:spacing w:val="-2"/>
        </w:rPr>
        <w:t>利润分配以外所有者权益的其他变动，调整长期股权投资的账面价值并计入资本公积。在确认应享有被投</w:t>
      </w:r>
      <w:r>
        <w:rPr>
          <w:spacing w:val="-33"/>
        </w:rPr>
        <w:t> </w:t>
      </w:r>
      <w:r>
        <w:rPr>
          <w:spacing w:val="-33"/>
        </w:rPr>
      </w:r>
      <w:r>
        <w:rPr>
          <w:spacing w:val="-2"/>
        </w:rPr>
        <w:t>资单位净损益的份额时，以取得投资时被投资单位各项可辨认资产等的公允价值为基础，对被投资单位的</w:t>
      </w:r>
      <w:r>
        <w:rPr>
          <w:spacing w:val="-33"/>
        </w:rPr>
        <w:t> </w:t>
      </w:r>
      <w:r>
        <w:rPr>
          <w:spacing w:val="-33"/>
        </w:rPr>
      </w:r>
      <w:r>
        <w:rPr>
          <w:spacing w:val="-2"/>
        </w:rPr>
        <w:t>净利润进行调整后确认。被投资单位采用的会计政策及会计期间与本公司不一致的，按照本公司的会计政</w:t>
      </w:r>
      <w:r>
        <w:rPr>
          <w:spacing w:val="-30"/>
        </w:rPr>
        <w:t> </w:t>
      </w:r>
      <w:r>
        <w:rPr>
          <w:spacing w:val="-30"/>
        </w:rPr>
      </w:r>
      <w:r>
        <w:rPr>
          <w:spacing w:val="-2"/>
        </w:rPr>
        <w:t>策及会计期间对被投资单位的财务报表进行调整，并据以确认投资收益和其他综合收益。对于本公司与联</w:t>
      </w:r>
      <w:r>
        <w:rPr>
          <w:spacing w:val="-33"/>
        </w:rPr>
        <w:t> </w:t>
      </w:r>
      <w:r>
        <w:rPr>
          <w:spacing w:val="-33"/>
        </w:rPr>
      </w:r>
      <w:r>
        <w:rPr>
          <w:spacing w:val="-2"/>
        </w:rPr>
        <w:t>营企业及合营企业之间发生的交易，投出或出售的资产不构成业务的，未实现内部交易损益按照享有的比</w:t>
      </w:r>
      <w:r>
        <w:rPr>
          <w:spacing w:val="-33"/>
        </w:rPr>
        <w:t> </w:t>
      </w:r>
      <w:r>
        <w:rPr>
          <w:spacing w:val="-33"/>
        </w:rPr>
      </w:r>
      <w:r>
        <w:rPr>
          <w:spacing w:val="-2"/>
        </w:rPr>
        <w:t>例计算归属于本公司的部分予以抵销，在此基础上确认投资损益。但本公司与被投资单位发生的未实现内</w:t>
      </w:r>
      <w:r>
        <w:rPr>
          <w:spacing w:val="-33"/>
        </w:rPr>
        <w:t> </w:t>
      </w:r>
      <w:r>
        <w:rPr>
          <w:spacing w:val="-33"/>
        </w:rPr>
      </w:r>
      <w:r>
        <w:rPr/>
        <w:t>部交易损失，属于所转让资产减值损失的，不予以抵销。</w:t>
      </w:r>
    </w:p>
    <w:p>
      <w:pPr>
        <w:pStyle w:val="BodyText"/>
        <w:spacing w:line="240" w:lineRule="auto" w:before="40"/>
        <w:ind w:left="633" w:right="0"/>
        <w:jc w:val="left"/>
      </w:pPr>
      <w:r>
        <w:rPr>
          <w:w w:val="100"/>
        </w:rPr>
        <w:t>在确认应</w:t>
      </w:r>
      <w:r>
        <w:rPr>
          <w:spacing w:val="-5"/>
          <w:w w:val="100"/>
        </w:rPr>
        <w:t>分</w:t>
      </w:r>
      <w:r>
        <w:rPr>
          <w:w w:val="100"/>
        </w:rPr>
        <w:t>担被投</w:t>
      </w:r>
      <w:r>
        <w:rPr>
          <w:spacing w:val="-5"/>
          <w:w w:val="100"/>
        </w:rPr>
        <w:t>资</w:t>
      </w:r>
      <w:r>
        <w:rPr>
          <w:w w:val="100"/>
        </w:rPr>
        <w:t>单位发</w:t>
      </w:r>
      <w:r>
        <w:rPr>
          <w:spacing w:val="-5"/>
          <w:w w:val="100"/>
        </w:rPr>
        <w:t>生</w:t>
      </w:r>
      <w:r>
        <w:rPr>
          <w:w w:val="100"/>
        </w:rPr>
        <w:t>的净亏</w:t>
      </w:r>
      <w:r>
        <w:rPr>
          <w:spacing w:val="-5"/>
          <w:w w:val="100"/>
        </w:rPr>
        <w:t>损</w:t>
      </w:r>
      <w:r>
        <w:rPr>
          <w:w w:val="100"/>
        </w:rPr>
        <w:t>时</w:t>
      </w:r>
      <w:r>
        <w:rPr>
          <w:spacing w:val="-87"/>
          <w:w w:val="100"/>
        </w:rPr>
        <w:t>，</w:t>
      </w:r>
      <w:r>
        <w:rPr>
          <w:w w:val="100"/>
        </w:rPr>
        <w:t>以长期</w:t>
      </w:r>
      <w:r>
        <w:rPr>
          <w:spacing w:val="-5"/>
          <w:w w:val="100"/>
        </w:rPr>
        <w:t>股</w:t>
      </w:r>
      <w:r>
        <w:rPr>
          <w:w w:val="100"/>
        </w:rPr>
        <w:t>权投资的</w:t>
      </w:r>
      <w:r>
        <w:rPr>
          <w:spacing w:val="-5"/>
          <w:w w:val="100"/>
        </w:rPr>
        <w:t>账</w:t>
      </w:r>
      <w:r>
        <w:rPr>
          <w:w w:val="100"/>
        </w:rPr>
        <w:t>面价值</w:t>
      </w:r>
      <w:r>
        <w:rPr>
          <w:spacing w:val="-5"/>
          <w:w w:val="100"/>
        </w:rPr>
        <w:t>和</w:t>
      </w:r>
      <w:r>
        <w:rPr>
          <w:w w:val="100"/>
        </w:rPr>
        <w:t>其他实</w:t>
      </w:r>
      <w:r>
        <w:rPr>
          <w:spacing w:val="-5"/>
          <w:w w:val="100"/>
        </w:rPr>
        <w:t>质</w:t>
      </w:r>
      <w:r>
        <w:rPr>
          <w:w w:val="100"/>
        </w:rPr>
        <w:t>上构成</w:t>
      </w:r>
      <w:r>
        <w:rPr>
          <w:spacing w:val="-5"/>
          <w:w w:val="100"/>
        </w:rPr>
        <w:t>对</w:t>
      </w:r>
      <w:r>
        <w:rPr>
          <w:w w:val="100"/>
        </w:rPr>
        <w:t>被投资单</w:t>
      </w:r>
    </w:p>
    <w:p>
      <w:pPr>
        <w:spacing w:after="0" w:line="240" w:lineRule="auto"/>
        <w:jc w:val="left"/>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84" w:lineRule="auto" w:before="36"/>
        <w:ind w:right="142"/>
        <w:jc w:val="both"/>
      </w:pPr>
      <w:r>
        <w:rPr>
          <w:spacing w:val="-2"/>
        </w:rPr>
        <w:t>位净投资的长期权益减记至零为限。此外，如本公司对被投资单位负有承担额外损失的义务，则按预计承</w:t>
      </w:r>
      <w:r>
        <w:rPr>
          <w:spacing w:val="-30"/>
        </w:rPr>
        <w:t> </w:t>
      </w:r>
      <w:r>
        <w:rPr>
          <w:spacing w:val="-30"/>
        </w:rPr>
      </w:r>
      <w:r>
        <w:rPr>
          <w:spacing w:val="-2"/>
        </w:rPr>
        <w:t>担的义务确认预计负债，计入当期投资损失。被投资单位以后期间实现净利润的，本公司在收益分享额弥</w:t>
      </w:r>
      <w:r>
        <w:rPr>
          <w:spacing w:val="-33"/>
        </w:rPr>
        <w:t> </w:t>
      </w:r>
      <w:r>
        <w:rPr>
          <w:spacing w:val="-33"/>
        </w:rPr>
      </w:r>
      <w:r>
        <w:rPr/>
        <w:t>补未确认的亏损分担额后，恢复确认收益分享额。</w:t>
      </w:r>
    </w:p>
    <w:p>
      <w:pPr>
        <w:pStyle w:val="BodyText"/>
        <w:spacing w:line="364" w:lineRule="auto" w:before="40"/>
        <w:ind w:right="151" w:firstLine="480"/>
        <w:jc w:val="both"/>
      </w:pPr>
      <w:r>
        <w:rPr/>
        <w:t>对于本公司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日首次执行新会计准则之前已经持有的对联营企业和合营企业的长期股权投</w:t>
      </w:r>
      <w:r>
        <w:rPr>
          <w:w w:val="100"/>
        </w:rPr>
        <w:t> </w:t>
      </w:r>
      <w:r>
        <w:rPr/>
        <w:t>资，如存在与该投资相关的股权投资借方差额，按原剩余期限直线摊销的金额计入当期损益。</w:t>
      </w:r>
    </w:p>
    <w:p>
      <w:pPr>
        <w:pStyle w:val="BodyText"/>
        <w:spacing w:line="386" w:lineRule="auto" w:before="52"/>
        <w:ind w:left="633" w:right="130"/>
        <w:jc w:val="left"/>
      </w:pPr>
      <w:r>
        <w:rPr/>
        <w:t>③收购少数股权</w:t>
      </w:r>
      <w:r>
        <w:rPr>
          <w:spacing w:val="-102"/>
        </w:rPr>
        <w:t> </w:t>
      </w:r>
      <w:r>
        <w:rPr>
          <w:spacing w:val="-102"/>
        </w:rPr>
      </w:r>
      <w:r>
        <w:rPr>
          <w:spacing w:val="-3"/>
          <w:w w:val="100"/>
        </w:rPr>
        <w:t>在编制合并财务报表时，因购买少数股权新增的长期股权投资与按照新增持股比例计算应享有子公司</w:t>
      </w:r>
    </w:p>
    <w:p>
      <w:pPr>
        <w:pStyle w:val="BodyText"/>
        <w:spacing w:line="381" w:lineRule="auto" w:before="38"/>
        <w:ind w:right="147"/>
        <w:jc w:val="both"/>
      </w:pPr>
      <w:r>
        <w:rPr>
          <w:spacing w:val="-2"/>
        </w:rPr>
        <w:t>自购买日（或合并日）开始持续计算的净资产份额之间的差额，调整资本公积，资本公积不足冲减的，调</w:t>
      </w:r>
      <w:r>
        <w:rPr>
          <w:spacing w:val="-35"/>
        </w:rPr>
        <w:t> </w:t>
      </w:r>
      <w:r>
        <w:rPr>
          <w:spacing w:val="-35"/>
        </w:rPr>
      </w:r>
      <w:r>
        <w:rPr/>
        <w:t>整留存收益。</w:t>
      </w:r>
    </w:p>
    <w:p>
      <w:pPr>
        <w:pStyle w:val="BodyText"/>
        <w:spacing w:line="386" w:lineRule="auto" w:before="43"/>
        <w:ind w:left="633" w:right="0"/>
        <w:jc w:val="left"/>
      </w:pPr>
      <w:r>
        <w:rPr/>
        <w:t>④处置长期股权投资</w:t>
      </w:r>
      <w:r>
        <w:rPr>
          <w:spacing w:val="-100"/>
        </w:rPr>
        <w:t> </w:t>
      </w:r>
      <w:r>
        <w:rPr>
          <w:spacing w:val="-100"/>
        </w:rPr>
      </w:r>
      <w:r>
        <w:rPr>
          <w:spacing w:val="-4"/>
        </w:rPr>
        <w:t>在合并财务报表中，母公司在不丧失控制权的情况下部分处置对子公司的长期股权投资，处置价款与</w:t>
      </w:r>
    </w:p>
    <w:p>
      <w:pPr>
        <w:pStyle w:val="BodyText"/>
        <w:spacing w:line="374" w:lineRule="auto"/>
        <w:ind w:right="146"/>
        <w:jc w:val="both"/>
      </w:pPr>
      <w:r>
        <w:rPr>
          <w:spacing w:val="-2"/>
        </w:rPr>
        <w:t>处置长期股权投资相对应享有子公司净资产的差额计入股东权益；母公司部分处置对子公司的长期股权投</w:t>
      </w:r>
      <w:r>
        <w:rPr>
          <w:spacing w:val="-33"/>
        </w:rPr>
        <w:t> </w:t>
      </w:r>
      <w:r>
        <w:rPr>
          <w:spacing w:val="-33"/>
        </w:rPr>
      </w:r>
      <w:r>
        <w:rPr>
          <w:spacing w:val="-2"/>
        </w:rPr>
        <w:t>资导致丧失对子公司控制权的，按本附注四、</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t>
      </w:r>
      <w:r>
        <w:rPr>
          <w:spacing w:val="-2"/>
        </w:rPr>
        <w:t>合并财务报表编制的方法</w:t>
      </w:r>
      <w:r>
        <w:rPr>
          <w:rFonts w:ascii="Times New Roman" w:hAnsi="Times New Roman" w:cs="Times New Roman" w:eastAsia="Times New Roman" w:hint="default"/>
          <w:spacing w:val="-2"/>
        </w:rPr>
        <w:t>”</w:t>
      </w:r>
      <w:r>
        <w:rPr>
          <w:spacing w:val="-2"/>
        </w:rPr>
        <w:t>中所述的相关会计政策</w:t>
      </w:r>
      <w:r>
        <w:rPr>
          <w:spacing w:val="-8"/>
        </w:rPr>
        <w:t> </w:t>
      </w:r>
      <w:r>
        <w:rPr>
          <w:spacing w:val="-8"/>
        </w:rPr>
      </w:r>
      <w:r>
        <w:rPr/>
        <w:t>处理。</w:t>
      </w:r>
    </w:p>
    <w:p>
      <w:pPr>
        <w:pStyle w:val="BodyText"/>
        <w:spacing w:line="240" w:lineRule="auto" w:before="44"/>
        <w:ind w:left="633" w:right="0"/>
        <w:jc w:val="left"/>
      </w:pPr>
      <w:r>
        <w:rPr>
          <w:spacing w:val="-4"/>
        </w:rPr>
        <w:t>其他情形下的长期股权投资处置，对于处置的股权，其账面价值与实际取得价款的差额，计入当期损</w:t>
      </w:r>
    </w:p>
    <w:p>
      <w:pPr>
        <w:pStyle w:val="BodyText"/>
        <w:spacing w:line="240" w:lineRule="auto" w:before="166"/>
        <w:ind w:right="0"/>
        <w:jc w:val="both"/>
      </w:pPr>
      <w:r>
        <w:rPr/>
        <w:t>益。</w:t>
      </w:r>
    </w:p>
    <w:p>
      <w:pPr>
        <w:pStyle w:val="BodyText"/>
        <w:spacing w:line="384" w:lineRule="auto" w:before="166"/>
        <w:ind w:right="145" w:firstLine="480"/>
        <w:jc w:val="both"/>
      </w:pPr>
      <w:r>
        <w:rPr>
          <w:spacing w:val="-4"/>
        </w:rPr>
        <w:t>采用权益法核算的长期股权投资，处置后的剩余股权仍采用权益法核算的，在处置时将原计入股东权</w:t>
      </w:r>
      <w:r>
        <w:rPr>
          <w:w w:val="100"/>
        </w:rPr>
        <w:t> </w:t>
      </w:r>
      <w:r>
        <w:rPr/>
        <w:t>益的其他综合收益部分按相应的比例采用与被投资单位直接处置相关资产或负债相同的基础进行会计处</w:t>
      </w:r>
      <w:r>
        <w:rPr>
          <w:spacing w:val="60"/>
        </w:rPr>
        <w:t> </w:t>
      </w:r>
      <w:r>
        <w:rPr>
          <w:spacing w:val="60"/>
        </w:rPr>
      </w:r>
      <w:r>
        <w:rPr>
          <w:spacing w:val="-2"/>
        </w:rPr>
        <w:t>理。因被投资方除净损益、其他综合收益和利润分配以外的其他所有者权益变动而确认的所有者权益，按</w:t>
      </w:r>
      <w:r>
        <w:rPr>
          <w:spacing w:val="-33"/>
        </w:rPr>
        <w:t> </w:t>
      </w:r>
      <w:r>
        <w:rPr>
          <w:spacing w:val="-33"/>
        </w:rPr>
      </w:r>
      <w:r>
        <w:rPr/>
        <w:t>比例结转入当期损益。</w:t>
      </w:r>
    </w:p>
    <w:p>
      <w:pPr>
        <w:pStyle w:val="BodyText"/>
        <w:spacing w:line="384" w:lineRule="auto" w:before="36"/>
        <w:ind w:right="145" w:firstLine="480"/>
        <w:jc w:val="both"/>
      </w:pPr>
      <w:r>
        <w:rPr>
          <w:spacing w:val="-4"/>
        </w:rPr>
        <w:t>采用成本法核算的长期股权投资，处置后剩余股权仍采用成本法核算的，其在取得对被投资单位的控</w:t>
      </w:r>
      <w:r>
        <w:rPr>
          <w:w w:val="100"/>
        </w:rPr>
        <w:t> </w:t>
      </w:r>
      <w:r>
        <w:rPr>
          <w:spacing w:val="-2"/>
        </w:rPr>
        <w:t>制之前因采用权益法核算或金融工具确认和计量准则核算而确认的其他综合收益，采用与被投资单位直接</w:t>
      </w:r>
      <w:r>
        <w:rPr>
          <w:spacing w:val="-33"/>
        </w:rPr>
        <w:t> </w:t>
      </w:r>
      <w:r>
        <w:rPr>
          <w:spacing w:val="-33"/>
        </w:rPr>
      </w:r>
      <w:r>
        <w:rPr>
          <w:spacing w:val="-2"/>
        </w:rPr>
        <w:t>处置相关资产或负债相同的基础进行会计处理，并按比例结转当期损益；因采用权益法核算而确认的被投</w:t>
      </w:r>
      <w:r>
        <w:rPr>
          <w:spacing w:val="-33"/>
        </w:rPr>
        <w:t> </w:t>
      </w:r>
      <w:r>
        <w:rPr>
          <w:spacing w:val="-33"/>
        </w:rPr>
      </w:r>
      <w:r>
        <w:rPr/>
        <w:t>资单位净资产中除净损益、其他综合收益和利润分配以外的其他所有者权益变动按比例结转当期损益。</w:t>
      </w:r>
    </w:p>
    <w:p>
      <w:pPr>
        <w:spacing w:line="240" w:lineRule="auto" w:before="1"/>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spacing w:line="360" w:lineRule="auto" w:before="0"/>
        <w:ind w:left="153" w:right="7768" w:firstLine="0"/>
        <w:jc w:val="left"/>
        <w:rPr>
          <w:rFonts w:ascii="宋体" w:hAnsi="宋体" w:cs="宋体" w:eastAsia="宋体" w:hint="default"/>
          <w:sz w:val="18"/>
          <w:szCs w:val="18"/>
        </w:rPr>
      </w:pPr>
      <w:r>
        <w:rPr>
          <w:rFonts w:ascii="宋体" w:hAnsi="宋体" w:cs="宋体" w:eastAsia="宋体" w:hint="default"/>
          <w:spacing w:val="-2"/>
          <w:sz w:val="18"/>
          <w:szCs w:val="18"/>
        </w:rPr>
        <w:t>投资性房地产计量模式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成本法计量</w:t>
      </w:r>
      <w:r>
        <w:rPr>
          <w:rFonts w:ascii="宋体" w:hAnsi="宋体" w:cs="宋体" w:eastAsia="宋体" w:hint="default"/>
          <w:w w:val="101"/>
          <w:sz w:val="18"/>
          <w:szCs w:val="18"/>
        </w:rPr>
        <w:t> </w:t>
      </w:r>
      <w:r>
        <w:rPr>
          <w:rFonts w:ascii="宋体" w:hAnsi="宋体" w:cs="宋体" w:eastAsia="宋体" w:hint="default"/>
          <w:spacing w:val="-3"/>
          <w:sz w:val="18"/>
          <w:szCs w:val="18"/>
        </w:rPr>
        <w:t>折旧或摊销方法</w:t>
      </w:r>
    </w:p>
    <w:p>
      <w:pPr>
        <w:pStyle w:val="Heading3"/>
        <w:spacing w:line="283" w:lineRule="exact"/>
        <w:ind w:right="0"/>
        <w:jc w:val="both"/>
      </w:pPr>
      <w:r>
        <w:rPr/>
        <w:t>本公司对投资性房地产按照与房屋建筑物或土地使用权一致的政策进行折旧或摊销。</w:t>
      </w:r>
    </w:p>
    <w:p>
      <w:pPr>
        <w:spacing w:after="0" w:line="283" w:lineRule="exact"/>
        <w:jc w:val="both"/>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6"/>
        <w:ind w:right="145" w:firstLine="422"/>
        <w:jc w:val="both"/>
      </w:pPr>
      <w:r>
        <w:rPr>
          <w:spacing w:val="-2"/>
        </w:rPr>
        <w:t>固定资产是指为生产商品、提供劳务、出租或经营管理而持有的，使用寿命超过一个会计年度的有形</w:t>
      </w:r>
      <w:r>
        <w:rPr>
          <w:w w:val="100"/>
        </w:rPr>
        <w:t> </w:t>
      </w:r>
      <w:r>
        <w:rPr>
          <w:spacing w:val="-2"/>
        </w:rPr>
        <w:t>资产。固定资产仅在与其有关的经济利益很可能流入本公司，且其成本能够可靠地计量时才予以确认。固</w:t>
      </w:r>
      <w:r>
        <w:rPr>
          <w:spacing w:val="-33"/>
        </w:rPr>
        <w:t> </w:t>
      </w:r>
      <w:r>
        <w:rPr>
          <w:spacing w:val="-33"/>
        </w:rPr>
      </w:r>
      <w:r>
        <w:rPr/>
        <w:t>定资产按成本并考虑预计弃置费用因素的影响进行初始计量。</w:t>
      </w:r>
    </w:p>
    <w:p>
      <w:pPr>
        <w:spacing w:line="240" w:lineRule="auto" w:before="3"/>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2.375</w:t>
            </w:r>
            <w:r>
              <w:rPr>
                <w:rFonts w:ascii="宋体" w:hAnsi="宋体" w:cs="宋体" w:eastAsia="宋体" w:hint="default"/>
                <w:sz w:val="18"/>
                <w:szCs w:val="18"/>
              </w:rPr>
              <w:t>－</w:t>
            </w:r>
            <w:r>
              <w:rPr>
                <w:rFonts w:ascii="Times New Roman" w:hAnsi="Times New Roman" w:cs="Times New Roman" w:eastAsia="Times New Roman" w:hint="default"/>
                <w:sz w:val="18"/>
                <w:szCs w:val="18"/>
              </w:rPr>
              <w:t>3.17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9.5</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6.78</w:t>
            </w:r>
            <w:r>
              <w:rPr>
                <w:rFonts w:ascii="宋体" w:hAnsi="宋体" w:cs="宋体" w:eastAsia="宋体" w:hint="default"/>
                <w:sz w:val="18"/>
                <w:szCs w:val="18"/>
              </w:rPr>
              <w:t>－</w:t>
            </w:r>
            <w:r>
              <w:rPr>
                <w:rFonts w:ascii="Times New Roman" w:hAnsi="Times New Roman" w:cs="Times New Roman" w:eastAsia="Times New Roman" w:hint="default"/>
                <w:sz w:val="18"/>
                <w:szCs w:val="18"/>
              </w:rPr>
              <w:t>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7.92</w:t>
            </w:r>
            <w:r>
              <w:rPr>
                <w:rFonts w:ascii="宋体" w:hAnsi="宋体" w:cs="宋体" w:eastAsia="宋体" w:hint="default"/>
                <w:sz w:val="18"/>
                <w:szCs w:val="18"/>
              </w:rPr>
              <w:t>－</w:t>
            </w:r>
            <w:r>
              <w:rPr>
                <w:rFonts w:ascii="Times New Roman" w:hAnsi="Times New Roman" w:cs="Times New Roman" w:eastAsia="Times New Roman" w:hint="default"/>
                <w:sz w:val="18"/>
                <w:szCs w:val="18"/>
              </w:rPr>
              <w:t>15.83</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电子及其他设备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9.5</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6"/>
        <w:ind w:right="143" w:firstLine="422"/>
        <w:jc w:val="both"/>
      </w:pPr>
      <w:r>
        <w:rPr>
          <w:spacing w:val="-2"/>
        </w:rPr>
        <w:t>融资租赁为实质上转移了与资产所有权有关的全部风险和报酬的租赁，其所有权最终可能转移，也可</w:t>
      </w:r>
      <w:r>
        <w:rPr>
          <w:w w:val="100"/>
        </w:rPr>
        <w:t> </w:t>
      </w:r>
      <w:r>
        <w:rPr>
          <w:spacing w:val="-2"/>
        </w:rPr>
        <w:t>能不转移。以融资租赁方式租入的固定资产采用与自有固定资产一致的政策计提租赁资产折旧。能够合理</w:t>
      </w:r>
      <w:r>
        <w:rPr>
          <w:spacing w:val="-31"/>
        </w:rPr>
        <w:t> </w:t>
      </w:r>
      <w:r>
        <w:rPr>
          <w:spacing w:val="-31"/>
        </w:rPr>
      </w:r>
      <w:r>
        <w:rPr>
          <w:spacing w:val="-2"/>
        </w:rPr>
        <w:t>确定租赁期届满时取得租赁资产所有权的在租赁资产使用寿命内计提折旧，无法合理确定租赁期届满能够</w:t>
      </w:r>
      <w:r>
        <w:rPr>
          <w:spacing w:val="-33"/>
        </w:rPr>
        <w:t> </w:t>
      </w:r>
      <w:r>
        <w:rPr>
          <w:spacing w:val="-33"/>
        </w:rPr>
      </w:r>
      <w:r>
        <w:rPr/>
        <w:t>取得租赁资产所有权的，在租赁期与租赁资产使用寿命两者中较短的期间内计提折旧。</w:t>
      </w:r>
    </w:p>
    <w:p>
      <w:pPr>
        <w:spacing w:line="240" w:lineRule="auto" w:before="3"/>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22"/>
          <w:szCs w:val="22"/>
        </w:rPr>
      </w:pPr>
    </w:p>
    <w:p>
      <w:pPr>
        <w:pStyle w:val="BodyText"/>
        <w:spacing w:line="381" w:lineRule="auto" w:before="156"/>
        <w:ind w:right="145" w:firstLine="422"/>
        <w:jc w:val="both"/>
      </w:pPr>
      <w:r>
        <w:rPr>
          <w:spacing w:val="-2"/>
        </w:rPr>
        <w:t>在建工程成本按实际工程支出确定，包括在建期间发生的各项工程支出、工程达到预定可使用状态前</w:t>
      </w:r>
      <w:r>
        <w:rPr>
          <w:w w:val="100"/>
        </w:rPr>
        <w:t> </w:t>
      </w:r>
      <w:r>
        <w:rPr/>
        <w:t>的资本化的借款费用以及其他相关费用等。在建工程在达到预定可使用状态后结转为固定资产。</w:t>
      </w:r>
    </w:p>
    <w:p>
      <w:pPr>
        <w:spacing w:line="240" w:lineRule="auto" w:before="3"/>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1"/>
        <w:ind w:right="145" w:firstLine="480"/>
        <w:jc w:val="both"/>
      </w:pPr>
      <w:r>
        <w:rPr>
          <w:spacing w:val="-3"/>
        </w:rPr>
        <w:t>借款费用包括借款利息、折价或溢价的摊销、辅助费用以及因外币借款而发生的汇兑差额等。可直接</w:t>
      </w:r>
      <w:r>
        <w:rPr>
          <w:w w:val="100"/>
        </w:rPr>
        <w:t> </w:t>
      </w:r>
      <w:r>
        <w:rPr>
          <w:spacing w:val="-2"/>
        </w:rPr>
        <w:t>归属于符合资本化条件的资产的购建或者生产的借款费用，在资产支出已经发生、借款费用已经发生、为</w:t>
      </w:r>
      <w:r>
        <w:rPr>
          <w:spacing w:val="-33"/>
        </w:rPr>
        <w:t> </w:t>
      </w:r>
      <w:r>
        <w:rPr>
          <w:spacing w:val="-33"/>
        </w:rPr>
      </w:r>
      <w:r>
        <w:rPr>
          <w:spacing w:val="-2"/>
        </w:rPr>
        <w:t>使资产达到预定可使用或可销售状态所必要的购建或生产活动已经开始时，开始资本化；构建或者生产的</w:t>
      </w:r>
      <w:r>
        <w:rPr>
          <w:spacing w:val="-33"/>
        </w:rPr>
        <w:t> </w:t>
      </w:r>
      <w:r>
        <w:rPr>
          <w:spacing w:val="-33"/>
        </w:rPr>
      </w:r>
      <w:r>
        <w:rPr>
          <w:spacing w:val="-2"/>
        </w:rPr>
        <w:t>符合资本化条件的资产达到预定可使用状态或者可销售状态时，停止资本化。其余借款费用在发生当期确</w:t>
      </w:r>
      <w:r>
        <w:rPr>
          <w:spacing w:val="-33"/>
        </w:rPr>
        <w:t> </w:t>
      </w:r>
      <w:r>
        <w:rPr>
          <w:spacing w:val="-33"/>
        </w:rPr>
      </w:r>
      <w:r>
        <w:rPr/>
        <w:t>认为费用。</w:t>
      </w:r>
    </w:p>
    <w:p>
      <w:pPr>
        <w:pStyle w:val="BodyText"/>
        <w:spacing w:line="240" w:lineRule="auto" w:before="40"/>
        <w:ind w:left="633" w:right="0"/>
        <w:jc w:val="left"/>
      </w:pPr>
      <w:r>
        <w:rPr>
          <w:spacing w:val="-3"/>
        </w:rPr>
        <w:t>专门借款当期实际发生的利息费用，减去尚未动用的借款资金存入银行取得的利息收入或进行暂时性</w:t>
      </w:r>
    </w:p>
    <w:p>
      <w:pPr>
        <w:spacing w:after="0" w:line="240" w:lineRule="auto"/>
        <w:jc w:val="left"/>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84" w:lineRule="auto" w:before="36"/>
        <w:ind w:right="183"/>
        <w:jc w:val="both"/>
      </w:pPr>
      <w:r>
        <w:rPr>
          <w:spacing w:val="-2"/>
        </w:rPr>
        <w:t>投资取得的投资收益后的金额予以资本化；一般借款根据累计资产支出超过专门借款部分的资产支出加权</w:t>
      </w:r>
      <w:r>
        <w:rPr>
          <w:spacing w:val="-33"/>
        </w:rPr>
        <w:t> </w:t>
      </w:r>
      <w:r>
        <w:rPr>
          <w:spacing w:val="-33"/>
        </w:rPr>
      </w:r>
      <w:r>
        <w:rPr>
          <w:spacing w:val="-2"/>
        </w:rPr>
        <w:t>平均数乘以所占用一般借款的资本化率，确定资本化金额。资本化率根据一般借款的加权平均利率计算确</w:t>
      </w:r>
      <w:r>
        <w:rPr>
          <w:spacing w:val="-31"/>
        </w:rPr>
        <w:t> </w:t>
      </w:r>
      <w:r>
        <w:rPr>
          <w:spacing w:val="-31"/>
        </w:rPr>
      </w:r>
      <w:r>
        <w:rPr/>
        <w:t>定。</w:t>
      </w:r>
    </w:p>
    <w:p>
      <w:pPr>
        <w:pStyle w:val="BodyText"/>
        <w:spacing w:line="386" w:lineRule="auto" w:before="40"/>
        <w:ind w:left="633" w:right="0"/>
        <w:jc w:val="left"/>
      </w:pPr>
      <w:r>
        <w:rPr>
          <w:spacing w:val="-2"/>
        </w:rPr>
        <w:t>资本化期间内，外币专门借款的汇兑差额全部予以资本化；外币一般借款的汇兑差额计入当期损益。</w:t>
      </w:r>
      <w:r>
        <w:rPr>
          <w:spacing w:val="-15"/>
        </w:rPr>
        <w:t> </w:t>
      </w:r>
      <w:r>
        <w:rPr>
          <w:spacing w:val="-15"/>
        </w:rPr>
      </w:r>
      <w:r>
        <w:rPr/>
        <w:t>符合资本化条件的资产指需要经过相当长时间的购建或者生产活动才能达到预定可使用或可销售状</w:t>
      </w:r>
    </w:p>
    <w:p>
      <w:pPr>
        <w:pStyle w:val="BodyText"/>
        <w:spacing w:line="374" w:lineRule="auto"/>
        <w:ind w:right="0"/>
        <w:jc w:val="left"/>
      </w:pPr>
      <w:r>
        <w:rPr/>
        <w:t>态的固定资产、投资性房地产和存货等资产。</w:t>
      </w:r>
      <w:r>
        <w:rPr>
          <w:spacing w:val="-101"/>
        </w:rPr>
        <w:t> </w:t>
      </w:r>
      <w:r>
        <w:rPr>
          <w:spacing w:val="-101"/>
        </w:rPr>
      </w:r>
      <w:r>
        <w:rPr>
          <w:spacing w:val="-2"/>
        </w:rPr>
        <w:t>如果符合资本化条件的资产在购建或生产过程中发生非正常中断、并且中断时间连续超过</w:t>
      </w:r>
      <w:r>
        <w:rPr>
          <w:rFonts w:ascii="Times New Roman" w:hAnsi="Times New Roman" w:cs="Times New Roman" w:eastAsia="Times New Roman" w:hint="default"/>
          <w:spacing w:val="-2"/>
        </w:rPr>
        <w:t>3</w:t>
      </w:r>
      <w:r>
        <w:rPr>
          <w:spacing w:val="-2"/>
        </w:rPr>
        <w:t>个月的，暂停</w:t>
      </w:r>
      <w:r>
        <w:rPr>
          <w:spacing w:val="-11"/>
        </w:rPr>
        <w:t> </w:t>
      </w:r>
      <w:r>
        <w:rPr>
          <w:spacing w:val="-11"/>
        </w:rPr>
      </w:r>
      <w:r>
        <w:rPr/>
        <w:t>借款费用的资本化，直至资产的购建或生产活动重新开始。</w:t>
      </w:r>
    </w:p>
    <w:p>
      <w:pPr>
        <w:spacing w:line="240" w:lineRule="auto" w:before="4"/>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0"/>
        <w:rPr>
          <w:rFonts w:ascii="宋体" w:hAnsi="宋体" w:cs="宋体" w:eastAsia="宋体" w:hint="default"/>
          <w:b/>
          <w:bCs/>
          <w:sz w:val="22"/>
          <w:szCs w:val="22"/>
        </w:rPr>
      </w:pPr>
    </w:p>
    <w:p>
      <w:pPr>
        <w:pStyle w:val="BodyText"/>
        <w:spacing w:line="360" w:lineRule="auto" w:before="156"/>
        <w:ind w:left="633" w:right="0"/>
        <w:jc w:val="left"/>
      </w:pPr>
      <w:r>
        <w:rPr/>
        <w:t>（</w:t>
      </w:r>
      <w:r>
        <w:rPr>
          <w:rFonts w:ascii="Times New Roman" w:hAnsi="Times New Roman" w:cs="Times New Roman" w:eastAsia="Times New Roman" w:hint="default"/>
        </w:rPr>
        <w:t>1</w:t>
      </w:r>
      <w:r>
        <w:rPr/>
        <w:t>）消耗性生物资产</w:t>
      </w:r>
      <w:r>
        <w:rPr>
          <w:spacing w:val="-99"/>
        </w:rPr>
        <w:t> </w:t>
      </w:r>
      <w:r>
        <w:rPr>
          <w:spacing w:val="-99"/>
        </w:rPr>
      </w:r>
      <w:r>
        <w:rPr>
          <w:spacing w:val="-3"/>
        </w:rPr>
        <w:t>消耗性生物资产是指为出售而持有的、或在将来收获为农产品的存栏待售的牲畜。消耗性生物资产按</w:t>
      </w:r>
    </w:p>
    <w:p>
      <w:pPr>
        <w:pStyle w:val="BodyText"/>
        <w:spacing w:line="386" w:lineRule="auto" w:before="61"/>
        <w:ind w:right="0"/>
        <w:jc w:val="left"/>
      </w:pPr>
      <w:r>
        <w:rPr>
          <w:spacing w:val="-2"/>
        </w:rPr>
        <w:t>照成本进行初始计量。自行繁殖或养殖的消耗性生物资产的成本，为该资产在出售前发生的可直接归属于</w:t>
      </w:r>
      <w:r>
        <w:rPr>
          <w:spacing w:val="-33"/>
        </w:rPr>
        <w:t> </w:t>
      </w:r>
      <w:r>
        <w:rPr>
          <w:spacing w:val="-33"/>
        </w:rPr>
      </w:r>
      <w:r>
        <w:rPr/>
        <w:t>该资产的必要支出，包括符合资本化条件的借款费用。</w:t>
      </w:r>
    </w:p>
    <w:p>
      <w:pPr>
        <w:pStyle w:val="BodyText"/>
        <w:spacing w:line="386" w:lineRule="auto"/>
        <w:ind w:left="633" w:right="0"/>
        <w:jc w:val="left"/>
      </w:pPr>
      <w:r>
        <w:rPr/>
        <w:t>消耗性生物资产在收获或出售时，采用加权平均法按账面价值结转成本。</w:t>
      </w:r>
      <w:r>
        <w:rPr>
          <w:spacing w:val="-102"/>
        </w:rPr>
        <w:t> </w:t>
      </w:r>
      <w:r>
        <w:rPr>
          <w:spacing w:val="-102"/>
        </w:rPr>
      </w:r>
      <w:r>
        <w:rPr>
          <w:spacing w:val="-4"/>
        </w:rPr>
        <w:t>资产负债表日，消耗性生物资产按照成本与可变现净值孰低计量，并采用与确认存货跌价准备一致的</w:t>
      </w:r>
    </w:p>
    <w:p>
      <w:pPr>
        <w:pStyle w:val="BodyText"/>
        <w:spacing w:line="381" w:lineRule="auto" w:before="38"/>
        <w:ind w:right="0"/>
        <w:jc w:val="left"/>
      </w:pPr>
      <w:r>
        <w:rPr>
          <w:spacing w:val="-2"/>
        </w:rPr>
        <w:t>方法计算确认消耗性生物资产的跌价准备。如果减值的影响因素已经消失的，减记的金额应当予以恢复，</w:t>
      </w:r>
      <w:r>
        <w:rPr>
          <w:spacing w:val="-13"/>
        </w:rPr>
        <w:t> </w:t>
      </w:r>
      <w:r>
        <w:rPr>
          <w:spacing w:val="-13"/>
        </w:rPr>
      </w:r>
      <w:r>
        <w:rPr/>
        <w:t>并在原已计提的跌价准备金额内转回，转回金额计入当期损益。</w:t>
      </w:r>
    </w:p>
    <w:p>
      <w:pPr>
        <w:pStyle w:val="BodyText"/>
        <w:spacing w:line="240" w:lineRule="auto" w:before="43"/>
        <w:ind w:left="633" w:right="0"/>
        <w:jc w:val="left"/>
      </w:pPr>
      <w:r>
        <w:rPr>
          <w:spacing w:val="-3"/>
        </w:rPr>
        <w:t>如果消耗性生物资产改变用途，作为生产性生物资产，改变用途后的成本按改变用途时的账面价值确</w:t>
      </w:r>
    </w:p>
    <w:p>
      <w:pPr>
        <w:pStyle w:val="BodyText"/>
        <w:spacing w:line="240" w:lineRule="auto" w:before="166"/>
        <w:ind w:right="0"/>
        <w:jc w:val="left"/>
      </w:pPr>
      <w:r>
        <w:rPr/>
        <w:t>定。</w:t>
      </w:r>
    </w:p>
    <w:p>
      <w:pPr>
        <w:pStyle w:val="BodyText"/>
        <w:spacing w:line="364" w:lineRule="auto" w:before="162"/>
        <w:ind w:left="633" w:right="0"/>
        <w:jc w:val="left"/>
      </w:pPr>
      <w:r>
        <w:rPr/>
        <w:t>（</w:t>
      </w:r>
      <w:r>
        <w:rPr>
          <w:rFonts w:ascii="Times New Roman" w:hAnsi="Times New Roman" w:cs="Times New Roman" w:eastAsia="Times New Roman" w:hint="default"/>
        </w:rPr>
        <w:t>2</w:t>
      </w:r>
      <w:r>
        <w:rPr/>
        <w:t>）生产性生物资产</w:t>
      </w:r>
      <w:r>
        <w:rPr>
          <w:spacing w:val="-99"/>
        </w:rPr>
        <w:t> </w:t>
      </w:r>
      <w:r>
        <w:rPr>
          <w:spacing w:val="-99"/>
        </w:rPr>
      </w:r>
      <w:r>
        <w:rPr>
          <w:spacing w:val="-4"/>
        </w:rPr>
        <w:t>生产性生物资产是指为产出农产品目的而持有的生物资产，包括产畜和役畜等。生产性生物资产按照</w:t>
      </w:r>
    </w:p>
    <w:p>
      <w:pPr>
        <w:pStyle w:val="BodyText"/>
        <w:spacing w:line="381" w:lineRule="auto" w:before="57"/>
        <w:ind w:right="0"/>
        <w:jc w:val="left"/>
      </w:pPr>
      <w:r>
        <w:rPr>
          <w:spacing w:val="-2"/>
        </w:rPr>
        <w:t>成本进行初始计量。自行繁殖的生产性生物资产的成本，为该资产在达到预定生产经营目的前发生的可直</w:t>
      </w:r>
      <w:r>
        <w:rPr>
          <w:spacing w:val="-33"/>
        </w:rPr>
        <w:t> </w:t>
      </w:r>
      <w:r>
        <w:rPr>
          <w:spacing w:val="-33"/>
        </w:rPr>
      </w:r>
      <w:r>
        <w:rPr/>
        <w:t>接归属于该资产的必要支出，包括符合资本化条件的借款费用。</w:t>
      </w:r>
    </w:p>
    <w:p>
      <w:pPr>
        <w:pStyle w:val="BodyText"/>
        <w:spacing w:line="386" w:lineRule="auto" w:before="43"/>
        <w:ind w:right="0" w:firstLine="480"/>
        <w:jc w:val="left"/>
      </w:pPr>
      <w:r>
        <w:rPr>
          <w:spacing w:val="-4"/>
        </w:rPr>
        <w:t>本公司至少于年度终了对生产性生物资产的使用寿命、预计净残值和折旧方法进行复核，如发生改变</w:t>
      </w:r>
      <w:r>
        <w:rPr>
          <w:w w:val="100"/>
        </w:rPr>
        <w:t> </w:t>
      </w:r>
      <w:r>
        <w:rPr/>
        <w:t>则作为会计估计变更处理。</w:t>
      </w:r>
    </w:p>
    <w:p>
      <w:pPr>
        <w:pStyle w:val="BodyText"/>
        <w:spacing w:line="386" w:lineRule="auto"/>
        <w:ind w:left="633" w:right="170"/>
        <w:jc w:val="left"/>
      </w:pPr>
      <w:r>
        <w:rPr/>
        <w:t>生产性生物资产出售、盘亏、死亡或毁损的处置收入扣除其账面价值后的差额计入当期损益。</w:t>
      </w:r>
      <w:r>
        <w:rPr>
          <w:w w:val="100"/>
        </w:rPr>
        <w:t> </w:t>
      </w:r>
      <w:r>
        <w:rPr>
          <w:spacing w:val="-3"/>
          <w:w w:val="100"/>
        </w:rPr>
        <w:t>本公司在每一个资产负债表日检查生产性生物资产是否存在可能发生减值的迹象。如果该资产存在减</w:t>
      </w:r>
    </w:p>
    <w:p>
      <w:pPr>
        <w:pStyle w:val="BodyText"/>
        <w:spacing w:line="381" w:lineRule="auto" w:before="39"/>
        <w:ind w:right="0"/>
        <w:jc w:val="left"/>
      </w:pPr>
      <w:r>
        <w:rPr>
          <w:spacing w:val="-2"/>
        </w:rPr>
        <w:t>值迹象，则估计其可收回金额。估计资产的可收回金额以单项资产为基础。如果资产的可收回金额低于其</w:t>
      </w:r>
      <w:r>
        <w:rPr>
          <w:spacing w:val="-33"/>
        </w:rPr>
        <w:t> </w:t>
      </w:r>
      <w:r>
        <w:rPr>
          <w:spacing w:val="-33"/>
        </w:rPr>
      </w:r>
      <w:r>
        <w:rPr/>
        <w:t>账面价值，按其差额计提资产减值准备，并计入当期损益。</w:t>
      </w:r>
    </w:p>
    <w:p>
      <w:pPr>
        <w:pStyle w:val="BodyText"/>
        <w:spacing w:line="240" w:lineRule="auto" w:before="43"/>
        <w:ind w:left="633" w:right="0"/>
        <w:jc w:val="left"/>
      </w:pPr>
      <w:r>
        <w:rPr/>
        <w:t>上述资产减值损失一经确认，在以后会计期间不予转回。</w:t>
      </w:r>
    </w:p>
    <w:p>
      <w:pPr>
        <w:spacing w:after="0" w:line="240" w:lineRule="auto"/>
        <w:jc w:val="left"/>
        <w:sectPr>
          <w:pgSz w:w="11910" w:h="16840"/>
          <w:pgMar w:header="741" w:footer="979" w:top="1060" w:bottom="1160" w:left="980" w:right="9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right="0"/>
        <w:jc w:val="left"/>
      </w:pPr>
      <w:r>
        <w:rPr>
          <w:spacing w:val="-4"/>
        </w:rPr>
        <w:t>如果生产性生物资产改变用途，作为消耗性生物资产，其改变用途后的成本按改变用途时的账面价值确定。</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1"/>
        <w:ind w:left="633" w:right="0"/>
        <w:jc w:val="left"/>
      </w:pPr>
      <w:r>
        <w:rPr/>
        <w:t>无形资产是指本公司拥有或者控制的没有实物形态的可辨认非货币性资产。</w:t>
      </w:r>
      <w:r>
        <w:rPr>
          <w:spacing w:val="-103"/>
        </w:rPr>
        <w:t> </w:t>
      </w:r>
      <w:r>
        <w:rPr>
          <w:spacing w:val="-103"/>
        </w:rPr>
      </w:r>
      <w:r>
        <w:rPr>
          <w:spacing w:val="-4"/>
        </w:rPr>
        <w:t>无形资产按成本进行初始计量。与无形资产有关的支出，如果相关的经济利益很可能流入本公司且其</w:t>
      </w:r>
    </w:p>
    <w:p>
      <w:pPr>
        <w:pStyle w:val="BodyText"/>
        <w:spacing w:line="381" w:lineRule="auto" w:before="38"/>
        <w:ind w:left="633" w:right="0" w:hanging="480"/>
        <w:jc w:val="left"/>
      </w:pPr>
      <w:r>
        <w:rPr/>
        <w:t>成本能可靠地计量，则计入无形资产成本。除此以外的其他项目的支出，在发生时计入当期损益。</w:t>
      </w:r>
      <w:r>
        <w:rPr>
          <w:w w:val="100"/>
        </w:rPr>
        <w:t> </w:t>
      </w:r>
      <w:r>
        <w:rPr>
          <w:spacing w:val="-4"/>
        </w:rPr>
        <w:t>取得的土地使用权通常作为无形资产核算。自行开发建造厂房等建筑物，相关的土地使用权支出和建</w:t>
      </w:r>
    </w:p>
    <w:p>
      <w:pPr>
        <w:pStyle w:val="BodyText"/>
        <w:spacing w:line="386" w:lineRule="auto" w:before="43"/>
        <w:ind w:right="0"/>
        <w:jc w:val="left"/>
      </w:pPr>
      <w:r>
        <w:rPr>
          <w:spacing w:val="-2"/>
        </w:rPr>
        <w:t>筑物建造成本则分别作为无形资产和固定资产核算。如为外购的房屋及建筑物，则将有关价款在土地使用</w:t>
      </w:r>
      <w:r>
        <w:rPr>
          <w:spacing w:val="-33"/>
        </w:rPr>
        <w:t> </w:t>
      </w:r>
      <w:r>
        <w:rPr>
          <w:spacing w:val="-33"/>
        </w:rPr>
      </w:r>
      <w:r>
        <w:rPr/>
        <w:t>权和建筑物之间进行分配，难以合理分配的，全部作为固定资产处理。</w:t>
      </w:r>
    </w:p>
    <w:p>
      <w:pPr>
        <w:pStyle w:val="BodyText"/>
        <w:spacing w:line="386" w:lineRule="auto"/>
        <w:ind w:right="190" w:firstLine="480"/>
        <w:jc w:val="left"/>
      </w:pPr>
      <w:r>
        <w:rPr>
          <w:spacing w:val="-3"/>
          <w:w w:val="100"/>
        </w:rPr>
        <w:t>使用寿命有限的无形资产自可供使用时起，对其原值减去预计净残值和已计提的减值准备累计金额在</w:t>
      </w:r>
      <w:r>
        <w:rPr>
          <w:w w:val="100"/>
        </w:rPr>
        <w:t> </w:t>
      </w:r>
      <w:r>
        <w:rPr/>
        <w:t>其预计使用寿命内采用直线法分期平均摊销。使用寿命不确定的无形资产不予摊销。</w:t>
      </w:r>
    </w:p>
    <w:p>
      <w:pPr>
        <w:pStyle w:val="BodyText"/>
        <w:spacing w:line="384" w:lineRule="auto" w:before="38"/>
        <w:ind w:right="205" w:firstLine="840"/>
        <w:jc w:val="both"/>
      </w:pPr>
      <w:r>
        <w:rPr>
          <w:spacing w:val="-2"/>
        </w:rPr>
        <w:t>期末，对使用寿命有限的无形资产的使用寿命和摊销方法进行复核，如发生变更则作为会计估计</w:t>
      </w:r>
      <w:r>
        <w:rPr>
          <w:w w:val="100"/>
        </w:rPr>
        <w:t> </w:t>
      </w:r>
      <w:r>
        <w:rPr>
          <w:spacing w:val="-2"/>
        </w:rPr>
        <w:t>变更处理。此外，还对使用寿命不确定的无形资产的使用寿命进行复核，如果有证据表明该无形资产为企</w:t>
      </w:r>
      <w:r>
        <w:rPr>
          <w:spacing w:val="-33"/>
        </w:rPr>
        <w:t> </w:t>
      </w:r>
      <w:r>
        <w:rPr>
          <w:spacing w:val="-33"/>
        </w:rPr>
      </w:r>
      <w:r>
        <w:rPr>
          <w:spacing w:val="-2"/>
        </w:rPr>
        <w:t>业带来经济利益的期限是可预见的，则估计其使用寿命并按照使用寿命有限的无形资产的摊销政策进行摊</w:t>
      </w:r>
      <w:r>
        <w:rPr>
          <w:spacing w:val="-33"/>
        </w:rPr>
        <w:t> </w:t>
      </w:r>
      <w:r>
        <w:rPr>
          <w:spacing w:val="-33"/>
        </w:rPr>
      </w:r>
      <w:r>
        <w:rPr/>
        <w:t>销。</w:t>
      </w:r>
    </w:p>
    <w:p>
      <w:pPr>
        <w:spacing w:line="240" w:lineRule="auto" w:before="9"/>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left="633" w:right="0"/>
        <w:jc w:val="left"/>
      </w:pPr>
      <w:r>
        <w:rPr/>
        <w:t>本公司内部研究开发项目的支出分为研究阶段支出与开发阶段支出。</w:t>
      </w:r>
      <w:r>
        <w:rPr>
          <w:w w:val="100"/>
        </w:rPr>
        <w:t> </w:t>
      </w:r>
      <w:r>
        <w:rPr/>
        <w:t>研究阶段的支出，于发生时计入当期损益。</w:t>
      </w:r>
      <w:r>
        <w:rPr>
          <w:spacing w:val="-103"/>
        </w:rPr>
        <w:t> </w:t>
      </w:r>
      <w:r>
        <w:rPr>
          <w:spacing w:val="-103"/>
        </w:rPr>
      </w:r>
      <w:r>
        <w:rPr>
          <w:spacing w:val="-4"/>
        </w:rPr>
        <w:t>开发阶段的支出同时满足下列条件的，确认为无形资产，不能满足下述条件的开发阶段的支出计入当</w:t>
      </w:r>
    </w:p>
    <w:p>
      <w:pPr>
        <w:pStyle w:val="BodyText"/>
        <w:spacing w:line="240" w:lineRule="auto" w:before="40"/>
        <w:ind w:right="0"/>
        <w:jc w:val="left"/>
      </w:pPr>
      <w:r>
        <w:rPr/>
        <w:t>期损益：</w:t>
      </w:r>
    </w:p>
    <w:p>
      <w:pPr>
        <w:pStyle w:val="BodyText"/>
        <w:spacing w:line="240" w:lineRule="auto" w:before="162"/>
        <w:ind w:left="633" w:right="0"/>
        <w:jc w:val="left"/>
      </w:pPr>
      <w:r>
        <w:rPr/>
        <w:t>①完成该无形资产以使其能够使用或出售在技术上具有可行性；</w:t>
      </w:r>
    </w:p>
    <w:p>
      <w:pPr>
        <w:pStyle w:val="BodyText"/>
        <w:spacing w:line="240" w:lineRule="auto" w:before="166"/>
        <w:ind w:left="633" w:right="0"/>
        <w:jc w:val="left"/>
      </w:pPr>
      <w:r>
        <w:rPr/>
        <w:t>②具有完成该无形资产并使用或出售的意图；</w:t>
      </w:r>
    </w:p>
    <w:p>
      <w:pPr>
        <w:pStyle w:val="BodyText"/>
        <w:spacing w:line="381" w:lineRule="auto" w:before="166"/>
        <w:ind w:right="190" w:firstLine="480"/>
        <w:jc w:val="left"/>
      </w:pPr>
      <w:r>
        <w:rPr>
          <w:spacing w:val="-3"/>
          <w:w w:val="100"/>
        </w:rPr>
        <w:t>③无形资产产生经济利益的方式，包括能够证明运用该无形资产生产的产品存在市场或无形资产自身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386" w:lineRule="auto" w:before="43"/>
        <w:ind w:right="0" w:firstLine="480"/>
        <w:jc w:val="left"/>
      </w:pPr>
      <w:r>
        <w:rPr>
          <w:spacing w:val="-4"/>
        </w:rPr>
        <w:t>④有足够的技术、财务资源和其他资源支持，以完成该无形资产的开发，并有能力使用或出售该无形</w:t>
      </w:r>
      <w:r>
        <w:rPr>
          <w:w w:val="100"/>
        </w:rPr>
        <w:t> </w:t>
      </w:r>
      <w:r>
        <w:rPr/>
        <w:t>资产；</w:t>
      </w:r>
    </w:p>
    <w:p>
      <w:pPr>
        <w:pStyle w:val="BodyText"/>
        <w:spacing w:line="240" w:lineRule="auto"/>
        <w:ind w:left="633" w:right="0"/>
        <w:jc w:val="left"/>
      </w:pPr>
      <w:r>
        <w:rPr/>
        <w:t>⑤归属于该无形资产开发阶段的支出能够可靠地计量。</w:t>
      </w:r>
    </w:p>
    <w:p>
      <w:pPr>
        <w:spacing w:after="0" w:line="240" w:lineRule="auto"/>
        <w:jc w:val="left"/>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left="633" w:right="0"/>
        <w:jc w:val="left"/>
      </w:pPr>
      <w:r>
        <w:rPr/>
        <w:t>无法区分研究阶段支出和开发阶段支出的，将发生的研发支出全部计入当期损益。</w:t>
      </w:r>
    </w:p>
    <w:p>
      <w:pPr>
        <w:pStyle w:val="BodyText"/>
        <w:spacing w:line="730" w:lineRule="exact" w:before="10"/>
        <w:ind w:left="633" w:right="0" w:hanging="480"/>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spacing w:val="-102"/>
        </w:rPr>
        <w:t> </w:t>
      </w:r>
      <w:r>
        <w:rPr>
          <w:spacing w:val="-2"/>
        </w:rPr>
        <w:t>对于固定资产、在建工程、使用寿命有限的无形资产、以成本模式计量的投资性房地产及对子公司、</w:t>
      </w:r>
    </w:p>
    <w:p>
      <w:pPr>
        <w:pStyle w:val="BodyText"/>
        <w:spacing w:line="384" w:lineRule="auto" w:before="50"/>
        <w:ind w:right="0"/>
        <w:jc w:val="left"/>
      </w:pPr>
      <w:r>
        <w:rPr>
          <w:spacing w:val="-4"/>
        </w:rPr>
        <w:t>合营企业、联营企业的长期股权投资等非流动非金融资产，本公司于资产负债表日判断是否存在减值迹象。</w:t>
      </w:r>
      <w:r>
        <w:rPr>
          <w:spacing w:val="-42"/>
        </w:rPr>
        <w:t> </w:t>
      </w:r>
      <w:r>
        <w:rPr>
          <w:spacing w:val="-42"/>
        </w:rPr>
      </w:r>
      <w:r>
        <w:rPr/>
        <w:t>如存在减值迹象的，则估计其可收回金额，进行减值测试。商誉、使用寿命不确定的无形资产和尚未达到</w:t>
      </w:r>
      <w:r>
        <w:rPr>
          <w:w w:val="100"/>
        </w:rPr>
        <w:t> </w:t>
      </w:r>
      <w:r>
        <w:rPr/>
        <w:t>可使用状态的无形资产，无论是否存在减值迹象，每年均进行减值测试。</w:t>
      </w:r>
    </w:p>
    <w:p>
      <w:pPr>
        <w:pStyle w:val="BodyText"/>
        <w:spacing w:line="384" w:lineRule="auto" w:before="40"/>
        <w:ind w:right="186" w:firstLine="480"/>
        <w:jc w:val="both"/>
      </w:pPr>
      <w:r>
        <w:rPr>
          <w:spacing w:val="-4"/>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31"/>
        </w:rPr>
        <w:t> </w:t>
      </w:r>
      <w:r>
        <w:rPr>
          <w:spacing w:val="-31"/>
        </w:rPr>
      </w:r>
      <w:r>
        <w:rPr>
          <w:spacing w:val="-2"/>
        </w:rPr>
        <w:t>产的公允价值根据公平交易中销售协议价格确定；不存在销售协议但存在资产活跃市场的，公允价值按照</w:t>
      </w:r>
      <w:r>
        <w:rPr>
          <w:spacing w:val="-33"/>
        </w:rPr>
        <w:t> </w:t>
      </w:r>
      <w:r>
        <w:rPr>
          <w:spacing w:val="-33"/>
        </w:rPr>
      </w:r>
      <w:r>
        <w:rPr>
          <w:spacing w:val="-2"/>
        </w:rPr>
        <w:t>该资产的买方出价确定；不存在销售协议和资产活跃市场的，则以可获取的最佳信息为基础估计资产的公</w:t>
      </w:r>
      <w:r>
        <w:rPr>
          <w:spacing w:val="-33"/>
        </w:rPr>
        <w:t> </w:t>
      </w:r>
      <w:r>
        <w:rPr>
          <w:spacing w:val="-33"/>
        </w:rPr>
      </w:r>
      <w:r>
        <w:rPr>
          <w:spacing w:val="-2"/>
        </w:rPr>
        <w:t>允价值。处置费用包括与资产处置有关的法律费用、相关税费、搬运费以及为使资产达到可销售状态所发</w:t>
      </w:r>
      <w:r>
        <w:rPr>
          <w:spacing w:val="-33"/>
        </w:rPr>
        <w:t> </w:t>
      </w:r>
      <w:r>
        <w:rPr>
          <w:spacing w:val="-33"/>
        </w:rPr>
      </w:r>
      <w:r>
        <w:rPr>
          <w:spacing w:val="-2"/>
        </w:rPr>
        <w:t>生的直接费用。资产预计未来现金流量的现值，按照资产在持续使用过程中和最终处置时所产生的预计未</w:t>
      </w:r>
      <w:r>
        <w:rPr>
          <w:spacing w:val="-33"/>
        </w:rPr>
        <w:t> </w:t>
      </w:r>
      <w:r>
        <w:rPr>
          <w:spacing w:val="-33"/>
        </w:rPr>
      </w:r>
      <w:r>
        <w:rPr>
          <w:spacing w:val="-2"/>
        </w:rPr>
        <w:t>来现金流量，选择恰当的折现率对其进行折现后的金额加以确定。资产减值准备按单项资产为基础计算并</w:t>
      </w:r>
      <w:r>
        <w:rPr>
          <w:spacing w:val="-33"/>
        </w:rPr>
        <w:t> </w:t>
      </w:r>
      <w:r>
        <w:rPr>
          <w:spacing w:val="-33"/>
        </w:rPr>
      </w:r>
      <w:r>
        <w:rPr>
          <w:spacing w:val="-2"/>
        </w:rPr>
        <w:t>确认，如果难以对单项资产的可收回金额进行估计的，以该资产所属的资产组确定资产组的可收回金额。</w:t>
      </w:r>
      <w:r>
        <w:rPr>
          <w:spacing w:val="-13"/>
        </w:rPr>
        <w:t> </w:t>
      </w:r>
      <w:r>
        <w:rPr>
          <w:spacing w:val="-13"/>
        </w:rPr>
      </w:r>
      <w:r>
        <w:rPr/>
        <w:t>资产组是能够独立产生现金流入的最小资产组合。</w:t>
      </w:r>
    </w:p>
    <w:p>
      <w:pPr>
        <w:pStyle w:val="BodyText"/>
        <w:spacing w:line="384" w:lineRule="auto" w:before="40"/>
        <w:ind w:right="205" w:firstLine="480"/>
        <w:jc w:val="both"/>
      </w:pPr>
      <w:r>
        <w:rPr>
          <w:spacing w:val="-3"/>
        </w:rPr>
        <w:t>在财务报表中单独列示的商誉，在进行减值测试时，将商誉的账面价值分摊至预期从企业合并的协同</w:t>
      </w:r>
      <w:r>
        <w:rPr>
          <w:w w:val="100"/>
        </w:rPr>
        <w:t> </w:t>
      </w:r>
      <w:r>
        <w:rPr>
          <w:spacing w:val="-2"/>
        </w:rPr>
        <w:t>效应中受益的资产组或资产组组合。测试结果表明包含分摊的商誉的资产组或资产组组合的可收回金额低</w:t>
      </w:r>
      <w:r>
        <w:rPr>
          <w:spacing w:val="-33"/>
        </w:rPr>
        <w:t> </w:t>
      </w:r>
      <w:r>
        <w:rPr>
          <w:spacing w:val="-33"/>
        </w:rPr>
      </w:r>
      <w:r>
        <w:rPr>
          <w:spacing w:val="-2"/>
        </w:rPr>
        <w:t>于其账面价值的，确认相应的减值损失。减值损失金额先抵减分摊至该资产组或资产组组合的商誉的账面</w:t>
      </w:r>
      <w:r>
        <w:rPr>
          <w:spacing w:val="-33"/>
        </w:rPr>
        <w:t> </w:t>
      </w:r>
      <w:r>
        <w:rPr>
          <w:spacing w:val="-33"/>
        </w:rPr>
      </w:r>
      <w:r>
        <w:rPr>
          <w:spacing w:val="-2"/>
        </w:rPr>
        <w:t>价值，再根据资产组或资产组组合中除商誉以外的其他各项资产的账面价值所占比重，按比例抵减其他各</w:t>
      </w:r>
      <w:r>
        <w:rPr>
          <w:spacing w:val="-33"/>
        </w:rPr>
        <w:t> </w:t>
      </w:r>
      <w:r>
        <w:rPr>
          <w:spacing w:val="-33"/>
        </w:rPr>
      </w:r>
      <w:r>
        <w:rPr/>
        <w:t>项资产的账面价值。</w:t>
      </w:r>
    </w:p>
    <w:p>
      <w:pPr>
        <w:pStyle w:val="BodyText"/>
        <w:spacing w:line="240" w:lineRule="auto" w:before="40"/>
        <w:ind w:right="0"/>
        <w:jc w:val="left"/>
      </w:pPr>
      <w:r>
        <w:rPr/>
        <w:t>上述资产减值损失一经确认，以后期间不予转回价值得以恢复的部分。</w:t>
      </w:r>
    </w:p>
    <w:p>
      <w:pPr>
        <w:pStyle w:val="BodyText"/>
        <w:spacing w:line="730" w:lineRule="exact" w:before="10"/>
        <w:ind w:left="633" w:right="0" w:hanging="480"/>
        <w:jc w:val="left"/>
      </w:pP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spacing w:val="-102"/>
        </w:rPr>
        <w:t> </w:t>
      </w:r>
      <w:r>
        <w:rPr>
          <w:spacing w:val="-4"/>
        </w:rPr>
        <w:t>长期待摊费用为已经发生但应由报告期和以后各期负担的分摊期限在一年以上的各项费用。长期待摊</w:t>
      </w:r>
    </w:p>
    <w:p>
      <w:pPr>
        <w:pStyle w:val="BodyText"/>
        <w:spacing w:line="240" w:lineRule="auto" w:before="50"/>
        <w:ind w:right="0"/>
        <w:jc w:val="left"/>
      </w:pPr>
      <w:r>
        <w:rPr/>
        <w:t>费用在预计受益期间按直线法摊销。</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6"/>
        <w:ind w:right="0" w:firstLine="292"/>
        <w:jc w:val="left"/>
      </w:pPr>
      <w:r>
        <w:rPr>
          <w:spacing w:val="-4"/>
        </w:rPr>
        <w:t>短期薪酬主要包括工资、奖金、津贴和补贴、职工福利费、医疗保险费、生育保险费、工伤保险费、住</w:t>
      </w:r>
      <w:r>
        <w:rPr>
          <w:w w:val="100"/>
        </w:rPr>
        <w:t> </w:t>
      </w:r>
      <w:r>
        <w:rPr>
          <w:spacing w:val="-2"/>
        </w:rPr>
        <w:t>房公积金、工会经费和职工教育经费、非货币性福利等。本公司在职工为本公司提供服务的会计期间将实</w:t>
      </w:r>
    </w:p>
    <w:p>
      <w:pPr>
        <w:spacing w:after="0" w:line="386" w:lineRule="auto"/>
        <w:jc w:val="left"/>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right="0"/>
        <w:jc w:val="left"/>
      </w:pPr>
      <w:r>
        <w:rPr>
          <w:spacing w:val="-4"/>
        </w:rPr>
        <w:t>际发生的短期职工薪酬确认为负债，并计入当期损益或相关资产成本。其中非货币性福利按公允价值计量。</w:t>
      </w:r>
    </w:p>
    <w:p>
      <w:pPr>
        <w:spacing w:line="730" w:lineRule="exact" w:before="10"/>
        <w:ind w:left="575" w:right="0"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1"/>
          <w:sz w:val="21"/>
          <w:szCs w:val="21"/>
        </w:rPr>
        <w:t> </w:t>
      </w:r>
      <w:r>
        <w:rPr>
          <w:rFonts w:ascii="宋体" w:hAnsi="宋体" w:cs="宋体" w:eastAsia="宋体" w:hint="default"/>
          <w:spacing w:val="-5"/>
          <w:sz w:val="21"/>
          <w:szCs w:val="21"/>
        </w:rPr>
        <w:t>离职后福利主要包括设定提存计划。其中设定提存计划主要包括基本养老保险、失业保险以及年金等，</w:t>
      </w:r>
    </w:p>
    <w:p>
      <w:pPr>
        <w:pStyle w:val="BodyText"/>
        <w:spacing w:line="240" w:lineRule="auto" w:before="50"/>
        <w:ind w:right="0"/>
        <w:jc w:val="left"/>
      </w:pPr>
      <w:r>
        <w:rPr/>
        <w:t>相应的应缴存金额于发生时计入相关资产成本或当期损益。</w:t>
      </w:r>
    </w:p>
    <w:p>
      <w:pPr>
        <w:spacing w:line="734" w:lineRule="exact" w:before="3"/>
        <w:ind w:left="633" w:right="0"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2"/>
          <w:sz w:val="21"/>
          <w:szCs w:val="21"/>
        </w:rPr>
        <w:t> </w:t>
      </w:r>
      <w:r>
        <w:rPr>
          <w:rFonts w:ascii="宋体" w:hAnsi="宋体" w:cs="宋体" w:eastAsia="宋体" w:hint="default"/>
          <w:sz w:val="21"/>
          <w:szCs w:val="21"/>
        </w:rPr>
        <w:t>在职工劳动合同到期之前解除与职工的劳动关系，或为鼓励职工自愿接受裁减而提出给予补偿的建</w:t>
      </w:r>
    </w:p>
    <w:p>
      <w:pPr>
        <w:pStyle w:val="BodyText"/>
        <w:spacing w:line="386" w:lineRule="auto" w:before="44"/>
        <w:ind w:right="225"/>
        <w:jc w:val="both"/>
      </w:pPr>
      <w:r>
        <w:rPr>
          <w:spacing w:val="-2"/>
        </w:rPr>
        <w:t>议，在本公司不能单方面撤回因解除劳动关系计划或裁减建议所提供的辞退福利时，和本公司确认与涉及</w:t>
      </w:r>
      <w:r>
        <w:rPr>
          <w:spacing w:val="-33"/>
        </w:rPr>
        <w:t> </w:t>
      </w:r>
      <w:r>
        <w:rPr>
          <w:spacing w:val="-33"/>
        </w:rPr>
      </w:r>
      <w:r>
        <w:rPr>
          <w:spacing w:val="-2"/>
        </w:rPr>
        <w:t>支付辞退福利的重组相关的成本两者孰早日，确认辞退福利产生的职工薪酬负债，并计入当期损益。但辞</w:t>
      </w:r>
      <w:r>
        <w:rPr>
          <w:spacing w:val="-33"/>
        </w:rPr>
        <w:t> </w:t>
      </w:r>
      <w:r>
        <w:rPr>
          <w:spacing w:val="-33"/>
        </w:rPr>
      </w:r>
      <w:r>
        <w:rPr/>
        <w:t>退福利预期在年度报告期结束后十二个月不能完全支付的，按照其他长期职工薪酬处理。</w:t>
      </w:r>
    </w:p>
    <w:p>
      <w:pPr>
        <w:spacing w:line="710" w:lineRule="atLeast" w:before="109"/>
        <w:ind w:left="633" w:right="0"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本公司向职工提供的其他长期职工福利，符合设定提存计划的，按照设定提存计划进行会计处理，除</w:t>
      </w:r>
    </w:p>
    <w:p>
      <w:pPr>
        <w:pStyle w:val="BodyText"/>
        <w:spacing w:line="240" w:lineRule="auto" w:before="166"/>
        <w:ind w:right="0"/>
        <w:jc w:val="left"/>
      </w:pPr>
      <w:r>
        <w:rPr/>
        <w:t>此之外按照设定收益计划进行会计处理。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8"/>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0"/>
        <w:rPr>
          <w:rFonts w:ascii="宋体" w:hAnsi="宋体" w:cs="宋体" w:eastAsia="宋体" w:hint="default"/>
          <w:b/>
          <w:bCs/>
          <w:sz w:val="22"/>
          <w:szCs w:val="22"/>
        </w:rPr>
      </w:pPr>
    </w:p>
    <w:p>
      <w:pPr>
        <w:pStyle w:val="BodyText"/>
        <w:spacing w:line="364" w:lineRule="auto" w:before="151"/>
        <w:ind w:right="0" w:firstLine="480"/>
        <w:jc w:val="left"/>
      </w:pPr>
      <w:r>
        <w:rPr>
          <w:spacing w:val="-1"/>
        </w:rPr>
        <w:t>当与或有事项相关的义务同时符合以下条件，确认为预计负债：（</w:t>
      </w:r>
      <w:r>
        <w:rPr>
          <w:rFonts w:ascii="Times New Roman" w:hAnsi="Times New Roman" w:cs="Times New Roman" w:eastAsia="Times New Roman" w:hint="default"/>
          <w:spacing w:val="-1"/>
        </w:rPr>
        <w:t>1</w:t>
      </w:r>
      <w:r>
        <w:rPr>
          <w:spacing w:val="-1"/>
        </w:rPr>
        <w:t>）该义务是本公司承担的现时义</w:t>
      </w:r>
      <w:r>
        <w:rPr>
          <w:w w:val="100"/>
        </w:rPr>
        <w:t> </w:t>
      </w:r>
      <w:r>
        <w:rPr/>
        <w:t>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BodyText"/>
        <w:spacing w:line="386" w:lineRule="auto" w:before="25"/>
        <w:ind w:right="0" w:firstLine="480"/>
        <w:jc w:val="left"/>
      </w:pPr>
      <w:r>
        <w:rPr>
          <w:spacing w:val="-3"/>
        </w:rPr>
        <w:t>在资产负债表日，考虑与或有事项有关的风险、不确定性和货币时间价值等因素，按照履行相关现时</w:t>
      </w:r>
      <w:r>
        <w:rPr>
          <w:w w:val="100"/>
        </w:rPr>
        <w:t> </w:t>
      </w:r>
      <w:r>
        <w:rPr/>
        <w:t>义务所需支出的最佳估计数对预计负债进行计量。</w:t>
      </w:r>
    </w:p>
    <w:p>
      <w:pPr>
        <w:pStyle w:val="BodyText"/>
        <w:spacing w:line="381" w:lineRule="auto" w:before="38"/>
        <w:ind w:right="0" w:firstLine="480"/>
        <w:jc w:val="left"/>
      </w:pPr>
      <w:r>
        <w:rPr>
          <w:spacing w:val="-4"/>
        </w:rPr>
        <w:t>如果清偿预计负债所需支出全部或部分预期由第三方补偿的，补偿金额在基本确定能够收到时，作为</w:t>
      </w:r>
      <w:r>
        <w:rPr>
          <w:w w:val="100"/>
        </w:rPr>
        <w:t> </w:t>
      </w:r>
      <w:r>
        <w:rPr/>
        <w:t>资产单独确认，且确认的补偿金额不超过预计负债的账面价值。</w:t>
      </w:r>
    </w:p>
    <w:p>
      <w:pPr>
        <w:pStyle w:val="BodyText"/>
        <w:spacing w:line="364" w:lineRule="auto" w:before="43"/>
        <w:ind w:left="633" w:right="0"/>
        <w:jc w:val="left"/>
      </w:pPr>
      <w:r>
        <w:rPr/>
        <w:t>（</w:t>
      </w:r>
      <w:r>
        <w:rPr>
          <w:rFonts w:ascii="Times New Roman" w:hAnsi="Times New Roman" w:cs="Times New Roman" w:eastAsia="Times New Roman" w:hint="default"/>
        </w:rPr>
        <w:t>1</w:t>
      </w:r>
      <w:r>
        <w:rPr/>
        <w:t>）亏损合同</w:t>
      </w:r>
      <w:r>
        <w:rPr>
          <w:spacing w:val="-103"/>
        </w:rPr>
        <w:t> </w:t>
      </w:r>
      <w:r>
        <w:rPr>
          <w:spacing w:val="-103"/>
        </w:rPr>
      </w:r>
      <w:r>
        <w:rPr/>
        <w:t>亏损合同是履行合同义务不可避免会发生的成本超过预期经济利益的合同。待执行合同变成亏损合</w:t>
      </w:r>
    </w:p>
    <w:p>
      <w:pPr>
        <w:pStyle w:val="BodyText"/>
        <w:spacing w:line="386" w:lineRule="auto" w:before="52"/>
        <w:ind w:right="0"/>
        <w:jc w:val="left"/>
      </w:pPr>
      <w:r>
        <w:rPr>
          <w:spacing w:val="-2"/>
        </w:rPr>
        <w:t>同，且该亏损合同产生的义务满足上述预计负债的确认条件的，将合同预计损失超过合同标的资产已确认</w:t>
      </w:r>
      <w:r>
        <w:rPr>
          <w:spacing w:val="-33"/>
        </w:rPr>
        <w:t> </w:t>
      </w:r>
      <w:r>
        <w:rPr>
          <w:spacing w:val="-33"/>
        </w:rPr>
      </w:r>
      <w:r>
        <w:rPr/>
        <w:t>的减值损失（如有）的部分，确认为预计负债。</w:t>
      </w:r>
    </w:p>
    <w:p>
      <w:pPr>
        <w:pStyle w:val="BodyText"/>
        <w:spacing w:line="372" w:lineRule="auto" w:before="38"/>
        <w:ind w:right="0" w:firstLine="480"/>
        <w:jc w:val="left"/>
      </w:pPr>
      <w:r>
        <w:rPr/>
        <w:t>（</w:t>
      </w:r>
      <w:r>
        <w:rPr>
          <w:rFonts w:ascii="Times New Roman" w:hAnsi="Times New Roman" w:cs="Times New Roman" w:eastAsia="Times New Roman" w:hint="default"/>
        </w:rPr>
        <w:t>2</w:t>
      </w:r>
      <w:r>
        <w:rPr/>
        <w:t>）重组义务</w:t>
      </w:r>
      <w:r>
        <w:rPr>
          <w:w w:val="100"/>
        </w:rPr>
        <w:t> </w:t>
      </w:r>
      <w:r>
        <w:rPr>
          <w:spacing w:val="-2"/>
        </w:rPr>
        <w:t>对于有详细、正式并且已经对外公告的重组计划，在满足前述预计负债的确认条件的情况下，按照与重组</w:t>
      </w:r>
      <w:r>
        <w:rPr>
          <w:spacing w:val="-31"/>
        </w:rPr>
        <w:t> </w:t>
      </w:r>
      <w:r>
        <w:rPr>
          <w:spacing w:val="-31"/>
        </w:rPr>
      </w:r>
      <w:r>
        <w:rPr/>
        <w:t>有关的直接支出确定预计负债金额。</w:t>
      </w:r>
    </w:p>
    <w:p>
      <w:pPr>
        <w:spacing w:after="0" w:line="372" w:lineRule="auto"/>
        <w:jc w:val="left"/>
        <w:sectPr>
          <w:footerReference w:type="default" r:id="rId32"/>
          <w:pgSz w:w="11910" w:h="16840"/>
          <w:pgMar w:footer="979" w:header="741" w:top="1060" w:bottom="1160" w:left="980" w:right="900"/>
          <w:pgNumType w:start="92"/>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1"/>
        <w:ind w:right="190" w:firstLine="480"/>
        <w:jc w:val="both"/>
      </w:pPr>
      <w:r>
        <w:rPr>
          <w:spacing w:val="-4"/>
        </w:rPr>
        <w:t>本公司的营业收入主要包括商品销售收入、房地产销售收入、物业管理及物业出租收入、提供劳务收</w:t>
      </w:r>
      <w:r>
        <w:rPr>
          <w:w w:val="100"/>
        </w:rPr>
        <w:t> </w:t>
      </w:r>
      <w:r>
        <w:rPr/>
        <w:t>入、让渡资产使用权收入及其他服务收入，其收入确认原则如下：</w:t>
      </w:r>
    </w:p>
    <w:p>
      <w:pPr>
        <w:pStyle w:val="BodyText"/>
        <w:spacing w:line="360" w:lineRule="auto" w:before="38"/>
        <w:ind w:left="633" w:right="0"/>
        <w:jc w:val="left"/>
      </w:pPr>
      <w:r>
        <w:rPr/>
        <w:t>（</w:t>
      </w:r>
      <w:r>
        <w:rPr>
          <w:rFonts w:ascii="Times New Roman" w:hAnsi="Times New Roman" w:cs="Times New Roman" w:eastAsia="Times New Roman" w:hint="default"/>
        </w:rPr>
        <w:t>1</w:t>
      </w:r>
      <w:r>
        <w:rPr/>
        <w:t>）商品销售收入</w:t>
      </w:r>
      <w:r>
        <w:rPr>
          <w:spacing w:val="-100"/>
        </w:rPr>
        <w:t> </w:t>
      </w:r>
      <w:r>
        <w:rPr>
          <w:spacing w:val="-100"/>
        </w:rPr>
      </w:r>
      <w:r>
        <w:rPr>
          <w:spacing w:val="-2"/>
        </w:rPr>
        <w:t>在已将商品所有权上的主要风险和报酬转移给买方，既没有保留通常与所有权相联系的继续管理权，</w:t>
      </w:r>
    </w:p>
    <w:p>
      <w:pPr>
        <w:pStyle w:val="BodyText"/>
        <w:spacing w:line="386" w:lineRule="auto" w:before="61"/>
        <w:ind w:right="0"/>
        <w:jc w:val="left"/>
      </w:pPr>
      <w:r>
        <w:rPr>
          <w:spacing w:val="-2"/>
        </w:rPr>
        <w:t>也没有对已售商品实施有效控制，收入的金额能够可靠地计量，相关的经济利益很可能流入企业，相关的</w:t>
      </w:r>
      <w:r>
        <w:rPr>
          <w:spacing w:val="-33"/>
        </w:rPr>
        <w:t> </w:t>
      </w:r>
      <w:r>
        <w:rPr>
          <w:spacing w:val="-33"/>
        </w:rPr>
      </w:r>
      <w:r>
        <w:rPr/>
        <w:t>已发生或将发生的成本能够可靠地计量时，确认商品销售收入的实现。</w:t>
      </w:r>
    </w:p>
    <w:p>
      <w:pPr>
        <w:pStyle w:val="BodyText"/>
        <w:spacing w:line="364" w:lineRule="auto"/>
        <w:ind w:left="633" w:right="0"/>
        <w:jc w:val="left"/>
      </w:pPr>
      <w:r>
        <w:rPr/>
        <w:t>（</w:t>
      </w:r>
      <w:r>
        <w:rPr>
          <w:rFonts w:ascii="Times New Roman" w:hAnsi="Times New Roman" w:cs="Times New Roman" w:eastAsia="Times New Roman" w:hint="default"/>
        </w:rPr>
        <w:t>2</w:t>
      </w:r>
      <w:r>
        <w:rPr/>
        <w:t>）房地产销售收入的确认方法</w:t>
      </w:r>
      <w:r>
        <w:rPr>
          <w:spacing w:val="-103"/>
        </w:rPr>
        <w:t> </w:t>
      </w:r>
      <w:r>
        <w:rPr>
          <w:spacing w:val="-103"/>
        </w:rPr>
      </w:r>
      <w:r>
        <w:rPr>
          <w:spacing w:val="-4"/>
        </w:rPr>
        <w:t>房地产销售在房产完工并验收合格，达到了销售合同约定的交付条件，取得了买方按销售合同约定交</w:t>
      </w:r>
    </w:p>
    <w:p>
      <w:pPr>
        <w:pStyle w:val="BodyText"/>
        <w:spacing w:line="240" w:lineRule="auto" w:before="57"/>
        <w:ind w:right="0"/>
        <w:jc w:val="left"/>
      </w:pPr>
      <w:r>
        <w:rPr/>
        <w:t>付房产的付款证明时</w:t>
      </w:r>
      <w:r>
        <w:rPr>
          <w:rFonts w:ascii="Times New Roman" w:hAnsi="Times New Roman" w:cs="Times New Roman" w:eastAsia="Times New Roman" w:hint="default"/>
        </w:rPr>
        <w:t>(</w:t>
      </w:r>
      <w:r>
        <w:rPr/>
        <w:t>通常收到销售合同首期款及已确认余下房款的付款安排</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确认销售收入的实现。</w:t>
      </w:r>
    </w:p>
    <w:p>
      <w:pPr>
        <w:pStyle w:val="BodyText"/>
        <w:spacing w:line="374" w:lineRule="auto" w:before="146"/>
        <w:ind w:left="633" w:right="0"/>
        <w:jc w:val="left"/>
      </w:pPr>
      <w:r>
        <w:rPr/>
        <w:t>（</w:t>
      </w:r>
      <w:r>
        <w:rPr>
          <w:rFonts w:ascii="Times New Roman" w:hAnsi="Times New Roman" w:cs="Times New Roman" w:eastAsia="Times New Roman" w:hint="default"/>
        </w:rPr>
        <w:t>3</w:t>
      </w:r>
      <w:r>
        <w:rPr/>
        <w:t>）物业管理和物业出租收入的确认方法</w:t>
      </w:r>
      <w:r>
        <w:rPr>
          <w:spacing w:val="-103"/>
        </w:rPr>
        <w:t> </w:t>
      </w:r>
      <w:r>
        <w:rPr>
          <w:spacing w:val="-103"/>
        </w:rPr>
      </w:r>
      <w:r>
        <w:rPr/>
        <w:t>物业管理收入在物业管理期内的各个期间按直线法确认为当期损益。</w:t>
      </w:r>
      <w:r>
        <w:rPr>
          <w:w w:val="100"/>
        </w:rPr>
        <w:t> </w:t>
      </w:r>
      <w:r>
        <w:rPr>
          <w:spacing w:val="-3"/>
        </w:rPr>
        <w:t>经营租赁的租金收入在租赁期内的各个期间按直线法确认为当期损益。对金额较大的初始直接费用于</w:t>
      </w:r>
    </w:p>
    <w:p>
      <w:pPr>
        <w:pStyle w:val="BodyText"/>
        <w:spacing w:line="386" w:lineRule="auto" w:before="44"/>
        <w:ind w:right="0"/>
        <w:jc w:val="left"/>
      </w:pPr>
      <w:r>
        <w:rPr>
          <w:spacing w:val="-2"/>
        </w:rPr>
        <w:t>发生时予以资本化，在整个租赁期间内按照与确认租金收入相同的基础分期计入当期损益；其他金额较小</w:t>
      </w:r>
      <w:r>
        <w:rPr>
          <w:spacing w:val="-29"/>
        </w:rPr>
        <w:t> </w:t>
      </w:r>
      <w:r>
        <w:rPr>
          <w:spacing w:val="-29"/>
        </w:rPr>
      </w:r>
      <w:r>
        <w:rPr/>
        <w:t>的初始直接费用于发生时计入当期损益；或有租金于实际发生时计入当期损益。</w:t>
      </w:r>
    </w:p>
    <w:p>
      <w:pPr>
        <w:pStyle w:val="BodyText"/>
        <w:spacing w:line="360" w:lineRule="auto" w:before="38"/>
        <w:ind w:left="633" w:right="170"/>
        <w:jc w:val="left"/>
      </w:pPr>
      <w:r>
        <w:rPr/>
        <w:t>（</w:t>
      </w:r>
      <w:r>
        <w:rPr>
          <w:rFonts w:ascii="Times New Roman" w:hAnsi="Times New Roman" w:cs="Times New Roman" w:eastAsia="Times New Roman" w:hint="default"/>
        </w:rPr>
        <w:t>4</w:t>
      </w:r>
      <w:r>
        <w:rPr/>
        <w:t>）提供劳务收入</w:t>
      </w:r>
      <w:r>
        <w:rPr>
          <w:spacing w:val="-100"/>
        </w:rPr>
        <w:t> </w:t>
      </w:r>
      <w:r>
        <w:rPr>
          <w:spacing w:val="-100"/>
        </w:rPr>
      </w:r>
      <w:r>
        <w:rPr>
          <w:spacing w:val="-3"/>
          <w:w w:val="100"/>
        </w:rPr>
        <w:t>在提供劳务交易的结果能够可靠估计的情况下，于资产负债表日按照完工百分比法确认提供的劳务收</w:t>
      </w:r>
    </w:p>
    <w:p>
      <w:pPr>
        <w:pStyle w:val="BodyText"/>
        <w:spacing w:line="386" w:lineRule="auto" w:before="62"/>
        <w:ind w:left="633" w:right="0" w:hanging="480"/>
        <w:jc w:val="left"/>
      </w:pPr>
      <w:r>
        <w:rPr/>
        <w:t>入。劳务交易的完工进度按已经发生的劳务成本占估计总成本的比例确定。</w:t>
      </w:r>
      <w:r>
        <w:rPr>
          <w:w w:val="100"/>
        </w:rPr>
        <w:t> </w:t>
      </w:r>
      <w:r>
        <w:rPr>
          <w:spacing w:val="-4"/>
        </w:rPr>
        <w:t>提供劳务交易的结果能够可靠估计是指同时满足：①收入的金额能够可靠地计量；②相关的经济利益</w:t>
      </w:r>
    </w:p>
    <w:p>
      <w:pPr>
        <w:pStyle w:val="BodyText"/>
        <w:spacing w:line="386" w:lineRule="auto"/>
        <w:ind w:left="0" w:right="166"/>
        <w:jc w:val="right"/>
      </w:pPr>
      <w:r>
        <w:rPr>
          <w:spacing w:val="-2"/>
        </w:rPr>
        <w:t>很可能流入企业；③交易的完工程度能够可靠地确定；④交易中已发生和将发生的成本能够可靠地计量。</w:t>
      </w:r>
      <w:r>
        <w:rPr>
          <w:spacing w:val="-24"/>
        </w:rPr>
        <w:t> </w:t>
      </w:r>
      <w:r>
        <w:rPr>
          <w:spacing w:val="-24"/>
        </w:rPr>
      </w:r>
      <w:r>
        <w:rPr>
          <w:spacing w:val="-3"/>
        </w:rPr>
        <w:t>如果提供劳务交易的结果不能够可靠估计，则按已经发生并预计能够得到补偿的劳务成本金额确认提</w:t>
      </w:r>
      <w:r>
        <w:rPr>
          <w:w w:val="100"/>
        </w:rPr>
        <w:t> </w:t>
      </w:r>
      <w:r>
        <w:rPr>
          <w:spacing w:val="-2"/>
        </w:rPr>
        <w:t>供的劳务收入，并将已发生的劳务成本作为当期费用。已经发生的劳务成本如预计不能得到补偿的，则不</w:t>
      </w:r>
    </w:p>
    <w:p>
      <w:pPr>
        <w:pStyle w:val="BodyText"/>
        <w:spacing w:line="240" w:lineRule="auto"/>
        <w:ind w:right="0"/>
        <w:jc w:val="left"/>
      </w:pPr>
      <w:r>
        <w:rPr/>
        <w:t>确认收入。</w:t>
      </w:r>
    </w:p>
    <w:p>
      <w:pPr>
        <w:pStyle w:val="BodyText"/>
        <w:spacing w:line="384" w:lineRule="auto" w:before="166"/>
        <w:ind w:right="185" w:firstLine="480"/>
        <w:jc w:val="both"/>
      </w:pPr>
      <w:r>
        <w:rPr>
          <w:spacing w:val="-3"/>
        </w:rPr>
        <w:t>本公司与其他企业签订的合同或协议包括销售商品和提供劳务时，如销售商品部分和提供劳务部分能</w:t>
      </w:r>
      <w:r>
        <w:rPr>
          <w:w w:val="100"/>
        </w:rPr>
        <w:t> </w:t>
      </w:r>
      <w:r>
        <w:rPr>
          <w:spacing w:val="-2"/>
        </w:rPr>
        <w:t>够区分并单独计量的，将销售商品部分和提供劳务部分分别处理；如销售商品部分和提供劳务部分不能够</w:t>
      </w:r>
      <w:r>
        <w:rPr>
          <w:spacing w:val="-33"/>
        </w:rPr>
        <w:t> </w:t>
      </w:r>
      <w:r>
        <w:rPr>
          <w:spacing w:val="-33"/>
        </w:rPr>
      </w:r>
      <w:r>
        <w:rPr/>
        <w:t>区分，或虽能区分但不能够单独计量的，将该合同全部作为销售商品处理。</w:t>
      </w:r>
    </w:p>
    <w:p>
      <w:pPr>
        <w:pStyle w:val="BodyText"/>
        <w:spacing w:line="364" w:lineRule="auto" w:before="40"/>
        <w:ind w:left="633" w:right="3407"/>
        <w:jc w:val="left"/>
      </w:pPr>
      <w:r>
        <w:rPr/>
        <w:t>（</w:t>
      </w:r>
      <w:r>
        <w:rPr>
          <w:rFonts w:ascii="Times New Roman" w:hAnsi="Times New Roman" w:cs="Times New Roman" w:eastAsia="Times New Roman" w:hint="default"/>
        </w:rPr>
        <w:t>5</w:t>
      </w:r>
      <w:r>
        <w:rPr/>
        <w:t>）使用费收入</w:t>
      </w:r>
      <w:r>
        <w:rPr>
          <w:spacing w:val="-101"/>
        </w:rPr>
        <w:t> </w:t>
      </w:r>
      <w:r>
        <w:rPr>
          <w:spacing w:val="-101"/>
        </w:rPr>
      </w:r>
      <w:r>
        <w:rPr>
          <w:spacing w:val="-1"/>
        </w:rPr>
        <w:t>根据有关合同或协议，按权责发生制确认收入。</w:t>
      </w:r>
    </w:p>
    <w:p>
      <w:pPr>
        <w:spacing w:after="0" w:line="364" w:lineRule="auto"/>
        <w:jc w:val="left"/>
        <w:sectPr>
          <w:pgSz w:w="11910" w:h="16840"/>
          <w:pgMar w:header="741" w:footer="979" w:top="1060" w:bottom="1160" w:left="980" w:right="9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64" w:lineRule="auto" w:before="36"/>
        <w:ind w:right="3459" w:firstLine="480"/>
        <w:jc w:val="left"/>
      </w:pPr>
      <w:r>
        <w:rPr/>
        <w:t>（</w:t>
      </w:r>
      <w:r>
        <w:rPr>
          <w:rFonts w:ascii="Times New Roman" w:hAnsi="Times New Roman" w:cs="Times New Roman" w:eastAsia="Times New Roman" w:hint="default"/>
        </w:rPr>
        <w:t>6</w:t>
      </w:r>
      <w:r>
        <w:rPr/>
        <w:t>）利息收入</w:t>
      </w:r>
      <w:r>
        <w:rPr>
          <w:w w:val="100"/>
        </w:rPr>
        <w:t> </w:t>
      </w:r>
      <w:r>
        <w:rPr>
          <w:spacing w:val="-2"/>
        </w:rPr>
        <w:t>按照他人使用本公司货币资金的时间和实际利率计算确定。</w:t>
      </w:r>
    </w:p>
    <w:p>
      <w:pPr>
        <w:spacing w:line="240" w:lineRule="auto" w:before="0"/>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spacing w:line="504" w:lineRule="auto" w:before="0"/>
        <w:ind w:left="633" w:right="0"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与资产相关的政府补助，确认为递延收益，并在相关资产的使用寿命内平均分配计入当期损益。</w:t>
      </w:r>
    </w:p>
    <w:p>
      <w:pPr>
        <w:pStyle w:val="Heading4"/>
        <w:spacing w:line="240" w:lineRule="auto" w:before="108"/>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1" w:lineRule="auto" w:before="156"/>
        <w:ind w:right="0" w:firstLine="422"/>
        <w:jc w:val="left"/>
      </w:pPr>
      <w:r>
        <w:rPr>
          <w:spacing w:val="-2"/>
        </w:rPr>
        <w:t>与收益相关的政府补助，用于补偿以后期间的相关费用和损失的，确认为递延收益，并在确认相关费</w:t>
      </w:r>
      <w:r>
        <w:rPr>
          <w:w w:val="100"/>
        </w:rPr>
        <w:t> </w:t>
      </w:r>
      <w:r>
        <w:rPr/>
        <w:t>用的期间计入当期损益；用于补偿已经发生的相关费用和损失的，直接计入当期损益。</w:t>
      </w:r>
    </w:p>
    <w:p>
      <w:pPr>
        <w:spacing w:line="240" w:lineRule="auto" w:before="3"/>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BodyText"/>
        <w:spacing w:line="364" w:lineRule="auto" w:before="151"/>
        <w:ind w:left="633" w:right="0"/>
        <w:jc w:val="left"/>
      </w:pPr>
      <w:r>
        <w:rPr/>
        <w:t>（</w:t>
      </w:r>
      <w:r>
        <w:rPr>
          <w:rFonts w:ascii="Times New Roman" w:hAnsi="Times New Roman" w:cs="Times New Roman" w:eastAsia="Times New Roman" w:hint="default"/>
        </w:rPr>
        <w:t>1</w:t>
      </w:r>
      <w:r>
        <w:rPr/>
        <w:t>）当期所得税</w:t>
      </w:r>
      <w:r>
        <w:rPr>
          <w:spacing w:val="-101"/>
        </w:rPr>
        <w:t> </w:t>
      </w:r>
      <w:r>
        <w:rPr>
          <w:spacing w:val="-101"/>
        </w:rPr>
      </w:r>
      <w:r>
        <w:rPr>
          <w:spacing w:val="-4"/>
        </w:rPr>
        <w:t>资产负债表日，对于当期和以前期间形成的当期所得税负债（或资产），以按照税法规定计算的预期</w:t>
      </w:r>
    </w:p>
    <w:p>
      <w:pPr>
        <w:pStyle w:val="BodyText"/>
        <w:spacing w:line="381" w:lineRule="auto" w:before="57"/>
        <w:ind w:right="0"/>
        <w:jc w:val="left"/>
      </w:pPr>
      <w:r>
        <w:rPr>
          <w:spacing w:val="-2"/>
        </w:rPr>
        <w:t>应交纳（或返还）的所得税金额计量。计算当期所得税费用所依据的应纳税所得额系根据有关税法规定对</w:t>
      </w:r>
      <w:r>
        <w:rPr>
          <w:spacing w:val="-33"/>
        </w:rPr>
        <w:t> </w:t>
      </w:r>
      <w:r>
        <w:rPr>
          <w:spacing w:val="-33"/>
        </w:rPr>
      </w:r>
      <w:r>
        <w:rPr/>
        <w:t>本年度税前会计利润作相应调整后计算得出。</w:t>
      </w:r>
    </w:p>
    <w:p>
      <w:pPr>
        <w:pStyle w:val="BodyText"/>
        <w:spacing w:line="364" w:lineRule="auto" w:before="43"/>
        <w:ind w:left="633" w:right="0"/>
        <w:jc w:val="left"/>
      </w:pPr>
      <w:r>
        <w:rPr/>
        <w:t>（</w:t>
      </w:r>
      <w:r>
        <w:rPr>
          <w:rFonts w:ascii="Times New Roman" w:hAnsi="Times New Roman" w:cs="Times New Roman" w:eastAsia="Times New Roman" w:hint="default"/>
        </w:rPr>
        <w:t>2</w:t>
      </w:r>
      <w:r>
        <w:rPr/>
        <w:t>）递延所得税资产及递延所得税负债</w:t>
      </w:r>
      <w:r>
        <w:rPr>
          <w:spacing w:val="-99"/>
        </w:rPr>
        <w:t> </w:t>
      </w:r>
      <w:r>
        <w:rPr>
          <w:spacing w:val="-99"/>
        </w:rPr>
      </w:r>
      <w:r>
        <w:rPr>
          <w:spacing w:val="-4"/>
        </w:rPr>
        <w:t>某些资产、负债项目的账面价值与其计税基础之间的差额，以及未作为资产和负债确认但按照税法规</w:t>
      </w:r>
    </w:p>
    <w:p>
      <w:pPr>
        <w:pStyle w:val="BodyText"/>
        <w:spacing w:line="386" w:lineRule="auto" w:before="52"/>
        <w:ind w:right="0"/>
        <w:jc w:val="left"/>
      </w:pPr>
      <w:r>
        <w:rPr>
          <w:spacing w:val="-2"/>
        </w:rPr>
        <w:t>定可以确定其计税基础的项目的账面价值与计税基础之间的差额产生的暂时性差异，采用资产负债表债务</w:t>
      </w:r>
      <w:r>
        <w:rPr>
          <w:spacing w:val="-33"/>
        </w:rPr>
        <w:t> </w:t>
      </w:r>
      <w:r>
        <w:rPr>
          <w:spacing w:val="-33"/>
        </w:rPr>
      </w:r>
      <w:r>
        <w:rPr/>
        <w:t>法确认递延所得税资产及递延所得税负债。</w:t>
      </w:r>
    </w:p>
    <w:p>
      <w:pPr>
        <w:pStyle w:val="BodyText"/>
        <w:spacing w:line="384" w:lineRule="auto" w:before="39"/>
        <w:ind w:right="0" w:firstLine="480"/>
        <w:jc w:val="left"/>
      </w:pPr>
      <w:r>
        <w:rPr>
          <w:spacing w:val="-3"/>
        </w:rPr>
        <w:t>与商誉的初始确认有关，以及与既不是企业合并、发生时也不影响会计利润和应纳税所得额（或可抵</w:t>
      </w:r>
      <w:r>
        <w:rPr>
          <w:w w:val="100"/>
        </w:rPr>
        <w:t> </w:t>
      </w:r>
      <w:r>
        <w:rPr/>
        <w:t>扣亏损）的交易中产生的资产或负债的初始确认有关的应纳税暂时性差异，不予确认有关的递延所得税负</w:t>
      </w:r>
      <w:r>
        <w:rPr>
          <w:w w:val="100"/>
        </w:rPr>
        <w:t> </w:t>
      </w:r>
      <w:r>
        <w:rPr/>
        <w:t>债。此外，对与子公司、联营企业及合营企业投资相关的应纳税暂时性差异，如果本公司能够控制暂时性</w:t>
      </w:r>
      <w:r>
        <w:rPr>
          <w:w w:val="100"/>
        </w:rPr>
        <w:t> </w:t>
      </w:r>
      <w:r>
        <w:rPr>
          <w:spacing w:val="-4"/>
        </w:rPr>
        <w:t>差异转回的时间，而且该暂时性差异在可预见的未来很可能不会转回，也不予确认有关的递延所得税负债。</w:t>
      </w:r>
      <w:r>
        <w:rPr>
          <w:spacing w:val="-42"/>
        </w:rPr>
        <w:t> </w:t>
      </w:r>
      <w:r>
        <w:rPr>
          <w:spacing w:val="-42"/>
        </w:rPr>
      </w:r>
      <w:r>
        <w:rPr/>
        <w:t>除上述例外情况，本公司确认其他所有应纳税暂时性差异产生的递延所得税负债。</w:t>
      </w:r>
    </w:p>
    <w:p>
      <w:pPr>
        <w:pStyle w:val="BodyText"/>
        <w:spacing w:line="384" w:lineRule="auto" w:before="40"/>
        <w:ind w:right="204" w:firstLine="480"/>
        <w:jc w:val="both"/>
      </w:pPr>
      <w:r>
        <w:rPr>
          <w:spacing w:val="-4"/>
        </w:rPr>
        <w:t>与既不是企业合并、发生时也不影响会计利润和应纳税所得额（或可抵扣亏损）的交易中产生的资产</w:t>
      </w:r>
      <w:r>
        <w:rPr>
          <w:w w:val="100"/>
        </w:rPr>
        <w:t> </w:t>
      </w:r>
      <w:r>
        <w:rPr>
          <w:spacing w:val="-2"/>
        </w:rPr>
        <w:t>或负债的初始确认有关的可抵扣暂时性差异，不予确认有关的递延所得税资产。此外，对与子公司、联营</w:t>
      </w:r>
      <w:r>
        <w:rPr>
          <w:spacing w:val="-33"/>
        </w:rPr>
        <w:t> </w:t>
      </w:r>
      <w:r>
        <w:rPr>
          <w:spacing w:val="-33"/>
        </w:rPr>
      </w:r>
      <w:r>
        <w:rPr>
          <w:spacing w:val="-2"/>
        </w:rPr>
        <w:t>企业及合营企业投资相关的可抵扣暂时性差异，如果暂时性差异在可预见的未来不是很可能转回，或者未</w:t>
      </w:r>
      <w:r>
        <w:rPr>
          <w:spacing w:val="-32"/>
        </w:rPr>
        <w:t> </w:t>
      </w:r>
      <w:r>
        <w:rPr>
          <w:spacing w:val="-32"/>
        </w:rPr>
      </w:r>
      <w:r>
        <w:rPr>
          <w:spacing w:val="-2"/>
        </w:rPr>
        <w:t>来不是很可能获得用来抵扣可抵扣暂时性差异的应纳税所得额，不予确认有关的递延所得税资产。除上述</w:t>
      </w:r>
      <w:r>
        <w:rPr>
          <w:spacing w:val="-33"/>
        </w:rPr>
        <w:t> </w:t>
      </w:r>
      <w:r>
        <w:rPr>
          <w:spacing w:val="-33"/>
        </w:rPr>
      </w:r>
      <w:r>
        <w:rPr>
          <w:spacing w:val="-2"/>
        </w:rPr>
        <w:t>例外情况，本公司以很可能取得用来抵扣可抵扣暂时性差异的应纳税所得额为限，确认其他可抵扣暂时性</w:t>
      </w:r>
      <w:r>
        <w:rPr>
          <w:spacing w:val="-33"/>
        </w:rPr>
        <w:t> </w:t>
      </w:r>
      <w:r>
        <w:rPr>
          <w:spacing w:val="-33"/>
        </w:rPr>
      </w:r>
      <w:r>
        <w:rPr/>
        <w:t>差异产生的递延所得税资产。</w:t>
      </w:r>
    </w:p>
    <w:p>
      <w:pPr>
        <w:spacing w:after="0" w:line="384" w:lineRule="auto"/>
        <w:jc w:val="both"/>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86" w:lineRule="auto" w:before="36"/>
        <w:ind w:right="146" w:firstLine="480"/>
        <w:jc w:val="both"/>
      </w:pPr>
      <w:r>
        <w:rPr>
          <w:spacing w:val="-3"/>
        </w:rPr>
        <w:t>对于能够结转以后年度的可抵扣亏损和税款抵减，以很可能获得用来抵扣可抵扣亏损和税款抵减的未</w:t>
      </w:r>
      <w:r>
        <w:rPr>
          <w:w w:val="100"/>
        </w:rPr>
        <w:t> </w:t>
      </w:r>
      <w:r>
        <w:rPr/>
        <w:t>来应纳税所得额为限，确认相应的递延所得税资产。</w:t>
      </w:r>
    </w:p>
    <w:p>
      <w:pPr>
        <w:pStyle w:val="BodyText"/>
        <w:spacing w:line="386" w:lineRule="auto"/>
        <w:ind w:right="150" w:firstLine="480"/>
        <w:jc w:val="both"/>
      </w:pPr>
      <w:r>
        <w:rPr>
          <w:spacing w:val="-4"/>
        </w:rPr>
        <w:t>资产负债表日，对于递延所得税资产和递延所得税负债，根据税法规定，按照预期收回相关资产或清</w:t>
      </w:r>
      <w:r>
        <w:rPr>
          <w:w w:val="100"/>
        </w:rPr>
        <w:t> </w:t>
      </w:r>
      <w:r>
        <w:rPr/>
        <w:t>偿相关负债期间的适用税率计量。</w:t>
      </w:r>
    </w:p>
    <w:p>
      <w:pPr>
        <w:pStyle w:val="BodyText"/>
        <w:spacing w:line="384" w:lineRule="auto" w:before="38"/>
        <w:ind w:right="145" w:firstLine="480"/>
        <w:jc w:val="both"/>
      </w:pPr>
      <w:r>
        <w:rPr>
          <w:spacing w:val="-4"/>
        </w:rPr>
        <w:t>于资产负债表日，对递延所得税资产的账面价值进行复核，如果未来很可能无法获得足够的应纳税所</w:t>
      </w:r>
      <w:r>
        <w:rPr>
          <w:w w:val="100"/>
        </w:rPr>
        <w:t> </w:t>
      </w:r>
      <w:r>
        <w:rPr>
          <w:spacing w:val="-2"/>
        </w:rPr>
        <w:t>得额用以抵扣递延所得税资产的利益，则减记递延所得税资产的账面价值。在很可能获得足够的应纳税所</w:t>
      </w:r>
      <w:r>
        <w:rPr>
          <w:spacing w:val="-33"/>
        </w:rPr>
        <w:t> </w:t>
      </w:r>
      <w:r>
        <w:rPr>
          <w:spacing w:val="-33"/>
        </w:rPr>
      </w:r>
      <w:r>
        <w:rPr/>
        <w:t>得额时，减记的金额予以转回。</w:t>
      </w:r>
    </w:p>
    <w:p>
      <w:pPr>
        <w:pStyle w:val="BodyText"/>
        <w:spacing w:line="360" w:lineRule="auto" w:before="40"/>
        <w:ind w:left="633" w:right="4663"/>
        <w:jc w:val="left"/>
      </w:pPr>
      <w:r>
        <w:rPr/>
        <w:t>（</w:t>
      </w:r>
      <w:r>
        <w:rPr>
          <w:rFonts w:ascii="Times New Roman" w:hAnsi="Times New Roman" w:cs="Times New Roman" w:eastAsia="Times New Roman" w:hint="default"/>
        </w:rPr>
        <w:t>3</w:t>
      </w:r>
      <w:r>
        <w:rPr/>
        <w:t>）所得税费用</w:t>
      </w:r>
      <w:r>
        <w:rPr>
          <w:spacing w:val="-101"/>
        </w:rPr>
        <w:t> </w:t>
      </w:r>
      <w:r>
        <w:rPr>
          <w:spacing w:val="-101"/>
        </w:rPr>
      </w:r>
      <w:r>
        <w:rPr>
          <w:spacing w:val="-2"/>
        </w:rPr>
        <w:t>所得税费用包括当期所得税和递延所得税。</w:t>
      </w:r>
    </w:p>
    <w:p>
      <w:pPr>
        <w:pStyle w:val="BodyText"/>
        <w:spacing w:line="384" w:lineRule="auto" w:before="62"/>
        <w:ind w:right="145" w:firstLine="480"/>
        <w:jc w:val="both"/>
      </w:pPr>
      <w:r>
        <w:rPr/>
        <w:t>除确认为其他综合收益或直接计入股东权益的交易和事项相关的当期所得税和递延所得税计入其他</w:t>
      </w:r>
      <w:r>
        <w:rPr>
          <w:w w:val="100"/>
        </w:rPr>
        <w:t> </w:t>
      </w:r>
      <w:r>
        <w:rPr>
          <w:spacing w:val="-2"/>
        </w:rPr>
        <w:t>综合收益或股东权益，以及企业合并产生的递延所得税调整商誉的账面价值外，其余当期所得税和递延所</w:t>
      </w:r>
      <w:r>
        <w:rPr>
          <w:spacing w:val="-33"/>
        </w:rPr>
        <w:t> </w:t>
      </w:r>
      <w:r>
        <w:rPr>
          <w:spacing w:val="-33"/>
        </w:rPr>
      </w:r>
      <w:r>
        <w:rPr/>
        <w:t>得税费用或收益计入当期损益。</w:t>
      </w:r>
    </w:p>
    <w:p>
      <w:pPr>
        <w:pStyle w:val="BodyText"/>
        <w:spacing w:line="364" w:lineRule="auto" w:before="40"/>
        <w:ind w:left="633" w:right="0"/>
        <w:jc w:val="left"/>
      </w:pPr>
      <w:r>
        <w:rPr/>
        <w:t>（</w:t>
      </w:r>
      <w:r>
        <w:rPr>
          <w:rFonts w:ascii="Times New Roman" w:hAnsi="Times New Roman" w:cs="Times New Roman" w:eastAsia="Times New Roman" w:hint="default"/>
        </w:rPr>
        <w:t>4</w:t>
      </w:r>
      <w:r>
        <w:rPr/>
        <w:t>）所得税的抵销</w:t>
      </w:r>
      <w:r>
        <w:rPr>
          <w:spacing w:val="-100"/>
        </w:rPr>
        <w:t> </w:t>
      </w:r>
      <w:r>
        <w:rPr>
          <w:spacing w:val="-100"/>
        </w:rPr>
      </w:r>
      <w:r>
        <w:rPr>
          <w:spacing w:val="-4"/>
        </w:rPr>
        <w:t>当拥有以净额结算的法定权利，且意图以净额结算或取得资产、清偿负债同时进行时，本公司当期所</w:t>
      </w:r>
    </w:p>
    <w:p>
      <w:pPr>
        <w:pStyle w:val="BodyText"/>
        <w:spacing w:line="384" w:lineRule="auto" w:before="52"/>
        <w:ind w:right="0"/>
        <w:jc w:val="left"/>
      </w:pPr>
      <w:r>
        <w:rPr/>
        <w:t>得税资产及当期所得税负债以抵销后的净额列报。</w:t>
      </w:r>
      <w:r>
        <w:rPr>
          <w:w w:val="100"/>
        </w:rPr>
        <w:t> </w:t>
      </w:r>
      <w:r>
        <w:rPr>
          <w:spacing w:val="-2"/>
        </w:rPr>
        <w:t>当拥有以净额结算当期所得税资产及当期所得税负债的法定权利，且递延所得税资产及递延所得税负债是</w:t>
      </w:r>
      <w:r>
        <w:rPr>
          <w:spacing w:val="-33"/>
        </w:rPr>
        <w:t> </w:t>
      </w:r>
      <w:r>
        <w:rPr>
          <w:spacing w:val="-33"/>
        </w:rPr>
      </w:r>
      <w:r>
        <w:rPr>
          <w:spacing w:val="-2"/>
        </w:rPr>
        <w:t>与同一税收征管部门对同一纳税主体征收的所得税相关或者是对不同的纳税主体相关，但在未来每一具有</w:t>
      </w:r>
      <w:r>
        <w:rPr>
          <w:spacing w:val="-33"/>
        </w:rPr>
        <w:t> </w:t>
      </w:r>
      <w:r>
        <w:rPr>
          <w:spacing w:val="-33"/>
        </w:rPr>
      </w:r>
      <w:r>
        <w:rPr>
          <w:spacing w:val="-2"/>
        </w:rPr>
        <w:t>重要性的递延所得税资产及负债转回的期间内，涉及的纳税主体意图以净额结算当期所得税资产和负债或</w:t>
      </w:r>
      <w:r>
        <w:rPr>
          <w:spacing w:val="-33"/>
        </w:rPr>
        <w:t> </w:t>
      </w:r>
      <w:r>
        <w:rPr>
          <w:spacing w:val="-33"/>
        </w:rPr>
      </w:r>
      <w:r>
        <w:rPr/>
        <w:t>是同时取得资产、清偿负债时，本公司递延所得税资产及递延所得税负债以抵销后的净额列报。</w:t>
      </w:r>
    </w:p>
    <w:p>
      <w:pPr>
        <w:spacing w:line="240" w:lineRule="auto" w:before="1"/>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360" w:lineRule="auto" w:before="156"/>
        <w:ind w:left="633" w:right="0"/>
        <w:jc w:val="left"/>
      </w:pPr>
      <w:r>
        <w:rPr>
          <w:rFonts w:ascii="Times New Roman" w:hAnsi="Times New Roman" w:cs="Times New Roman" w:eastAsia="Times New Roman" w:hint="default"/>
        </w:rPr>
        <w:t>A.</w:t>
      </w:r>
      <w:r>
        <w:rPr/>
        <w:t>本公司作为承租人记录经营租赁业务</w:t>
      </w:r>
      <w:r>
        <w:rPr>
          <w:w w:val="100"/>
        </w:rPr>
        <w:t> </w:t>
      </w:r>
      <w:r>
        <w:rPr>
          <w:spacing w:val="-3"/>
        </w:rPr>
        <w:t>经营租赁的租金支出在租赁期内的各个期间按直线法计入相关资产成本或当期损益。初始直接费用计</w:t>
      </w:r>
    </w:p>
    <w:p>
      <w:pPr>
        <w:pStyle w:val="BodyText"/>
        <w:spacing w:line="240" w:lineRule="auto" w:before="61"/>
        <w:ind w:right="0"/>
        <w:jc w:val="left"/>
      </w:pPr>
      <w:r>
        <w:rPr/>
        <w:t>入当期损益。或有租金于实际发生时计入当期损益。</w:t>
      </w:r>
    </w:p>
    <w:p>
      <w:pPr>
        <w:pStyle w:val="BodyText"/>
        <w:spacing w:line="360" w:lineRule="auto" w:before="166"/>
        <w:ind w:left="633" w:right="0"/>
        <w:jc w:val="left"/>
      </w:pPr>
      <w:r>
        <w:rPr>
          <w:rFonts w:ascii="Times New Roman" w:hAnsi="Times New Roman" w:cs="Times New Roman" w:eastAsia="Times New Roman" w:hint="default"/>
        </w:rPr>
        <w:t>B.</w:t>
      </w:r>
      <w:r>
        <w:rPr/>
        <w:t>本公司作为出租人记录经营租赁业务</w:t>
      </w:r>
      <w:r>
        <w:rPr>
          <w:spacing w:val="-102"/>
        </w:rPr>
        <w:t> </w:t>
      </w:r>
      <w:r>
        <w:rPr>
          <w:spacing w:val="-102"/>
        </w:rPr>
      </w:r>
      <w:r>
        <w:rPr>
          <w:spacing w:val="-3"/>
        </w:rPr>
        <w:t>经营租赁的租金收入在租赁期内的各个期间按直线法确认为当期损益。对金额较大的初始直接费用于</w:t>
      </w:r>
    </w:p>
    <w:p>
      <w:pPr>
        <w:pStyle w:val="BodyText"/>
        <w:spacing w:line="386" w:lineRule="auto" w:before="62"/>
        <w:ind w:right="0"/>
        <w:jc w:val="left"/>
      </w:pPr>
      <w:r>
        <w:rPr>
          <w:spacing w:val="-2"/>
        </w:rPr>
        <w:t>发生时予以资本化，在整个租赁期间内按照与确认租金收入相同的基础分期计入当期损益；其他金额较小</w:t>
      </w:r>
      <w:r>
        <w:rPr>
          <w:spacing w:val="-33"/>
        </w:rPr>
        <w:t> </w:t>
      </w:r>
      <w:r>
        <w:rPr>
          <w:spacing w:val="-33"/>
        </w:rPr>
      </w:r>
      <w:r>
        <w:rPr/>
        <w:t>的初始直接费用于发生时计入当期损益。或有租金于实际发生时计入当期损益。</w:t>
      </w:r>
    </w:p>
    <w:p>
      <w:pPr>
        <w:spacing w:after="0" w:line="386" w:lineRule="auto"/>
        <w:jc w:val="left"/>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360" w:lineRule="auto" w:before="151"/>
        <w:ind w:left="633" w:right="0"/>
        <w:jc w:val="left"/>
      </w:pPr>
      <w:r>
        <w:rPr>
          <w:rFonts w:ascii="Times New Roman" w:hAnsi="Times New Roman" w:cs="Times New Roman" w:eastAsia="Times New Roman" w:hint="default"/>
        </w:rPr>
        <w:t>A.</w:t>
      </w:r>
      <w:r>
        <w:rPr/>
        <w:t>本公司作为承租人记录融资租赁业务</w:t>
      </w:r>
      <w:r>
        <w:rPr>
          <w:w w:val="100"/>
        </w:rPr>
        <w:t> </w:t>
      </w:r>
      <w:r>
        <w:rPr>
          <w:spacing w:val="-3"/>
        </w:rPr>
        <w:t>于租赁期开始日，将租赁开始日租赁资产的公允价值与最低租赁付款额现值两者中较低者作为租入资</w:t>
      </w:r>
    </w:p>
    <w:p>
      <w:pPr>
        <w:pStyle w:val="BodyText"/>
        <w:spacing w:line="384" w:lineRule="auto" w:before="61"/>
        <w:ind w:right="145"/>
        <w:jc w:val="both"/>
      </w:pPr>
      <w:r>
        <w:rPr>
          <w:spacing w:val="-2"/>
        </w:rPr>
        <w:t>产的入账价值，将最低租赁付款额作为长期应付款的入账价值，其差额作为未确认融资费用。此外，在租</w:t>
      </w:r>
      <w:r>
        <w:rPr>
          <w:spacing w:val="-33"/>
        </w:rPr>
        <w:t> </w:t>
      </w:r>
      <w:r>
        <w:rPr>
          <w:spacing w:val="-33"/>
        </w:rPr>
      </w:r>
      <w:r>
        <w:rPr>
          <w:spacing w:val="-2"/>
        </w:rPr>
        <w:t>赁谈判和签订租赁合同过程中发生的，可归属于租赁项目的初始直接费用也计入租入资产价值。最低租赁</w:t>
      </w:r>
      <w:r>
        <w:rPr>
          <w:spacing w:val="-33"/>
        </w:rPr>
        <w:t> </w:t>
      </w:r>
      <w:r>
        <w:rPr>
          <w:spacing w:val="-33"/>
        </w:rPr>
      </w:r>
      <w:r>
        <w:rPr/>
        <w:t>付款额扣除未确认融资费用后的余额分别长期负债和一年内到期的长期负债列示。</w:t>
      </w:r>
    </w:p>
    <w:p>
      <w:pPr>
        <w:pStyle w:val="BodyText"/>
        <w:spacing w:line="386" w:lineRule="auto" w:before="40"/>
        <w:ind w:right="0" w:firstLine="480"/>
        <w:jc w:val="left"/>
      </w:pPr>
      <w:r>
        <w:rPr>
          <w:spacing w:val="-4"/>
        </w:rPr>
        <w:t>未确认融资费用在租赁期内采用实际利率法计算确认当期的融资费用。或有租金于实际发生时计入当</w:t>
      </w:r>
      <w:r>
        <w:rPr>
          <w:w w:val="100"/>
        </w:rPr>
        <w:t> </w:t>
      </w:r>
      <w:r>
        <w:rPr/>
        <w:t>期损益。</w:t>
      </w:r>
    </w:p>
    <w:p>
      <w:pPr>
        <w:pStyle w:val="BodyText"/>
        <w:spacing w:line="364" w:lineRule="auto"/>
        <w:ind w:left="633" w:right="0"/>
        <w:jc w:val="left"/>
      </w:pPr>
      <w:r>
        <w:rPr>
          <w:rFonts w:ascii="Times New Roman" w:hAnsi="Times New Roman" w:cs="Times New Roman" w:eastAsia="Times New Roman" w:hint="default"/>
        </w:rPr>
        <w:t>B.</w:t>
      </w:r>
      <w:r>
        <w:rPr/>
        <w:t>本公司作为出租人记录融资租赁业务</w:t>
      </w:r>
      <w:r>
        <w:rPr>
          <w:spacing w:val="-102"/>
        </w:rPr>
        <w:t> </w:t>
      </w:r>
      <w:r>
        <w:rPr>
          <w:spacing w:val="-102"/>
        </w:rPr>
      </w:r>
      <w:r>
        <w:rPr/>
        <w:t>于租赁期开始日，将租赁开始日最低租赁收款额与初始直接费用之和作为应收融资租赁款的入账价</w:t>
      </w:r>
    </w:p>
    <w:p>
      <w:pPr>
        <w:pStyle w:val="BodyText"/>
        <w:spacing w:line="384" w:lineRule="auto" w:before="57"/>
        <w:ind w:right="145"/>
        <w:jc w:val="both"/>
      </w:pPr>
      <w:r>
        <w:rPr>
          <w:spacing w:val="-2"/>
        </w:rPr>
        <w:t>值，同时记录未担保余值；将最低租赁收款额、初始直接费用及未担保余值之和与其现值之和的差额确认</w:t>
      </w:r>
      <w:r>
        <w:rPr>
          <w:spacing w:val="-33"/>
        </w:rPr>
        <w:t> </w:t>
      </w:r>
      <w:r>
        <w:rPr>
          <w:spacing w:val="-33"/>
        </w:rPr>
      </w:r>
      <w:r>
        <w:rPr>
          <w:spacing w:val="-2"/>
        </w:rPr>
        <w:t>为未实现融资收益。应收融资租赁款扣除未实现融资收益后的余额分别长期债权和一年内到期的长期债权</w:t>
      </w:r>
      <w:r>
        <w:rPr>
          <w:spacing w:val="-33"/>
        </w:rPr>
        <w:t> </w:t>
      </w:r>
      <w:r>
        <w:rPr>
          <w:spacing w:val="-33"/>
        </w:rPr>
      </w:r>
      <w:r>
        <w:rPr/>
        <w:t>列示。</w:t>
      </w:r>
    </w:p>
    <w:p>
      <w:pPr>
        <w:pStyle w:val="BodyText"/>
        <w:spacing w:line="381" w:lineRule="auto" w:before="41"/>
        <w:ind w:right="0" w:firstLine="480"/>
        <w:jc w:val="left"/>
      </w:pPr>
      <w:r>
        <w:rPr>
          <w:spacing w:val="-4"/>
        </w:rPr>
        <w:t>未实现融资收益在租赁期内采用实际利率法计算确认当期的融资收入。或有租金于实际发生时计入当</w:t>
      </w:r>
      <w:r>
        <w:rPr>
          <w:w w:val="100"/>
        </w:rPr>
        <w:t> </w:t>
      </w:r>
      <w:r>
        <w:rPr/>
        <w:t>期损益。</w:t>
      </w:r>
    </w:p>
    <w:p>
      <w:pPr>
        <w:spacing w:line="240" w:lineRule="auto" w:before="3"/>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line="484" w:lineRule="auto" w:before="0"/>
        <w:ind w:left="153" w:right="79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3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4" w:space="0" w:color="000000"/>
              <w:right w:val="single" w:sz="4" w:space="0" w:color="000000"/>
            </w:tcBorders>
          </w:tcPr>
          <w:p>
            <w:pPr>
              <w:pStyle w:val="TableParagraph"/>
              <w:spacing w:line="295" w:lineRule="auto" w:before="53"/>
              <w:ind w:left="23" w:right="74"/>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的税率计算销项税，并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按扣除当期允许抵扣的进项税额后的差</w:t>
            </w:r>
          </w:p>
        </w:tc>
        <w:tc>
          <w:tcPr>
            <w:tcW w:w="31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53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vMerge/>
            <w:tcBorders>
              <w:left w:val="single" w:sz="4" w:space="0" w:color="000000"/>
              <w:bottom w:val="single" w:sz="4" w:space="0" w:color="000000"/>
              <w:right w:val="single" w:sz="4" w:space="0" w:color="000000"/>
            </w:tcBorders>
          </w:tcPr>
          <w:p>
            <w:pPr/>
          </w:p>
        </w:tc>
        <w:tc>
          <w:tcPr>
            <w:tcW w:w="319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6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额计缴增值税。</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计缴营业税。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2"/>
                <w:sz w:val="18"/>
                <w:szCs w:val="18"/>
              </w:rPr>
              <w:t>按实际缴纳的流转税的</w:t>
            </w:r>
            <w:r>
              <w:rPr>
                <w:rFonts w:ascii="宋体" w:hAnsi="宋体" w:cs="宋体" w:eastAsia="宋体" w:hint="default"/>
                <w:spacing w:val="-12"/>
                <w:sz w:val="18"/>
                <w:szCs w:val="18"/>
              </w:rPr>
              <w:t> </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计缴。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计缴</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按超率累进税率计缴。</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按实际缴纳的流转税的</w:t>
            </w:r>
            <w:r>
              <w:rPr>
                <w:rFonts w:ascii="宋体" w:hAnsi="宋体" w:cs="宋体" w:eastAsia="宋体" w:hint="default"/>
                <w:spacing w:val="-12"/>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计缴。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2"/>
                <w:sz w:val="18"/>
                <w:szCs w:val="18"/>
              </w:rPr>
              <w:t>按实际缴纳的流转税的</w:t>
            </w:r>
            <w:r>
              <w:rPr>
                <w:rFonts w:ascii="宋体" w:hAnsi="宋体" w:cs="宋体" w:eastAsia="宋体" w:hint="default"/>
                <w:spacing w:val="-12"/>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计缴。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5" w:right="0"/>
        <w:jc w:val="left"/>
      </w:pPr>
      <w:r>
        <w:rPr/>
        <w:t>本公司农畜业及饲料销售收入根据《中华人民共和国增值税暂行条例》的规定免征增值税。</w:t>
      </w:r>
    </w:p>
    <w:p>
      <w:pPr>
        <w:spacing w:line="240" w:lineRule="auto" w:before="12"/>
        <w:rPr>
          <w:rFonts w:ascii="宋体" w:hAnsi="宋体" w:cs="宋体" w:eastAsia="宋体" w:hint="default"/>
          <w:sz w:val="25"/>
          <w:szCs w:val="25"/>
        </w:rPr>
      </w:pPr>
    </w:p>
    <w:p>
      <w:pPr>
        <w:spacing w:line="484" w:lineRule="auto" w:before="0"/>
        <w:ind w:left="153"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1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1,549,846.42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1,209,924.81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86,165,837.39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27,364,709.79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26,630,756.28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628,779.08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114,346,440.09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29,203,413.68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4,512,119.18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4,512,119.18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394"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66,134,5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84.88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70.02%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66,134,5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84.88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66,134,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584.88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71.05%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66,134,58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0" w:right="0"/>
              <w:jc w:val="center"/>
              <w:rPr>
                <w:rFonts w:ascii="Times New Roman" w:hAnsi="Times New Roman" w:cs="Times New Roman" w:eastAsia="Times New Roman" w:hint="default"/>
                <w:sz w:val="18"/>
                <w:szCs w:val="18"/>
              </w:rPr>
            </w:pPr>
            <w:r>
              <w:rPr>
                <w:rFonts w:ascii="Times New Roman"/>
                <w:sz w:val="18"/>
              </w:rPr>
              <w:t>27,587,1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29.21%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1" w:right="0"/>
              <w:jc w:val="center"/>
              <w:rPr>
                <w:rFonts w:ascii="Times New Roman" w:hAnsi="Times New Roman" w:cs="Times New Roman" w:eastAsia="Times New Roman" w:hint="default"/>
                <w:sz w:val="18"/>
                <w:szCs w:val="18"/>
              </w:rPr>
            </w:pPr>
            <w:r>
              <w:rPr>
                <w:rFonts w:ascii="Times New Roman"/>
                <w:sz w:val="18"/>
              </w:rPr>
              <w:t>4,422,70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1" w:right="0"/>
              <w:jc w:val="center"/>
              <w:rPr>
                <w:rFonts w:ascii="Times New Roman" w:hAnsi="Times New Roman" w:cs="Times New Roman" w:eastAsia="Times New Roman" w:hint="default"/>
                <w:sz w:val="18"/>
                <w:szCs w:val="18"/>
              </w:rPr>
            </w:pPr>
            <w:r>
              <w:rPr>
                <w:rFonts w:ascii="Times New Roman"/>
                <w:sz w:val="18"/>
              </w:rPr>
              <w:t>16.03%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 w:right="0"/>
              <w:jc w:val="left"/>
              <w:rPr>
                <w:rFonts w:ascii="Times New Roman" w:hAnsi="Times New Roman" w:cs="Times New Roman" w:eastAsia="Times New Roman" w:hint="default"/>
                <w:sz w:val="18"/>
                <w:szCs w:val="18"/>
              </w:rPr>
            </w:pPr>
            <w:r>
              <w:rPr>
                <w:rFonts w:ascii="Times New Roman"/>
                <w:sz w:val="18"/>
              </w:rPr>
              <w:t>23,164,40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9" w:right="0"/>
              <w:jc w:val="center"/>
              <w:rPr>
                <w:rFonts w:ascii="Times New Roman" w:hAnsi="Times New Roman" w:cs="Times New Roman" w:eastAsia="Times New Roman" w:hint="default"/>
                <w:sz w:val="18"/>
                <w:szCs w:val="18"/>
              </w:rPr>
            </w:pPr>
            <w:r>
              <w:rPr>
                <w:rFonts w:ascii="Times New Roman"/>
                <w:sz w:val="18"/>
              </w:rPr>
              <w:t>26,953,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28.95%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center"/>
              <w:rPr>
                <w:rFonts w:ascii="Times New Roman" w:hAnsi="Times New Roman" w:cs="Times New Roman" w:eastAsia="Times New Roman" w:hint="default"/>
                <w:sz w:val="18"/>
                <w:szCs w:val="18"/>
              </w:rPr>
            </w:pPr>
            <w:r>
              <w:rPr>
                <w:rFonts w:ascii="Times New Roman"/>
                <w:sz w:val="18"/>
              </w:rPr>
              <w:t>4,036,851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 w:right="0"/>
              <w:jc w:val="left"/>
              <w:rPr>
                <w:rFonts w:ascii="Times New Roman" w:hAnsi="Times New Roman" w:cs="Times New Roman" w:eastAsia="Times New Roman" w:hint="default"/>
                <w:sz w:val="18"/>
                <w:szCs w:val="18"/>
              </w:rPr>
            </w:pPr>
            <w:r>
              <w:rPr>
                <w:rFonts w:ascii="Times New Roman"/>
                <w:sz w:val="18"/>
              </w:rPr>
              <w:t>22,916,313.</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67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51"/>
              <w:jc w:val="left"/>
              <w:rPr>
                <w:rFonts w:ascii="宋体" w:hAnsi="宋体" w:cs="宋体" w:eastAsia="宋体" w:hint="default"/>
                <w:sz w:val="18"/>
                <w:szCs w:val="18"/>
              </w:rPr>
            </w:pP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6" w:right="0"/>
              <w:jc w:val="left"/>
              <w:rPr>
                <w:rFonts w:ascii="Times New Roman" w:hAnsi="Times New Roman" w:cs="Times New Roman" w:eastAsia="Times New Roman" w:hint="default"/>
                <w:sz w:val="18"/>
                <w:szCs w:val="18"/>
              </w:rPr>
            </w:pPr>
            <w:r>
              <w:rPr>
                <w:rFonts w:ascii="Times New Roman"/>
                <w:sz w:val="18"/>
              </w:rPr>
              <w:t>07.25</w:t>
            </w: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12" w:right="0"/>
              <w:jc w:val="left"/>
              <w:rPr>
                <w:rFonts w:ascii="Times New Roman" w:hAnsi="Times New Roman" w:cs="Times New Roman" w:eastAsia="Times New Roman" w:hint="default"/>
                <w:sz w:val="18"/>
                <w:szCs w:val="18"/>
              </w:rPr>
            </w:pPr>
            <w:r>
              <w:rPr>
                <w:rFonts w:ascii="Times New Roman"/>
                <w:sz w:val="18"/>
              </w:rPr>
              <w:t>4.05</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41" w:right="0"/>
              <w:jc w:val="left"/>
              <w:rPr>
                <w:rFonts w:ascii="Times New Roman" w:hAnsi="Times New Roman" w:cs="Times New Roman" w:eastAsia="Times New Roman" w:hint="default"/>
                <w:sz w:val="18"/>
                <w:szCs w:val="18"/>
              </w:rPr>
            </w:pPr>
            <w:r>
              <w:rPr>
                <w:rFonts w:ascii="Times New Roman"/>
                <w:sz w:val="18"/>
              </w:rPr>
              <w:t>3.20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9" w:right="0"/>
              <w:jc w:val="left"/>
              <w:rPr>
                <w:rFonts w:ascii="Times New Roman" w:hAnsi="Times New Roman" w:cs="Times New Roman" w:eastAsia="Times New Roman" w:hint="default"/>
                <w:sz w:val="18"/>
                <w:szCs w:val="18"/>
              </w:rPr>
            </w:pPr>
            <w:r>
              <w:rPr>
                <w:rFonts w:ascii="Times New Roman"/>
                <w:sz w:val="18"/>
              </w:rPr>
              <w:t>164.74</w:t>
            </w:r>
          </w:p>
        </w:tc>
        <w:tc>
          <w:tcPr>
            <w:tcW w:w="76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.48</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26</w:t>
            </w: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730,235.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730,235.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94,451,9</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27.91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71,287,5</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24.71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75.47%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23,164,40</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3.20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93,087,</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749.62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70,171,43</w:t>
            </w:r>
          </w:p>
          <w:p>
            <w:pPr>
              <w:pStyle w:val="TableParagraph"/>
              <w:spacing w:line="240" w:lineRule="auto" w:before="110"/>
              <w:ind w:left="465" w:right="0"/>
              <w:jc w:val="left"/>
              <w:rPr>
                <w:rFonts w:ascii="Times New Roman" w:hAnsi="Times New Roman" w:cs="Times New Roman" w:eastAsia="Times New Roman" w:hint="default"/>
                <w:sz w:val="18"/>
                <w:szCs w:val="18"/>
              </w:rPr>
            </w:pPr>
            <w:r>
              <w:rPr>
                <w:rFonts w:ascii="Times New Roman"/>
                <w:sz w:val="18"/>
              </w:rPr>
              <w:t>6.36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75.38%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22,916,313.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期末单项金额重大并单项计提坏账准备的应收账款：</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7" w:space="4534"/>
            <w:col w:w="111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pacing w:val="-3"/>
                <w:sz w:val="18"/>
                <w:szCs w:val="18"/>
              </w:rPr>
              <w:t>应收账款（按单位）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深圳市泰弘科技有限公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59,173,247.96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59,173,247.96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北京易网天怡数码科技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6,961,336.92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6,961,336.92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66,134,584.88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66,134,584.88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组合中，按账龄分析法计提坏账准备的应收账款：</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9" w:space="4711"/>
            <w:col w:w="1120"/>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19,651,417.82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1,250,521.00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62,526.05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20,901,938.82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62,526.05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1,754,170.10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175,417.01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686,920.43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206,076.13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4,244,077.90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3,978,684.86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93.75%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348,238.05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174,119.03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304,246.72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212,972.70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3,591,593.13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3,591,593.13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27,587,107.25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4,422,704.05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16.03%</w:t>
            </w:r>
          </w:p>
        </w:tc>
      </w:tr>
    </w:tbl>
    <w:p>
      <w:pPr>
        <w:spacing w:line="362" w:lineRule="auto" w:before="53"/>
        <w:ind w:left="153" w:right="4663"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组合中，采用余额百分比法计提坏账准备的应收账款：</w:t>
      </w:r>
    </w:p>
    <w:p>
      <w:pPr>
        <w:spacing w:line="343" w:lineRule="auto" w:before="23"/>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组合中，采用其他方法计提坏账准备的应收账款：</w:t>
      </w:r>
    </w:p>
    <w:p>
      <w:pPr>
        <w:spacing w:after="0" w:line="343"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33"/>
          <w:pgSz w:w="11910" w:h="16840"/>
          <w:pgMar w:footer="979" w:header="741" w:top="1060" w:bottom="1160" w:left="980" w:right="980"/>
        </w:sectPr>
      </w:pPr>
    </w:p>
    <w:p>
      <w:pPr>
        <w:spacing w:line="338" w:lineRule="auto" w:before="46"/>
        <w:ind w:left="153"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1,117,088.35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元；本期收回或转回坏账准备金额</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宋体" w:hAnsi="宋体" w:cs="宋体" w:eastAsia="宋体" w:hint="default"/>
          <w:spacing w:val="-3"/>
          <w:sz w:val="18"/>
          <w:szCs w:val="18"/>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771" w:space="2060"/>
            <w:col w:w="111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59"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2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730" w:lineRule="exact" w:before="10"/>
        <w:ind w:left="638" w:right="0" w:hanging="48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本公司本年按欠款方归集的年末余额前五名应收账款汇总金额为</w:t>
      </w:r>
      <w:r>
        <w:rPr>
          <w:rFonts w:ascii="Times New Roman" w:hAnsi="Times New Roman" w:cs="Times New Roman" w:eastAsia="Times New Roman" w:hint="default"/>
          <w:spacing w:val="-2"/>
          <w:sz w:val="21"/>
          <w:szCs w:val="21"/>
        </w:rPr>
        <w:t>71,539,255.79</w:t>
      </w:r>
      <w:r>
        <w:rPr>
          <w:rFonts w:ascii="宋体" w:hAnsi="宋体" w:cs="宋体" w:eastAsia="宋体" w:hint="default"/>
          <w:spacing w:val="-2"/>
          <w:sz w:val="21"/>
          <w:szCs w:val="21"/>
        </w:rPr>
        <w:t>元，占应收账款年末余</w:t>
      </w:r>
    </w:p>
    <w:p>
      <w:pPr>
        <w:pStyle w:val="BodyText"/>
        <w:spacing w:line="240" w:lineRule="auto" w:before="50"/>
        <w:ind w:right="0"/>
        <w:jc w:val="left"/>
      </w:pPr>
      <w:r>
        <w:rPr/>
        <w:t>额合计数的比例为</w:t>
      </w:r>
      <w:r>
        <w:rPr>
          <w:rFonts w:ascii="Times New Roman" w:hAnsi="Times New Roman" w:cs="Times New Roman" w:eastAsia="Times New Roman" w:hint="default"/>
        </w:rPr>
        <w:t>75.74%</w:t>
      </w:r>
      <w:r>
        <w:rPr/>
        <w:t>，相应计提的坏账准备年末余额汇总金额为</w:t>
      </w:r>
      <w:r>
        <w:rPr>
          <w:rFonts w:ascii="Times New Roman" w:hAnsi="Times New Roman" w:cs="Times New Roman" w:eastAsia="Times New Roman" w:hint="default"/>
        </w:rPr>
        <w:t>66,134,584.88</w:t>
      </w:r>
      <w:r>
        <w:rPr/>
        <w:t>元。</w:t>
      </w: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7"/>
          <w:szCs w:val="27"/>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1,823,550.65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6,874,170.58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98.13%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499,827.14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104,305.81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98,098.52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26,855.20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26,855.20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2,448,331.51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7,005,331.59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账龄超过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年且金额重要的预付款项未及时结算原因的说明：</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2"/>
          <w:szCs w:val="22"/>
        </w:rPr>
      </w:pPr>
    </w:p>
    <w:p>
      <w:pPr>
        <w:pStyle w:val="BodyText"/>
        <w:spacing w:line="364" w:lineRule="auto" w:before="156"/>
        <w:ind w:right="0" w:firstLine="422"/>
        <w:jc w:val="left"/>
      </w:pPr>
      <w:r>
        <w:rPr>
          <w:spacing w:val="-3"/>
        </w:rPr>
        <w:t>本公司按预付对象归集的期末余额前五名预付账款汇总金额为</w:t>
      </w:r>
      <w:r>
        <w:rPr>
          <w:rFonts w:ascii="Times New Roman" w:hAnsi="Times New Roman" w:cs="Times New Roman" w:eastAsia="Times New Roman" w:hint="default"/>
          <w:spacing w:val="-3"/>
        </w:rPr>
        <w:t>1,901,756.35</w:t>
      </w:r>
      <w:r>
        <w:rPr>
          <w:spacing w:val="-3"/>
        </w:rPr>
        <w:t>元，占预付账款年末余额合</w:t>
      </w:r>
      <w:r>
        <w:rPr>
          <w:w w:val="100"/>
        </w:rPr>
        <w:t> </w:t>
      </w:r>
      <w:r>
        <w:rPr/>
        <w:t>计数的比例为</w:t>
      </w:r>
      <w:r>
        <w:rPr>
          <w:rFonts w:ascii="Times New Roman" w:hAnsi="Times New Roman" w:cs="Times New Roman" w:eastAsia="Times New Roman" w:hint="default"/>
        </w:rPr>
        <w:t>77.68%</w:t>
      </w:r>
      <w:r>
        <w:rPr/>
        <w:t>。</w:t>
      </w:r>
    </w:p>
    <w:p>
      <w:pPr>
        <w:spacing w:line="21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7"/>
          <w:szCs w:val="27"/>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3"/>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3"/>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3841"/>
        <w:gridCol w:w="4096"/>
      </w:tblGrid>
      <w:tr>
        <w:trPr>
          <w:trHeight w:val="40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34"/>
          <w:pgSz w:w="11910" w:h="16840"/>
          <w:pgMar w:footer="979" w:header="741" w:top="1060" w:bottom="1160" w:left="980" w:right="980"/>
          <w:pgNumType w:start="101"/>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403" w:hRule="exact"/>
        </w:trPr>
        <w:tc>
          <w:tcPr>
            <w:tcW w:w="16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1" w:hRule="exact"/>
        </w:trPr>
        <w:tc>
          <w:tcPr>
            <w:tcW w:w="16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125,158,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864.71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89.70%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125,158,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864.71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125,158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,864.71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90.30%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125,158,8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64.71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14,379,1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56.74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10.30%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11,431,6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89.74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79.50%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2,947,467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13,444,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071.21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9.70%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11,331,09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84.28%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2,112,971.7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139,538,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021.45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136,590,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554.45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97.89%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2,947,467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138,602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,935.92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136,489,9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64.16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98.48%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2,112,971.7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期末单项金额重大并单项计提坏账准备的其他应收款：</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9" w:space="4351"/>
            <w:col w:w="112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100,138,158.89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100,138,158.89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香港群思电子有限公司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18,600,000.00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18,600,000.00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OCEANSWISEINDUST</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RIESLTD</w:t>
            </w:r>
            <w:r>
              <w:rPr>
                <w:rFonts w:ascii="宋体" w:hAnsi="宋体" w:cs="宋体" w:eastAsia="宋体" w:hint="default"/>
                <w:spacing w:val="-4"/>
                <w:sz w:val="18"/>
                <w:szCs w:val="18"/>
              </w:rPr>
              <w:t>（香港海慧）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6,420,705.82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6,420,705.82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125,158,864.71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125,158,864.71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组合中，按账龄分析法计提坏账准备的其他应收款：</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7" w:space="4534"/>
            <w:col w:w="111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2,088,250.87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159,711.03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7,985.56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2,247,961.90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7,985.56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0.36%</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550,209.10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55,020.91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212,235.90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63,670.77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11,368,749.84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11,305,012.50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99.44%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21,382.80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10,691.40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176,819.79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123,773.85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11,170,547.25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11,170,547.25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25" w:right="0"/>
              <w:jc w:val="left"/>
              <w:rPr>
                <w:rFonts w:ascii="Times New Roman" w:hAnsi="Times New Roman" w:cs="Times New Roman" w:eastAsia="Times New Roman" w:hint="default"/>
                <w:sz w:val="18"/>
                <w:szCs w:val="18"/>
              </w:rPr>
            </w:pPr>
            <w:r>
              <w:rPr>
                <w:rFonts w:ascii="Times New Roman"/>
                <w:sz w:val="18"/>
              </w:rPr>
              <w:t>14,379,156.74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4" w:right="0"/>
              <w:jc w:val="left"/>
              <w:rPr>
                <w:rFonts w:ascii="Times New Roman" w:hAnsi="Times New Roman" w:cs="Times New Roman" w:eastAsia="Times New Roman" w:hint="default"/>
                <w:sz w:val="18"/>
                <w:szCs w:val="18"/>
              </w:rPr>
            </w:pPr>
            <w:r>
              <w:rPr>
                <w:rFonts w:ascii="Times New Roman"/>
                <w:spacing w:val="-2"/>
                <w:sz w:val="18"/>
              </w:rPr>
              <w:t>11,431,689.74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79.50%</w:t>
            </w:r>
          </w:p>
        </w:tc>
      </w:tr>
    </w:tbl>
    <w:p>
      <w:pPr>
        <w:spacing w:line="357" w:lineRule="auto" w:before="53"/>
        <w:ind w:left="153" w:right="4663"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组合中，采用余额百分比法计提坏账准备的其他应收款：</w:t>
      </w:r>
    </w:p>
    <w:p>
      <w:pPr>
        <w:spacing w:line="338" w:lineRule="auto" w:before="31"/>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组合中，采用其他方法计提坏账准备的其他应收款：</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980"/>
        </w:sectPr>
      </w:pPr>
    </w:p>
    <w:p>
      <w:pPr>
        <w:spacing w:line="338" w:lineRule="auto" w:before="46"/>
        <w:ind w:left="153" w:right="-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108,901.93</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元；本期收回或转回坏账准备金额</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8,311.64</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元。</w:t>
      </w:r>
      <w:r>
        <w:rPr>
          <w:rFonts w:ascii="宋体" w:hAnsi="宋体" w:cs="宋体" w:eastAsia="宋体" w:hint="default"/>
          <w:spacing w:val="-87"/>
          <w:sz w:val="18"/>
          <w:szCs w:val="18"/>
        </w:rPr>
        <w:t> </w:t>
      </w:r>
      <w:r>
        <w:rPr>
          <w:rFonts w:ascii="宋体" w:hAnsi="宋体" w:cs="宋体" w:eastAsia="宋体" w:hint="default"/>
          <w:spacing w:val="-3"/>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627" w:space="2204"/>
            <w:col w:w="111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59"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9"/>
        <w:gridCol w:w="1595"/>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1,080,667.40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919,846.34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989,945.00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458,106.53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137,467,409.05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137,224,983.05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139,538,021.45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138,602,935.92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9"/>
        <w:gridCol w:w="1595"/>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pacing w:val="-4"/>
                <w:sz w:val="18"/>
                <w:szCs w:val="18"/>
              </w:rPr>
              <w:t>款项的性质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9"/>
              <w:jc w:val="center"/>
              <w:rPr>
                <w:rFonts w:ascii="宋体" w:hAnsi="宋体" w:cs="宋体" w:eastAsia="宋体" w:hint="default"/>
                <w:sz w:val="18"/>
                <w:szCs w:val="18"/>
              </w:rPr>
            </w:pPr>
            <w:r>
              <w:rPr>
                <w:rFonts w:ascii="宋体" w:hAnsi="宋体" w:cs="宋体" w:eastAsia="宋体" w:hint="default"/>
                <w:sz w:val="18"/>
                <w:szCs w:val="18"/>
              </w:rPr>
              <w:t>深圳泰丰电子有限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6" w:right="0"/>
              <w:jc w:val="left"/>
              <w:rPr>
                <w:rFonts w:ascii="Times New Roman" w:hAnsi="Times New Roman" w:cs="Times New Roman" w:eastAsia="Times New Roman" w:hint="default"/>
                <w:sz w:val="18"/>
                <w:szCs w:val="18"/>
              </w:rPr>
            </w:pPr>
            <w:r>
              <w:rPr>
                <w:rFonts w:ascii="Times New Roman"/>
                <w:sz w:val="18"/>
              </w:rPr>
              <w:t>100,138,158.89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71.76%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1" w:right="0"/>
              <w:jc w:val="left"/>
              <w:rPr>
                <w:rFonts w:ascii="Times New Roman" w:hAnsi="Times New Roman" w:cs="Times New Roman" w:eastAsia="Times New Roman" w:hint="default"/>
                <w:sz w:val="18"/>
                <w:szCs w:val="18"/>
              </w:rPr>
            </w:pPr>
            <w:r>
              <w:rPr>
                <w:rFonts w:ascii="Times New Roman"/>
                <w:sz w:val="18"/>
              </w:rPr>
              <w:t>100,138,158.89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9"/>
        <w:gridCol w:w="1595"/>
      </w:tblGrid>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香港群思电子有限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18,600,000.00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6"/>
              <w:ind w:left="24"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OCEANSWISEIND</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6"/>
                <w:sz w:val="18"/>
                <w:szCs w:val="18"/>
              </w:rPr>
            </w:r>
            <w:r>
              <w:rPr>
                <w:rFonts w:ascii="Times New Roman" w:hAnsi="Times New Roman" w:cs="Times New Roman" w:eastAsia="Times New Roman" w:hint="default"/>
                <w:spacing w:val="-9"/>
                <w:sz w:val="18"/>
                <w:szCs w:val="18"/>
              </w:rPr>
              <w:t>USTRIESLTD</w:t>
            </w:r>
            <w:r>
              <w:rPr>
                <w:rFonts w:ascii="宋体" w:hAnsi="宋体" w:cs="宋体" w:eastAsia="宋体" w:hint="default"/>
                <w:spacing w:val="-9"/>
                <w:sz w:val="18"/>
                <w:szCs w:val="18"/>
              </w:rPr>
              <w:t>（香港</w:t>
            </w:r>
          </w:p>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海慧）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往来款及代垫款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6,420,705.82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6,420,705.82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宝安辉煌实业公司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2,742,431.83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2,742,431.83</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宝安区民防委员会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981,826.00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981,826.00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128,883,122.54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128,883,122.54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86" w:right="46" w:hanging="634"/>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21,292,932.41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164,063.71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21,128,868.70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23,556,275.28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245,803.70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23,310,471.58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2,772,227.49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2,772,227.49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3,426,265.25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3,426,265.25</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19,402,097.83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1,030,888.14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18,371,209.69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23,236,595.49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119,164.34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23,117,431.15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210,752.37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210,752.37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291,338.00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291,338.00</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14,335.34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14,335.34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1,167,988.39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102,252.85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1,065,735.54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55,918,107.96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55,918,107.96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44,401,608.95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44,401,608.95</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完工开发产品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153,095.91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153,095.91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153,095.91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153,095.91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616,931.03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616,931.03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804,671.41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804,671.41</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100,380,480.34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1,194,951.85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99,185,528.49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97,037,838.68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467,220.89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96,570,617.79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1371"/>
        <w:gridCol w:w="295"/>
        <w:gridCol w:w="1073"/>
        <w:gridCol w:w="1369"/>
        <w:gridCol w:w="1368"/>
        <w:gridCol w:w="305"/>
        <w:gridCol w:w="1059"/>
        <w:gridCol w:w="641"/>
        <w:gridCol w:w="728"/>
        <w:gridCol w:w="1008"/>
        <w:gridCol w:w="361"/>
      </w:tblGrid>
      <w:tr>
        <w:trPr>
          <w:trHeight w:val="404"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gridSpan w:val="2"/>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245,803.70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174,426.59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256,166.58</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164,063.71</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sz w:val="18"/>
              </w:rPr>
              <w:t>119,164.34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3,366,943.63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9" w:right="0"/>
              <w:jc w:val="left"/>
              <w:rPr>
                <w:rFonts w:ascii="Times New Roman" w:hAnsi="Times New Roman" w:cs="Times New Roman" w:eastAsia="Times New Roman" w:hint="default"/>
                <w:sz w:val="18"/>
                <w:szCs w:val="18"/>
              </w:rPr>
            </w:pPr>
            <w:r>
              <w:rPr>
                <w:rFonts w:ascii="Times New Roman"/>
                <w:sz w:val="18"/>
              </w:rPr>
              <w:t>2,455,219.83</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1,030,888.14</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102,252.85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102,252.85</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371" w:type="dxa"/>
            <w:tcBorders>
              <w:top w:val="single" w:sz="4" w:space="0" w:color="000000"/>
              <w:left w:val="single" w:sz="4" w:space="0" w:color="000000"/>
              <w:bottom w:val="single" w:sz="6"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467,220.89</w:t>
            </w:r>
          </w:p>
        </w:tc>
        <w:tc>
          <w:tcPr>
            <w:tcW w:w="136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3,541,370.22</w:t>
            </w:r>
          </w:p>
        </w:tc>
        <w:tc>
          <w:tcPr>
            <w:tcW w:w="1368" w:type="dxa"/>
            <w:tcBorders>
              <w:top w:val="single" w:sz="4" w:space="0" w:color="000000"/>
              <w:left w:val="single" w:sz="4" w:space="0" w:color="000000"/>
              <w:bottom w:val="single" w:sz="6" w:space="0" w:color="000000"/>
              <w:right w:val="single" w:sz="4" w:space="0" w:color="000000"/>
            </w:tcBorders>
          </w:tcPr>
          <w:p>
            <w:pPr/>
          </w:p>
        </w:tc>
        <w:tc>
          <w:tcPr>
            <w:tcW w:w="1364"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6"/>
              <w:ind w:left="389" w:right="0"/>
              <w:jc w:val="left"/>
              <w:rPr>
                <w:rFonts w:ascii="Times New Roman" w:hAnsi="Times New Roman" w:cs="Times New Roman" w:eastAsia="Times New Roman" w:hint="default"/>
                <w:sz w:val="18"/>
                <w:szCs w:val="18"/>
              </w:rPr>
            </w:pPr>
            <w:r>
              <w:rPr>
                <w:rFonts w:ascii="Times New Roman"/>
                <w:sz w:val="18"/>
              </w:rPr>
              <w:t>2,813,639.26</w:t>
            </w:r>
          </w:p>
        </w:tc>
        <w:tc>
          <w:tcPr>
            <w:tcW w:w="1368" w:type="dxa"/>
            <w:gridSpan w:val="2"/>
            <w:tcBorders>
              <w:top w:val="single" w:sz="4" w:space="0" w:color="000000"/>
              <w:left w:val="single" w:sz="4" w:space="0" w:color="000000"/>
              <w:bottom w:val="single" w:sz="6" w:space="0" w:color="000000"/>
              <w:right w:val="single" w:sz="4" w:space="0" w:color="000000"/>
            </w:tcBorders>
          </w:tcPr>
          <w:p>
            <w:pPr/>
          </w:p>
        </w:tc>
        <w:tc>
          <w:tcPr>
            <w:tcW w:w="1369"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1,194,951.85</w:t>
            </w:r>
          </w:p>
        </w:tc>
      </w:tr>
      <w:tr>
        <w:trPr>
          <w:trHeight w:val="665" w:hRule="exact"/>
        </w:trPr>
        <w:tc>
          <w:tcPr>
            <w:tcW w:w="166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15" w:type="dxa"/>
            <w:gridSpan w:val="4"/>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686" w:right="0"/>
              <w:jc w:val="left"/>
              <w:rPr>
                <w:rFonts w:ascii="宋体" w:hAnsi="宋体" w:cs="宋体" w:eastAsia="宋体" w:hint="default"/>
                <w:sz w:val="21"/>
                <w:szCs w:val="21"/>
              </w:rPr>
            </w:pPr>
            <w:r>
              <w:rPr>
                <w:rFonts w:ascii="宋体" w:hAnsi="宋体" w:cs="宋体" w:eastAsia="宋体" w:hint="default"/>
                <w:sz w:val="21"/>
                <w:szCs w:val="21"/>
              </w:rPr>
              <w:t>计提存货跌价准备的具体依据</w:t>
            </w:r>
          </w:p>
        </w:tc>
        <w:tc>
          <w:tcPr>
            <w:tcW w:w="170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16" w:right="-5" w:hanging="312"/>
              <w:jc w:val="left"/>
              <w:rPr>
                <w:rFonts w:ascii="宋体" w:hAnsi="宋体" w:cs="宋体" w:eastAsia="宋体" w:hint="default"/>
                <w:sz w:val="21"/>
                <w:szCs w:val="21"/>
              </w:rPr>
            </w:pPr>
            <w:r>
              <w:rPr>
                <w:rFonts w:ascii="宋体" w:hAnsi="宋体" w:cs="宋体" w:eastAsia="宋体" w:hint="default"/>
                <w:sz w:val="21"/>
                <w:szCs w:val="21"/>
              </w:rPr>
              <w:t>本期转回存货跌价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准备的原因</w:t>
            </w:r>
          </w:p>
        </w:tc>
        <w:tc>
          <w:tcPr>
            <w:tcW w:w="1736" w:type="dxa"/>
            <w:gridSpan w:val="2"/>
            <w:tcBorders>
              <w:top w:val="single" w:sz="6" w:space="0" w:color="000000"/>
              <w:left w:val="single" w:sz="6" w:space="0" w:color="000000"/>
              <w:bottom w:val="single" w:sz="12" w:space="0" w:color="000000"/>
              <w:right w:val="nil" w:sz="6" w:space="0" w:color="auto"/>
            </w:tcBorders>
          </w:tcPr>
          <w:p>
            <w:pPr>
              <w:pStyle w:val="TableParagraph"/>
              <w:spacing w:line="273" w:lineRule="auto"/>
              <w:ind w:left="335" w:right="22" w:hanging="317"/>
              <w:jc w:val="left"/>
              <w:rPr>
                <w:rFonts w:ascii="宋体" w:hAnsi="宋体" w:cs="宋体" w:eastAsia="宋体" w:hint="default"/>
                <w:sz w:val="21"/>
                <w:szCs w:val="21"/>
              </w:rPr>
            </w:pPr>
            <w:r>
              <w:rPr>
                <w:rFonts w:ascii="宋体" w:hAnsi="宋体" w:cs="宋体" w:eastAsia="宋体" w:hint="default"/>
                <w:sz w:val="21"/>
                <w:szCs w:val="21"/>
              </w:rPr>
              <w:t>本期转销存货跌价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准备的原因</w:t>
            </w:r>
          </w:p>
        </w:tc>
        <w:tc>
          <w:tcPr>
            <w:tcW w:w="361" w:type="dxa"/>
            <w:vMerge w:val="restart"/>
            <w:tcBorders>
              <w:top w:val="single" w:sz="4" w:space="0" w:color="000000"/>
              <w:left w:val="nil" w:sz="6" w:space="0" w:color="auto"/>
              <w:right w:val="nil" w:sz="6" w:space="0" w:color="auto"/>
            </w:tcBorders>
          </w:tcPr>
          <w:p>
            <w:pPr/>
          </w:p>
        </w:tc>
      </w:tr>
      <w:tr>
        <w:trPr>
          <w:trHeight w:val="351" w:hRule="exact"/>
        </w:trPr>
        <w:tc>
          <w:tcPr>
            <w:tcW w:w="166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4115" w:type="dxa"/>
            <w:gridSpan w:val="4"/>
            <w:tcBorders>
              <w:top w:val="single" w:sz="12" w:space="0" w:color="000000"/>
              <w:left w:val="single" w:sz="6" w:space="0" w:color="000000"/>
              <w:bottom w:val="single" w:sz="12" w:space="0" w:color="000000"/>
              <w:right w:val="single" w:sz="6" w:space="0" w:color="000000"/>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呆滞物料的可变现净值低于账面价值部分</w:t>
            </w:r>
          </w:p>
        </w:tc>
        <w:tc>
          <w:tcPr>
            <w:tcW w:w="1700" w:type="dxa"/>
            <w:gridSpan w:val="2"/>
            <w:tcBorders>
              <w:top w:val="single" w:sz="12" w:space="0" w:color="000000"/>
              <w:left w:val="single" w:sz="6" w:space="0" w:color="000000"/>
              <w:bottom w:val="single" w:sz="12" w:space="0" w:color="000000"/>
              <w:right w:val="single" w:sz="6" w:space="0" w:color="000000"/>
            </w:tcBorders>
          </w:tcPr>
          <w:p>
            <w:pPr/>
          </w:p>
        </w:tc>
        <w:tc>
          <w:tcPr>
            <w:tcW w:w="1736" w:type="dxa"/>
            <w:gridSpan w:val="2"/>
            <w:tcBorders>
              <w:top w:val="single" w:sz="12" w:space="0" w:color="000000"/>
              <w:left w:val="single" w:sz="6" w:space="0" w:color="000000"/>
              <w:bottom w:val="single" w:sz="12" w:space="0" w:color="000000"/>
              <w:right w:val="nil" w:sz="6" w:space="0" w:color="auto"/>
            </w:tcBorders>
          </w:tcPr>
          <w:p>
            <w:pPr>
              <w:pStyle w:val="TableParagraph"/>
              <w:spacing w:line="261" w:lineRule="exact"/>
              <w:ind w:left="878" w:right="0"/>
              <w:jc w:val="left"/>
              <w:rPr>
                <w:rFonts w:ascii="宋体" w:hAnsi="宋体" w:cs="宋体" w:eastAsia="宋体" w:hint="default"/>
                <w:sz w:val="21"/>
                <w:szCs w:val="21"/>
              </w:rPr>
            </w:pPr>
            <w:r>
              <w:rPr>
                <w:rFonts w:ascii="宋体" w:hAnsi="宋体" w:cs="宋体" w:eastAsia="宋体" w:hint="default"/>
                <w:sz w:val="21"/>
                <w:szCs w:val="21"/>
              </w:rPr>
              <w:t>销售转出</w:t>
            </w:r>
          </w:p>
        </w:tc>
        <w:tc>
          <w:tcPr>
            <w:tcW w:w="361" w:type="dxa"/>
            <w:vMerge/>
            <w:tcBorders>
              <w:left w:val="nil" w:sz="6" w:space="0" w:color="auto"/>
              <w:right w:val="nil" w:sz="6" w:space="0" w:color="auto"/>
            </w:tcBorders>
          </w:tcPr>
          <w:p>
            <w:pPr/>
          </w:p>
        </w:tc>
      </w:tr>
      <w:tr>
        <w:trPr>
          <w:trHeight w:val="355" w:hRule="exact"/>
        </w:trPr>
        <w:tc>
          <w:tcPr>
            <w:tcW w:w="166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4115" w:type="dxa"/>
            <w:gridSpan w:val="4"/>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呆滞物料的可变现净值低于账面价值部分</w:t>
            </w:r>
          </w:p>
        </w:tc>
        <w:tc>
          <w:tcPr>
            <w:tcW w:w="1700" w:type="dxa"/>
            <w:gridSpan w:val="2"/>
            <w:tcBorders>
              <w:top w:val="single" w:sz="12" w:space="0" w:color="000000"/>
              <w:left w:val="single" w:sz="6" w:space="0" w:color="000000"/>
              <w:bottom w:val="single" w:sz="12" w:space="0" w:color="000000"/>
              <w:right w:val="single" w:sz="6" w:space="0" w:color="000000"/>
            </w:tcBorders>
          </w:tcPr>
          <w:p>
            <w:pPr/>
          </w:p>
        </w:tc>
        <w:tc>
          <w:tcPr>
            <w:tcW w:w="1736" w:type="dxa"/>
            <w:gridSpan w:val="2"/>
            <w:tcBorders>
              <w:top w:val="single" w:sz="12" w:space="0" w:color="000000"/>
              <w:left w:val="single" w:sz="6" w:space="0" w:color="000000"/>
              <w:bottom w:val="single" w:sz="12" w:space="0" w:color="000000"/>
              <w:right w:val="nil" w:sz="6" w:space="0" w:color="auto"/>
            </w:tcBorders>
          </w:tcPr>
          <w:p>
            <w:pPr>
              <w:pStyle w:val="TableParagraph"/>
              <w:spacing w:line="260" w:lineRule="exact"/>
              <w:ind w:left="878" w:right="0"/>
              <w:jc w:val="left"/>
              <w:rPr>
                <w:rFonts w:ascii="宋体" w:hAnsi="宋体" w:cs="宋体" w:eastAsia="宋体" w:hint="default"/>
                <w:sz w:val="21"/>
                <w:szCs w:val="21"/>
              </w:rPr>
            </w:pPr>
            <w:r>
              <w:rPr>
                <w:rFonts w:ascii="宋体" w:hAnsi="宋体" w:cs="宋体" w:eastAsia="宋体" w:hint="default"/>
                <w:sz w:val="21"/>
                <w:szCs w:val="21"/>
              </w:rPr>
              <w:t>销售转出</w:t>
            </w:r>
          </w:p>
        </w:tc>
        <w:tc>
          <w:tcPr>
            <w:tcW w:w="361" w:type="dxa"/>
            <w:vMerge/>
            <w:tcBorders>
              <w:left w:val="nil" w:sz="6" w:space="0" w:color="auto"/>
              <w:right w:val="nil" w:sz="6" w:space="0" w:color="auto"/>
            </w:tcBorders>
          </w:tcPr>
          <w:p>
            <w:pPr/>
          </w:p>
        </w:tc>
      </w:tr>
      <w:tr>
        <w:trPr>
          <w:trHeight w:val="350" w:hRule="exact"/>
        </w:trPr>
        <w:tc>
          <w:tcPr>
            <w:tcW w:w="166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4115" w:type="dxa"/>
            <w:gridSpan w:val="4"/>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呆滞物料的可变现净值低于账面价值部分</w:t>
            </w:r>
          </w:p>
        </w:tc>
        <w:tc>
          <w:tcPr>
            <w:tcW w:w="1700" w:type="dxa"/>
            <w:gridSpan w:val="2"/>
            <w:tcBorders>
              <w:top w:val="single" w:sz="12" w:space="0" w:color="000000"/>
              <w:left w:val="single" w:sz="6" w:space="0" w:color="000000"/>
              <w:bottom w:val="single" w:sz="12" w:space="0" w:color="000000"/>
              <w:right w:val="single" w:sz="6" w:space="0" w:color="000000"/>
            </w:tcBorders>
          </w:tcPr>
          <w:p>
            <w:pPr/>
          </w:p>
        </w:tc>
        <w:tc>
          <w:tcPr>
            <w:tcW w:w="1736" w:type="dxa"/>
            <w:gridSpan w:val="2"/>
            <w:tcBorders>
              <w:top w:val="single" w:sz="12" w:space="0" w:color="000000"/>
              <w:left w:val="single" w:sz="6" w:space="0" w:color="000000"/>
              <w:bottom w:val="single" w:sz="12" w:space="0" w:color="000000"/>
              <w:right w:val="nil" w:sz="6" w:space="0" w:color="auto"/>
            </w:tcBorders>
          </w:tcPr>
          <w:p>
            <w:pPr>
              <w:pStyle w:val="TableParagraph"/>
              <w:spacing w:line="260" w:lineRule="exact"/>
              <w:ind w:left="878" w:right="0"/>
              <w:jc w:val="left"/>
              <w:rPr>
                <w:rFonts w:ascii="宋体" w:hAnsi="宋体" w:cs="宋体" w:eastAsia="宋体" w:hint="default"/>
                <w:sz w:val="21"/>
                <w:szCs w:val="21"/>
              </w:rPr>
            </w:pPr>
            <w:r>
              <w:rPr>
                <w:rFonts w:ascii="宋体" w:hAnsi="宋体" w:cs="宋体" w:eastAsia="宋体" w:hint="default"/>
                <w:sz w:val="21"/>
                <w:szCs w:val="21"/>
              </w:rPr>
              <w:t>销售转出</w:t>
            </w:r>
          </w:p>
        </w:tc>
        <w:tc>
          <w:tcPr>
            <w:tcW w:w="361" w:type="dxa"/>
            <w:vMerge/>
            <w:tcBorders>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101,500,000.00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96,950,000.00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254,407.25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1,113,453.71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101,754,407.25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98,063,453.71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03"/>
        <w:gridCol w:w="1196"/>
        <w:gridCol w:w="1196"/>
        <w:gridCol w:w="1195"/>
        <w:gridCol w:w="1249"/>
        <w:gridCol w:w="1368"/>
        <w:gridCol w:w="1369"/>
      </w:tblGrid>
      <w:tr>
        <w:trPr>
          <w:trHeight w:val="403" w:hRule="exact"/>
        </w:trPr>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200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8"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90,605,775.72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4" w:right="0"/>
              <w:jc w:val="center"/>
              <w:rPr>
                <w:rFonts w:ascii="Times New Roman" w:hAnsi="Times New Roman" w:cs="Times New Roman" w:eastAsia="Times New Roman" w:hint="default"/>
                <w:sz w:val="18"/>
                <w:szCs w:val="18"/>
              </w:rPr>
            </w:pPr>
            <w:r>
              <w:rPr>
                <w:rFonts w:ascii="Times New Roman"/>
                <w:sz w:val="18"/>
              </w:rPr>
              <w:t>90,605,775.72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7" w:right="0"/>
              <w:jc w:val="center"/>
              <w:rPr>
                <w:rFonts w:ascii="Times New Roman" w:hAnsi="Times New Roman" w:cs="Times New Roman" w:eastAsia="Times New Roman" w:hint="default"/>
                <w:sz w:val="18"/>
                <w:szCs w:val="18"/>
              </w:rPr>
            </w:pPr>
            <w:r>
              <w:rPr>
                <w:rFonts w:ascii="Times New Roman"/>
                <w:sz w:val="18"/>
              </w:rPr>
              <w:t>90,605,775.72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90,605,775.72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90,605,775.72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4" w:right="0"/>
              <w:jc w:val="center"/>
              <w:rPr>
                <w:rFonts w:ascii="Times New Roman" w:hAnsi="Times New Roman" w:cs="Times New Roman" w:eastAsia="Times New Roman" w:hint="default"/>
                <w:sz w:val="18"/>
                <w:szCs w:val="18"/>
              </w:rPr>
            </w:pPr>
            <w:r>
              <w:rPr>
                <w:rFonts w:ascii="Times New Roman"/>
                <w:sz w:val="18"/>
              </w:rPr>
              <w:t>90,605,775.72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7" w:right="0"/>
              <w:jc w:val="center"/>
              <w:rPr>
                <w:rFonts w:ascii="Times New Roman" w:hAnsi="Times New Roman" w:cs="Times New Roman" w:eastAsia="Times New Roman" w:hint="default"/>
                <w:sz w:val="18"/>
                <w:szCs w:val="18"/>
              </w:rPr>
            </w:pPr>
            <w:r>
              <w:rPr>
                <w:rFonts w:ascii="Times New Roman"/>
                <w:sz w:val="18"/>
              </w:rPr>
              <w:t>90,605,775.72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90,605,775.72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一年期以上的理财产品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4" w:right="0"/>
              <w:jc w:val="center"/>
              <w:rPr>
                <w:rFonts w:ascii="Times New Roman" w:hAnsi="Times New Roman" w:cs="Times New Roman" w:eastAsia="Times New Roman" w:hint="default"/>
                <w:sz w:val="18"/>
                <w:szCs w:val="18"/>
              </w:rPr>
            </w:pPr>
            <w:r>
              <w:rPr>
                <w:rFonts w:ascii="Times New Roman"/>
                <w:sz w:val="18"/>
              </w:rPr>
              <w:t>20,000,000.00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pacing w:val="-2"/>
                <w:sz w:val="18"/>
              </w:rPr>
              <w:t>113,010,000.00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113,010,000.00</w:t>
            </w:r>
          </w:p>
        </w:tc>
      </w:tr>
      <w:tr>
        <w:trPr>
          <w:trHeight w:val="404"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110,605,775.72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4" w:right="0"/>
              <w:jc w:val="center"/>
              <w:rPr>
                <w:rFonts w:ascii="Times New Roman" w:hAnsi="Times New Roman" w:cs="Times New Roman" w:eastAsia="Times New Roman" w:hint="default"/>
                <w:sz w:val="18"/>
                <w:szCs w:val="18"/>
              </w:rPr>
            </w:pPr>
            <w:r>
              <w:rPr>
                <w:rFonts w:ascii="Times New Roman"/>
                <w:sz w:val="18"/>
              </w:rPr>
              <w:t>90,605,775.72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4" w:right="0"/>
              <w:jc w:val="center"/>
              <w:rPr>
                <w:rFonts w:ascii="Times New Roman" w:hAnsi="Times New Roman" w:cs="Times New Roman" w:eastAsia="Times New Roman" w:hint="default"/>
                <w:sz w:val="18"/>
                <w:szCs w:val="18"/>
              </w:rPr>
            </w:pPr>
            <w:r>
              <w:rPr>
                <w:rFonts w:ascii="Times New Roman"/>
                <w:sz w:val="18"/>
              </w:rPr>
              <w:t>20,000,000.00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203,615,775.72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90,605,775.72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113,010,000.00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4"/>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399"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335" w:right="60"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71" w:right="60"/>
              <w:jc w:val="center"/>
              <w:rPr>
                <w:rFonts w:ascii="宋体" w:hAnsi="宋体" w:cs="宋体" w:eastAsia="宋体" w:hint="default"/>
                <w:sz w:val="18"/>
                <w:szCs w:val="18"/>
              </w:rPr>
            </w:pPr>
            <w:r>
              <w:rPr>
                <w:rFonts w:ascii="宋体" w:hAnsi="宋体" w:cs="宋体" w:eastAsia="宋体" w:hint="default"/>
                <w:spacing w:val="-2"/>
                <w:sz w:val="18"/>
                <w:szCs w:val="18"/>
              </w:rPr>
              <w:t>在被投资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单位持股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49" w:right="60" w:hanging="178"/>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深圳市天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极光电实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20,250,000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20,250,000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20,250,000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20,250,000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4.40%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深圳市华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宝进出口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50,000.00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深圳泰丰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宽带技术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p>
            <w:pPr>
              <w:pStyle w:val="TableParagraph"/>
              <w:spacing w:line="240" w:lineRule="auto" w:before="25"/>
              <w:ind w:left="24" w:right="0"/>
              <w:jc w:val="both"/>
              <w:rPr>
                <w:rFonts w:ascii="宋体" w:hAnsi="宋体" w:cs="宋体" w:eastAsia="宋体" w:hint="default"/>
                <w:sz w:val="18"/>
                <w:szCs w:val="18"/>
              </w:rPr>
            </w:pPr>
            <w:r>
              <w:rPr>
                <w:rFonts w:ascii="宋体" w:hAnsi="宋体" w:cs="宋体" w:eastAsia="宋体" w:hint="default"/>
                <w:sz w:val="18"/>
                <w:szCs w:val="18"/>
              </w:rPr>
              <w:t>（注）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5,359,794.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5,359,794.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5,359,794.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5,359,794.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深圳市中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27,938,510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4" w:right="0"/>
              <w:jc w:val="center"/>
              <w:rPr>
                <w:rFonts w:ascii="Times New Roman" w:hAnsi="Times New Roman" w:cs="Times New Roman" w:eastAsia="Times New Roman" w:hint="default"/>
                <w:sz w:val="18"/>
                <w:szCs w:val="18"/>
              </w:rPr>
            </w:pPr>
            <w:r>
              <w:rPr>
                <w:rFonts w:ascii="Times New Roman"/>
                <w:sz w:val="18"/>
              </w:rPr>
              <w:t>27,938,510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27,938,510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27,938,510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98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04"/>
              <w:jc w:val="both"/>
              <w:rPr>
                <w:rFonts w:ascii="宋体" w:hAnsi="宋体" w:cs="宋体" w:eastAsia="宋体" w:hint="default"/>
                <w:sz w:val="18"/>
                <w:szCs w:val="18"/>
              </w:rPr>
            </w:pPr>
            <w:r>
              <w:rPr>
                <w:rFonts w:ascii="宋体" w:hAnsi="宋体" w:cs="宋体" w:eastAsia="宋体" w:hint="default"/>
                <w:sz w:val="18"/>
                <w:szCs w:val="18"/>
              </w:rPr>
              <w:t>委农业投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深圳市泰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丰通讯电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37,007,471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37,007,471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37,007,471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37,007,471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90,605,775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90,605,775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90,605,775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90,605,775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期初已计提减值余额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90,605,775.72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90,605,775.72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期末已计提减值余额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90,605,775.72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90,605,775.72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08" w:right="46" w:hanging="360"/>
              <w:jc w:val="left"/>
              <w:rPr>
                <w:rFonts w:ascii="宋体" w:hAnsi="宋体" w:cs="宋体" w:eastAsia="宋体" w:hint="default"/>
                <w:sz w:val="18"/>
                <w:szCs w:val="18"/>
              </w:rPr>
            </w:pPr>
            <w:r>
              <w:rPr>
                <w:rFonts w:ascii="宋体" w:hAnsi="宋体" w:cs="宋体" w:eastAsia="宋体" w:hint="default"/>
                <w:spacing w:val="-3"/>
                <w:sz w:val="18"/>
                <w:szCs w:val="18"/>
              </w:rPr>
              <w:t>可供出售权益工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8" w:right="46"/>
              <w:jc w:val="left"/>
              <w:rPr>
                <w:rFonts w:ascii="宋体" w:hAnsi="宋体" w:cs="宋体" w:eastAsia="宋体" w:hint="default"/>
                <w:sz w:val="18"/>
                <w:szCs w:val="18"/>
              </w:rPr>
            </w:pPr>
            <w:r>
              <w:rPr>
                <w:rFonts w:ascii="宋体" w:hAnsi="宋体" w:cs="宋体" w:eastAsia="宋体" w:hint="default"/>
                <w:spacing w:val="-3"/>
                <w:sz w:val="18"/>
                <w:szCs w:val="18"/>
              </w:rPr>
              <w:t>公允价值相对于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成本的下跌幅度</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pacing w:val="-3"/>
                <w:sz w:val="18"/>
                <w:szCs w:val="18"/>
              </w:rPr>
              <w:t>已计提减值金额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pacing w:val="-3"/>
                <w:sz w:val="18"/>
                <w:szCs w:val="18"/>
              </w:rPr>
              <w:t>未计提减值原因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403"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98"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6"/>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 w:right="26"/>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0" w:right="0"/>
              <w:jc w:val="left"/>
              <w:rPr>
                <w:rFonts w:ascii="Times New Roman" w:hAnsi="Times New Roman" w:cs="Times New Roman" w:eastAsia="Times New Roman" w:hint="default"/>
                <w:sz w:val="18"/>
                <w:szCs w:val="18"/>
              </w:rPr>
            </w:pPr>
            <w:r>
              <w:rPr>
                <w:rFonts w:ascii="Times New Roman"/>
                <w:sz w:val="18"/>
              </w:rPr>
              <w:t>30,706,681.29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30,706,681.29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）存货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30,706,681.29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30,706,681.29</w:t>
            </w: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二、累计折旧和累计摊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销</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17,266,626.46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17,266,626.46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729,606.96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729,606.96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）计提或摊销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729,606.96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729,606.96</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17,996,233.42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17,996,233.42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12,710,447.87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12,710,447.87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13,440,054.83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13,440,054.83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4"/>
        <w:gridCol w:w="1599"/>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电子及其他设备</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39,562,816.60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56,755,816.95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5,636,852.28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4,372,467.60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106,327,953.43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94,514.60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870,417.42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2,425,844.10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317,699.11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3,708,475.23</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94,514.60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870,417.42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2,425,844.10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317,699.11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3,708,475.23</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22"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w:t>
            </w:r>
            <w:r>
              <w:rPr>
                <w:rFonts w:ascii="宋体" w:hAnsi="宋体" w:cs="宋体" w:eastAsia="宋体" w:hint="default"/>
                <w:w w:val="101"/>
                <w:sz w:val="18"/>
                <w:szCs w:val="18"/>
              </w:rPr>
              <w:t> </w:t>
            </w:r>
            <w:r>
              <w:rPr>
                <w:rFonts w:ascii="宋体" w:hAnsi="宋体" w:cs="宋体" w:eastAsia="宋体" w:hint="default"/>
                <w:sz w:val="18"/>
                <w:szCs w:val="18"/>
              </w:rPr>
              <w:t>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2"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w:t>
            </w:r>
            <w:r>
              <w:rPr>
                <w:rFonts w:ascii="宋体" w:hAnsi="宋体" w:cs="宋体" w:eastAsia="宋体" w:hint="default"/>
                <w:w w:val="101"/>
                <w:sz w:val="18"/>
                <w:szCs w:val="18"/>
              </w:rPr>
              <w:t> </w:t>
            </w:r>
            <w:r>
              <w:rPr>
                <w:rFonts w:ascii="宋体" w:hAnsi="宋体" w:cs="宋体" w:eastAsia="宋体" w:hint="default"/>
                <w:sz w:val="18"/>
                <w:szCs w:val="18"/>
              </w:rPr>
              <w:t>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3,831,075.01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2,130,327.53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141,728.71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6,103,131.25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3,831,075.01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2,130,327.53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141,728.71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6,103,131.25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39,657,331.20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53,795,159.36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5,932,368.85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4,548,438.00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103,933,297.41</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10,419,317.10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27,148,533.62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2,062,746.99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2,352,469.19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41,983,066.90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970,321.22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2,879,990.80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1,108,483.03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919,994.32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5,878,789.37</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970,321.22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2,879,990.80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1,108,483.03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919,994.32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5,878,789.37</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3,110,601.22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1,472,353.72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91,837.40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4,674,792.34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3,110,601.22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1,472,353.72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91,837.40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4,674,792.34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11,389,638.32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26,917,923.20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1,698,876.30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3,180,626.11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43,187,063.93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4"/>
        <w:gridCol w:w="1599"/>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5,532,491.30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81,080.11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5,613,571.41</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651,351.05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7,302.96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658,654.01</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651,351.05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7,302.96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658,654.01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4,881,140.25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73,777.15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4,954,917.40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28,267,692.88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21,996,095.91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4,233,492.55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1,294,034.74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55,791,316.08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5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29,143,499.50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24,074,792.03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3,574,105.29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1,938,918.30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58,731,315.12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pacing w:val="-3"/>
                <w:sz w:val="18"/>
                <w:szCs w:val="18"/>
              </w:rPr>
              <w:t>工业厂房及消防设施、宿舍、临时设施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4,623,334.47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5"/>
              <w:jc w:val="left"/>
              <w:rPr>
                <w:rFonts w:ascii="宋体" w:hAnsi="宋体" w:cs="宋体" w:eastAsia="宋体" w:hint="default"/>
                <w:sz w:val="18"/>
                <w:szCs w:val="18"/>
              </w:rPr>
            </w:pPr>
            <w:r>
              <w:rPr>
                <w:rFonts w:ascii="宋体" w:hAnsi="宋体" w:cs="宋体" w:eastAsia="宋体" w:hint="default"/>
                <w:spacing w:val="-3"/>
                <w:sz w:val="18"/>
                <w:szCs w:val="18"/>
              </w:rPr>
              <w:t>上世纪九十年代初已建设的厂房，未补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交地价。</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5"/>
        <w:gridCol w:w="734"/>
        <w:gridCol w:w="735"/>
        <w:gridCol w:w="739"/>
        <w:gridCol w:w="735"/>
        <w:gridCol w:w="735"/>
        <w:gridCol w:w="739"/>
        <w:gridCol w:w="735"/>
        <w:gridCol w:w="734"/>
        <w:gridCol w:w="740"/>
        <w:gridCol w:w="735"/>
        <w:gridCol w:w="734"/>
        <w:gridCol w:w="740"/>
      </w:tblGrid>
      <w:tr>
        <w:trPr>
          <w:trHeight w:val="1340"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1" w:lineRule="auto" w:before="54"/>
              <w:ind w:left="235" w:right="46" w:hanging="183"/>
              <w:jc w:val="left"/>
              <w:rPr>
                <w:rFonts w:ascii="宋体" w:hAnsi="宋体" w:cs="宋体" w:eastAsia="宋体" w:hint="default"/>
                <w:sz w:val="18"/>
                <w:szCs w:val="18"/>
              </w:rPr>
            </w:pPr>
            <w:r>
              <w:rPr>
                <w:rFonts w:ascii="宋体" w:hAnsi="宋体" w:cs="宋体" w:eastAsia="宋体" w:hint="default"/>
                <w:spacing w:val="-2"/>
                <w:sz w:val="18"/>
                <w:szCs w:val="18"/>
              </w:rPr>
              <w:t>高频数字无绳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电话技术</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4" w:lineRule="auto" w:before="54"/>
              <w:ind w:left="504" w:right="46" w:hanging="452"/>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商标</w:t>
            </w:r>
            <w:r>
              <w:rPr>
                <w:rFonts w:ascii="宋体" w:hAnsi="宋体" w:cs="宋体" w:eastAsia="宋体" w:hint="default"/>
                <w:w w:val="101"/>
                <w:sz w:val="18"/>
                <w:szCs w:val="18"/>
              </w:rPr>
              <w:t> </w:t>
            </w:r>
            <w:r>
              <w:rPr>
                <w:rFonts w:ascii="宋体" w:hAnsi="宋体" w:cs="宋体" w:eastAsia="宋体" w:hint="default"/>
                <w:sz w:val="18"/>
                <w:szCs w:val="18"/>
              </w:rPr>
              <w:t>权</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2"/>
                <w:sz w:val="18"/>
                <w:szCs w:val="18"/>
              </w:rPr>
              <w:t>一、账面原值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4,544,566.00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535,500.00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101,000.00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37,181,066.00</w:t>
            </w:r>
          </w:p>
        </w:tc>
      </w:tr>
      <w:tr>
        <w:trPr>
          <w:trHeight w:val="71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）购</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36" w:firstLine="528"/>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）内</w:t>
            </w:r>
            <w:r>
              <w:rPr>
                <w:rFonts w:ascii="宋体" w:hAnsi="宋体" w:cs="宋体" w:eastAsia="宋体" w:hint="default"/>
                <w:spacing w:val="-20"/>
                <w:w w:val="101"/>
                <w:sz w:val="18"/>
                <w:szCs w:val="18"/>
              </w:rPr>
              <w:t> </w:t>
            </w:r>
            <w:r>
              <w:rPr>
                <w:rFonts w:ascii="宋体" w:hAnsi="宋体" w:cs="宋体" w:eastAsia="宋体" w:hint="default"/>
                <w:sz w:val="18"/>
                <w:szCs w:val="18"/>
              </w:rPr>
              <w:t>部研发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6" w:firstLine="528"/>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）企</w:t>
            </w:r>
            <w:r>
              <w:rPr>
                <w:rFonts w:ascii="宋体" w:hAnsi="宋体" w:cs="宋体" w:eastAsia="宋体" w:hint="default"/>
                <w:spacing w:val="-20"/>
                <w:w w:val="101"/>
                <w:sz w:val="18"/>
                <w:szCs w:val="18"/>
              </w:rPr>
              <w:t> </w:t>
            </w:r>
            <w:r>
              <w:rPr>
                <w:rFonts w:ascii="宋体" w:hAnsi="宋体" w:cs="宋体" w:eastAsia="宋体" w:hint="default"/>
                <w:sz w:val="18"/>
                <w:szCs w:val="18"/>
              </w:rPr>
              <w:t>业合并增加</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1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）处</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4,544,566.00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535,500.00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101,000.00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37,181,066.00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2"/>
                <w:sz w:val="18"/>
                <w:szCs w:val="18"/>
              </w:rPr>
              <w:t>二、累计摊销</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255,631.87</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17,590,000.00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142,800.00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42,435.08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18,030,866.95</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113,614.20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53,550.00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32,917.93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200,082.13</w:t>
            </w:r>
          </w:p>
        </w:tc>
      </w:tr>
      <w:tr>
        <w:trPr>
          <w:trHeight w:val="399"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36"/>
              <w:jc w:val="righ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）计</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113,614.20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53,550.00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32,917.93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200,082.13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36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提</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1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）处</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369,246.07</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17,590,000.00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196,350.00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75,353.01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18,230,949.08</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14,410,000.00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14,410,000.00</w:t>
            </w:r>
          </w:p>
        </w:tc>
      </w:tr>
      <w:tr>
        <w:trPr>
          <w:trHeight w:val="71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）计</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提</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14,410,000.00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14,410,000.00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1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w:t>
            </w:r>
            <w:r>
              <w:rPr>
                <w:rFonts w:ascii="宋体" w:hAnsi="宋体" w:cs="宋体" w:eastAsia="宋体" w:hint="default"/>
                <w:w w:val="101"/>
                <w:sz w:val="18"/>
                <w:szCs w:val="18"/>
              </w:rPr>
              <w:t> </w:t>
            </w:r>
            <w:r>
              <w:rPr>
                <w:rFonts w:ascii="宋体" w:hAnsi="宋体" w:cs="宋体" w:eastAsia="宋体" w:hint="default"/>
                <w:sz w:val="18"/>
                <w:szCs w:val="18"/>
              </w:rPr>
              <w:t>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4,175,319.93</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339,150.00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25,646.99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4,540,116.92</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1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w:t>
            </w:r>
            <w:r>
              <w:rPr>
                <w:rFonts w:ascii="宋体" w:hAnsi="宋体" w:cs="宋体" w:eastAsia="宋体" w:hint="default"/>
                <w:w w:val="101"/>
                <w:sz w:val="18"/>
                <w:szCs w:val="18"/>
              </w:rPr>
              <w:t> </w:t>
            </w:r>
            <w:r>
              <w:rPr>
                <w:rFonts w:ascii="宋体" w:hAnsi="宋体" w:cs="宋体" w:eastAsia="宋体" w:hint="default"/>
                <w:sz w:val="18"/>
                <w:szCs w:val="18"/>
              </w:rPr>
              <w:t>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4,288,934.13</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392,700.00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58,564.92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4,740,199.05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3188"/>
        <w:gridCol w:w="3193"/>
        <w:gridCol w:w="1061"/>
      </w:tblGrid>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2732"/>
        <w:gridCol w:w="2737"/>
        <w:gridCol w:w="1369"/>
      </w:tblGrid>
      <w:tr>
        <w:trPr>
          <w:trHeight w:val="10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2732"/>
        <w:gridCol w:w="2737"/>
        <w:gridCol w:w="1369"/>
      </w:tblGrid>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7" w:lineRule="auto" w:before="53"/>
        <w:ind w:left="153" w:right="4663" w:firstLine="0"/>
        <w:jc w:val="left"/>
        <w:rPr>
          <w:rFonts w:ascii="宋体" w:hAnsi="宋体" w:cs="宋体" w:eastAsia="宋体" w:hint="default"/>
          <w:sz w:val="18"/>
          <w:szCs w:val="18"/>
        </w:rPr>
      </w:pPr>
      <w:r>
        <w:rPr>
          <w:rFonts w:ascii="宋体" w:hAnsi="宋体" w:cs="宋体" w:eastAsia="宋体" w:hint="default"/>
          <w:spacing w:val="-3"/>
          <w:sz w:val="18"/>
          <w:szCs w:val="18"/>
        </w:rPr>
        <w:t>说明商誉减值测试过程、参数及商誉减值损失的确认方法：</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1,980,367.58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264,894.28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828,250.97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1,417,010.89</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铁卡板</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41,187.50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98,887.50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301,288.09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710,341.86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92,467.49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919,162.46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2,322,843.17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1,032,936.14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1,019,605.96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2,336,173.35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9"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13" w:right="51"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12"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3,782,138.63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1,465,561.79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51,180,869.75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86,266,240.88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54,963,008.38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87,731,802.67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40,117,064.71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6,054,555.42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6,054,555.42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6,496,161.34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6,496,161.34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20,279,211.95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20,279,211.95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13,319,247.46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13,319,247.46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5,031,693.58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51,180,869.75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86,266,240.88</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深圳饲料厂固定资产及土地使用权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8,783,666.91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9,039,412.12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8,783,666.91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9,039,412.12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本期末已逾期未偿还的短期借款总额为元，其中重要的已逾期未偿还的短期借款情况如下：</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本期末已到期未支付的应付票据总额为元。</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22,022,427.43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22" w:right="0"/>
              <w:jc w:val="left"/>
              <w:rPr>
                <w:rFonts w:ascii="Times New Roman" w:hAnsi="Times New Roman" w:cs="Times New Roman" w:eastAsia="Times New Roman" w:hint="default"/>
                <w:sz w:val="18"/>
                <w:szCs w:val="18"/>
              </w:rPr>
            </w:pPr>
            <w:r>
              <w:rPr>
                <w:rFonts w:ascii="Times New Roman"/>
                <w:sz w:val="18"/>
              </w:rPr>
              <w:t>30,765,361.85</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4,346,911.59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10,386,149.23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3,081,145.12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956,063.09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775,096.06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430,279.49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30,225,580.20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42,537,853.66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2,847,924.59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3,369,887.68</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100,408.71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190,013,233.89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190,002,923.33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12,881.44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440,587.04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706,543.59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193,391,843.67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194,102,546.60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46"/>
        <w:ind w:left="0" w:right="146" w:firstLine="0"/>
        <w:jc w:val="right"/>
        <w:rPr>
          <w:rFonts w:ascii="宋体" w:hAnsi="宋体" w:cs="宋体" w:eastAsia="宋体" w:hint="default"/>
          <w:sz w:val="18"/>
          <w:szCs w:val="18"/>
        </w:rPr>
      </w:pPr>
      <w:r>
        <w:rPr/>
        <w:pict>
          <v:shape style="position:absolute;margin-left:56.424pt;margin-top:-114.648262pt;width:479.5pt;height:232.6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383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深圳市满京华房地产开发有限公司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43"/>
                          <w:jc w:val="left"/>
                          <w:rPr>
                            <w:rFonts w:ascii="宋体" w:hAnsi="宋体" w:cs="宋体" w:eastAsia="宋体" w:hint="default"/>
                            <w:sz w:val="18"/>
                            <w:szCs w:val="18"/>
                          </w:rPr>
                        </w:pPr>
                        <w:r>
                          <w:rPr>
                            <w:rFonts w:ascii="宋体" w:hAnsi="宋体" w:cs="宋体" w:eastAsia="宋体" w:hint="default"/>
                            <w:sz w:val="18"/>
                            <w:szCs w:val="18"/>
                          </w:rPr>
                          <w:t>由于截止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日，满京华公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司尚未完成拆迁补偿协议，故涉及城市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更新以及规划国土等行政审批或许可等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一系列手续尚未办理，深圳饲料公司与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该拆迁补偿款对应的税务成本计算方式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以及相关搬迁成本尚未能可靠确定和计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1"/>
                            <w:sz w:val="18"/>
                            <w:szCs w:val="18"/>
                          </w:rPr>
                          <w:t>量；根据《企业会计准则第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号－收入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准则和谨慎性原则，深圳饲料公司已取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得的</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亿元拆迁补偿款暂记预收账款，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不确认收入；待与拆迁补偿相关的后续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事项明确后再确认相应的收入和结转相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关的成本。</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190,000,000.00</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5,309,368.84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58,354,568.01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56,332,080.73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7,331,856.12</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4,494,341.15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4,494,341.15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5,309,368.84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62,848,909.16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60,826,421.88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7,331,856.12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4,004,665.07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50,698,968.18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49,041,734.91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5,661,898.34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3,674,738.31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3,674,738.31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1,617,761.32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1,617,761.32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1,294,764.43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1,294,764.43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146,548.74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146,548.74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176,448.15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176,448.15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113,459.15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1,412,827.96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1,412,827.96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113,459.15</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1,191,244.62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950,272.24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585,018.23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1,556,498.63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5,309,368.84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58,354,568.01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56,332,080.73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7,331,856.12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3,686,848.07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3,686,848.07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411,972.48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411,972.48</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395,520.60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395,520.60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4,494,341.15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4,494,341.15</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1,676,920.13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1,697,614.09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2,191,426.94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262,142.95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2,253,997.64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598,041.49</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252,404.47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225,719.67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278,017.50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127,755.24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201,735.25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93,390.51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1,769.93</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88,560.40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64,484.03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40,800.00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29,123.50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29,123.50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400.20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7,013,386.03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3,140,841.41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3,784.27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14,485.88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3,784.27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14,485.88</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重要的已逾期未支付的利息情况：</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其他说明，包括重要的超过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年未支付的应付股利，应披露未支付原因：</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13,350,205.75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38,948,070.11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1,232,420.26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342,939.33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296,387.33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1,627,720.72</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4,461,768.77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2,899,420.05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19,340,782.11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43,818,150.21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2,033,503.71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3,272,498.04</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2,033,503.71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3,272,498.04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预收停车场收入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1,522,094.05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1,561,360.35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1,522,094.05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1,561,360.35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短期应付债券的增减变动：</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5" w:right="26" w:hanging="92"/>
              <w:jc w:val="left"/>
              <w:rPr>
                <w:rFonts w:ascii="宋体" w:hAnsi="宋体" w:cs="宋体" w:eastAsia="宋体" w:hint="default"/>
                <w:sz w:val="18"/>
                <w:szCs w:val="18"/>
              </w:rPr>
            </w:pPr>
            <w:r>
              <w:rPr>
                <w:rFonts w:ascii="宋体" w:hAnsi="宋体" w:cs="宋体" w:eastAsia="宋体" w:hint="default"/>
                <w:sz w:val="18"/>
                <w:szCs w:val="18"/>
              </w:rPr>
              <w:t>按面值计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7" w:right="27"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2,033,503.71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2,033,503.71</w:t>
            </w:r>
          </w:p>
        </w:tc>
      </w:tr>
    </w:tbl>
    <w:p>
      <w:pPr>
        <w:spacing w:line="357" w:lineRule="auto" w:before="53"/>
        <w:ind w:left="153" w:right="7055"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其他说明，包括利率区间：</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23"/>
          <w:szCs w:val="23"/>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980"/>
        </w:sectPr>
      </w:pPr>
    </w:p>
    <w:p>
      <w:pPr>
        <w:spacing w:line="357" w:lineRule="auto"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期末发行在外的优先股、永续债等其他金融工具基本情况</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7" w:space="4174"/>
            <w:col w:w="111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4"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8"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2" w:lineRule="auto" w:before="53"/>
        <w:ind w:left="153" w:right="5905" w:firstLine="0"/>
        <w:jc w:val="left"/>
        <w:rPr>
          <w:rFonts w:ascii="宋体" w:hAnsi="宋体" w:cs="宋体" w:eastAsia="宋体" w:hint="default"/>
          <w:sz w:val="18"/>
          <w:szCs w:val="18"/>
        </w:rPr>
      </w:pPr>
      <w:r>
        <w:rPr>
          <w:rFonts w:ascii="宋体" w:hAnsi="宋体" w:cs="宋体" w:eastAsia="宋体" w:hint="default"/>
          <w:spacing w:val="-3"/>
          <w:sz w:val="18"/>
          <w:szCs w:val="18"/>
        </w:rPr>
        <w:t>其他金融工具划分为金融负债的依据说明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after="0" w:line="362"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物业公司本体维修金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145,609.62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240,821.69</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设定受益计划义务现值：</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设定受益计划净负债（净资产）</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设定受益计划的内容及与之相关风险、对公司未来现金流量、时间和不确定性的影响说明：</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设定受益计划重大精算假设及敏感性分析结果说明：</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其他说明，包括重要预计负债的相关重要假设、估计说明：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1" w:right="46" w:hanging="543"/>
              <w:jc w:val="left"/>
              <w:rPr>
                <w:rFonts w:ascii="宋体" w:hAnsi="宋体" w:cs="宋体" w:eastAsia="宋体" w:hint="default"/>
                <w:sz w:val="18"/>
                <w:szCs w:val="18"/>
              </w:rPr>
            </w:pPr>
            <w:r>
              <w:rPr>
                <w:rFonts w:ascii="宋体" w:hAnsi="宋体" w:cs="宋体" w:eastAsia="宋体" w:hint="default"/>
                <w:spacing w:val="-3"/>
                <w:sz w:val="18"/>
                <w:szCs w:val="18"/>
              </w:rPr>
              <w:t>本期新增补助金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6" w:hanging="270"/>
              <w:jc w:val="left"/>
              <w:rPr>
                <w:rFonts w:ascii="宋体" w:hAnsi="宋体" w:cs="宋体" w:eastAsia="宋体" w:hint="default"/>
                <w:sz w:val="18"/>
                <w:szCs w:val="18"/>
              </w:rPr>
            </w:pPr>
            <w:r>
              <w:rPr>
                <w:rFonts w:ascii="宋体" w:hAnsi="宋体" w:cs="宋体" w:eastAsia="宋体" w:hint="default"/>
                <w:spacing w:val="-3"/>
                <w:sz w:val="18"/>
                <w:szCs w:val="18"/>
              </w:rPr>
              <w:t>本期计入营业外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收入金额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08" w:right="17" w:hanging="38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与收</w:t>
            </w:r>
            <w:r>
              <w:rPr>
                <w:rFonts w:ascii="宋体" w:hAnsi="宋体" w:cs="宋体" w:eastAsia="宋体" w:hint="default"/>
                <w:spacing w:val="-71"/>
                <w:sz w:val="18"/>
                <w:szCs w:val="18"/>
              </w:rPr>
              <w:t> </w:t>
            </w:r>
            <w:r>
              <w:rPr>
                <w:rFonts w:ascii="宋体" w:hAnsi="宋体" w:cs="宋体" w:eastAsia="宋体" w:hint="default"/>
                <w:sz w:val="18"/>
                <w:szCs w:val="18"/>
              </w:rPr>
              <w:t>益相关</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6"/>
        <w:rPr>
          <w:rFonts w:ascii="宋体" w:hAnsi="宋体" w:cs="宋体" w:eastAsia="宋体" w:hint="default"/>
          <w:b/>
          <w:bCs/>
          <w:sz w:val="23"/>
          <w:szCs w:val="23"/>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本次变动增减（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357,973,531.00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357,973,531.00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6"/>
        <w:ind w:left="153" w:right="3360" w:firstLine="0"/>
        <w:jc w:val="left"/>
        <w:rPr>
          <w:rFonts w:ascii="宋体" w:hAnsi="宋体" w:cs="宋体" w:eastAsia="宋体" w:hint="default"/>
          <w:sz w:val="18"/>
          <w:szCs w:val="18"/>
        </w:rPr>
      </w:pPr>
      <w:r>
        <w:rPr>
          <w:rFonts w:ascii="宋体" w:hAnsi="宋体" w:cs="宋体" w:eastAsia="宋体" w:hint="default"/>
          <w:spacing w:val="-3"/>
          <w:sz w:val="18"/>
          <w:szCs w:val="18"/>
        </w:rPr>
        <w:t>其他权益工具本期增减变动情况、变动原因说明，以及相关会计处理的依据：</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其他说明：</w:t>
      </w:r>
    </w:p>
    <w:p>
      <w:pPr>
        <w:spacing w:after="0" w:line="357"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247,877,838.42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247,877,838.42</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392,848,967.19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392,848,967.19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108,963.64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108,963.64</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640,726,805.61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640,726,805.61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09"/>
        <w:gridCol w:w="1071"/>
        <w:gridCol w:w="936"/>
        <w:gridCol w:w="1152"/>
        <w:gridCol w:w="937"/>
        <w:gridCol w:w="936"/>
        <w:gridCol w:w="936"/>
        <w:gridCol w:w="795"/>
      </w:tblGrid>
      <w:tr>
        <w:trPr>
          <w:trHeight w:val="398" w:hRule="exact"/>
        </w:trPr>
        <w:tc>
          <w:tcPr>
            <w:tcW w:w="28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8" w:hRule="exact"/>
        </w:trPr>
        <w:tc>
          <w:tcPr>
            <w:tcW w:w="2809" w:type="dxa"/>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0" w:right="99"/>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 w:right="27"/>
              <w:jc w:val="both"/>
              <w:rPr>
                <w:rFonts w:ascii="宋体" w:hAnsi="宋体" w:cs="宋体" w:eastAsia="宋体" w:hint="default"/>
                <w:sz w:val="18"/>
                <w:szCs w:val="18"/>
              </w:rPr>
            </w:pPr>
            <w:r>
              <w:rPr>
                <w:rFonts w:ascii="宋体" w:hAnsi="宋体" w:cs="宋体" w:eastAsia="宋体" w:hint="default"/>
                <w:spacing w:val="-2"/>
                <w:sz w:val="18"/>
                <w:szCs w:val="18"/>
              </w:rPr>
              <w:t>减：前期计入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其他综合收益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当期转入损益</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83" w:right="17" w:hanging="260"/>
              <w:jc w:val="left"/>
              <w:rPr>
                <w:rFonts w:ascii="宋体" w:hAnsi="宋体" w:cs="宋体" w:eastAsia="宋体" w:hint="default"/>
                <w:sz w:val="18"/>
                <w:szCs w:val="18"/>
              </w:rPr>
            </w:pPr>
            <w:r>
              <w:rPr>
                <w:rFonts w:ascii="宋体" w:hAnsi="宋体" w:cs="宋体" w:eastAsia="宋体" w:hint="default"/>
                <w:spacing w:val="-6"/>
                <w:sz w:val="18"/>
                <w:szCs w:val="18"/>
              </w:rPr>
              <w:t>减：所得税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0" w:right="99"/>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95" w:type="dxa"/>
            <w:vMerge/>
            <w:tcBorders>
              <w:left w:val="single" w:sz="4" w:space="0" w:color="000000"/>
              <w:bottom w:val="single" w:sz="4" w:space="0" w:color="000000"/>
              <w:right w:val="single" w:sz="4" w:space="0" w:color="000000"/>
            </w:tcBorders>
            <w:shd w:val="clear" w:color="auto" w:fill="D2D2D2"/>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其他说明，包括对现金流量套期损益的有效部分转为被套期项目初始确认金额调整：</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65,738,593.50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65,738,593.50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65,738,593.50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20"/>
      </w:tblGrid>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-898,802,315.24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-960,273,520.98</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-898,802,315.24</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21,363,244.02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61,471,205.74</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-877,439,071.22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-898,802,315.24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、由于《企业会计准则》及其相关新规定进行追溯调整，影响期初未分配利润 </w:t>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2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、由于会计政策变更，影响期初未分配利润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455,584,992.51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408,261,246.71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504,863,979.93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444,217,590.56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2,478,361.09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801,679.09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4,191,722.71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1,284,641.99</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458,063,353.60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409,062,925.80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509,055,702.64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445,502,232.55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813,888.84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771,899.91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660,413.58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816,886.96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471,516.34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583,559.69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1,945,818.76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2,172,346.56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8,266,547.50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8,399,516.54</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办公、通讯、汽车等费用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1,238,328.33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1,341,908.78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2,839,004.55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3,728,105.82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1,246,953.26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1,597,104.61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2,291,887.85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2,267,517.77</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广告、促销费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2,839,547.00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4,355,439.66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429,701.95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982,409.31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1,655,000.00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2,005,928.54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商品维修费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441,919.02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1,460,529.65</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204,532.21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172,376.89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21,453,421.67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26,310,837.57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18,031,963.40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16,414,453.05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办公、通讯、汽车、水电、租赁等费用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5,953,149.23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4,168,362.45</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787,028.03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369,633.90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3,639,297.03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3,302,546.85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9,256,948.11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1,776,428.29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法律诉讼费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19,486.92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550,000.00</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1,693,867.68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1,257,101.87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无形资产和长期待摊费用摊销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545,826.30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910,766.28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研发及设计费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3,551,684.59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4,980,813.36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2,100,316.85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3,236,476.67</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45,579,568.14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36,966,582.72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294,359.39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588,306.96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247,188.09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253,074.74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-480,312.27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-33,075.80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222,015.45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207,555.31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-211,125.52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509,711.73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1,216,678.64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350,208.02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1,086,150.39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73,590.36</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2,302,829.03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473,798.38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20"/>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50,397,081.68</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15,001,000.24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14,444,717.52</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15,001,000.24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64,841,799.20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没收诚意金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32,077,120.00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32,077,120.00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300,071.85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21,121.90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300,071.85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25" w:right="0"/>
              <w:jc w:val="left"/>
              <w:rPr>
                <w:rFonts w:ascii="Times New Roman" w:hAnsi="Times New Roman" w:cs="Times New Roman" w:eastAsia="Times New Roman" w:hint="default"/>
                <w:sz w:val="18"/>
                <w:szCs w:val="18"/>
              </w:rPr>
            </w:pPr>
            <w:r>
              <w:rPr>
                <w:rFonts w:ascii="Times New Roman"/>
                <w:sz w:val="18"/>
              </w:rPr>
              <w:t>32,397,191.85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6" w:right="0"/>
              <w:jc w:val="left"/>
              <w:rPr>
                <w:rFonts w:ascii="Times New Roman" w:hAnsi="Times New Roman" w:cs="Times New Roman" w:eastAsia="Times New Roman" w:hint="default"/>
                <w:sz w:val="18"/>
                <w:szCs w:val="18"/>
              </w:rPr>
            </w:pPr>
            <w:r>
              <w:rPr>
                <w:rFonts w:ascii="Times New Roman"/>
                <w:sz w:val="18"/>
              </w:rPr>
              <w:t>1,261,121.90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25" w:right="0"/>
              <w:jc w:val="left"/>
              <w:rPr>
                <w:rFonts w:ascii="Times New Roman" w:hAnsi="Times New Roman" w:cs="Times New Roman" w:eastAsia="Times New Roman" w:hint="default"/>
                <w:sz w:val="18"/>
                <w:szCs w:val="18"/>
              </w:rPr>
            </w:pPr>
            <w:r>
              <w:rPr>
                <w:rFonts w:ascii="Times New Roman"/>
                <w:sz w:val="18"/>
              </w:rPr>
              <w:t>32,397,191.85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7" w:right="70" w:hanging="361"/>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与收益相关</w:t>
            </w:r>
          </w:p>
        </w:tc>
      </w:tr>
      <w:tr>
        <w:trPr>
          <w:trHeight w:val="10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种鸡孵化设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备的更新改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良种鸡生产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示范基地建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设</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优质鸡生产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示范基地建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设</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种鸡生物安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全控制系统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改造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种鸡生物安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全控制系统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改造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28"/>
              <w:jc w:val="left"/>
              <w:rPr>
                <w:rFonts w:ascii="宋体" w:hAnsi="宋体" w:cs="宋体" w:eastAsia="宋体" w:hint="default"/>
                <w:sz w:val="18"/>
                <w:szCs w:val="18"/>
              </w:rPr>
            </w:pPr>
            <w:r>
              <w:rPr>
                <w:rFonts w:ascii="宋体" w:hAnsi="宋体" w:cs="宋体" w:eastAsia="宋体" w:hint="default"/>
                <w:spacing w:val="-2"/>
                <w:sz w:val="18"/>
                <w:szCs w:val="18"/>
              </w:rPr>
              <w:t>农业综合开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发项目</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left"/>
              <w:rPr>
                <w:rFonts w:ascii="宋体" w:hAnsi="宋体" w:cs="宋体" w:eastAsia="宋体" w:hint="default"/>
                <w:sz w:val="18"/>
                <w:szCs w:val="18"/>
              </w:rPr>
            </w:pPr>
            <w:r>
              <w:rPr>
                <w:rFonts w:ascii="宋体" w:hAnsi="宋体" w:cs="宋体" w:eastAsia="宋体" w:hint="default"/>
                <w:spacing w:val="-2"/>
                <w:sz w:val="18"/>
                <w:szCs w:val="18"/>
              </w:rPr>
              <w:t>优质鸡养殖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生产建设</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left"/>
              <w:rPr>
                <w:rFonts w:ascii="宋体" w:hAnsi="宋体" w:cs="宋体" w:eastAsia="宋体" w:hint="default"/>
                <w:sz w:val="18"/>
                <w:szCs w:val="18"/>
              </w:rPr>
            </w:pPr>
            <w:r>
              <w:rPr>
                <w:rFonts w:ascii="宋体" w:hAnsi="宋体" w:cs="宋体" w:eastAsia="宋体" w:hint="default"/>
                <w:spacing w:val="-2"/>
                <w:sz w:val="18"/>
                <w:szCs w:val="18"/>
              </w:rPr>
              <w:t>蛋鸡引进及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养殖项目</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left"/>
              <w:rPr>
                <w:rFonts w:ascii="宋体" w:hAnsi="宋体" w:cs="宋体" w:eastAsia="宋体" w:hint="default"/>
                <w:sz w:val="18"/>
                <w:szCs w:val="18"/>
              </w:rPr>
            </w:pPr>
            <w:r>
              <w:rPr>
                <w:rFonts w:ascii="宋体" w:hAnsi="宋体" w:cs="宋体" w:eastAsia="宋体" w:hint="default"/>
                <w:spacing w:val="-2"/>
                <w:sz w:val="18"/>
                <w:szCs w:val="18"/>
              </w:rPr>
              <w:t>蛋鸡养殖项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8"/>
              <w:jc w:val="left"/>
              <w:rPr>
                <w:rFonts w:ascii="宋体" w:hAnsi="宋体" w:cs="宋体" w:eastAsia="宋体" w:hint="default"/>
                <w:sz w:val="18"/>
                <w:szCs w:val="18"/>
              </w:rPr>
            </w:pPr>
            <w:r>
              <w:rPr>
                <w:rFonts w:ascii="宋体" w:hAnsi="宋体" w:cs="宋体" w:eastAsia="宋体" w:hint="default"/>
                <w:spacing w:val="-2"/>
                <w:sz w:val="18"/>
                <w:szCs w:val="18"/>
              </w:rPr>
              <w:t>农业局奖励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1,240,000.00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0" w:right="0"/>
              <w:jc w:val="left"/>
              <w:rPr>
                <w:rFonts w:ascii="Times New Roman" w:hAnsi="Times New Roman" w:cs="Times New Roman" w:eastAsia="Times New Roman" w:hint="default"/>
                <w:sz w:val="18"/>
                <w:szCs w:val="18"/>
              </w:rPr>
            </w:pPr>
            <w:r>
              <w:rPr>
                <w:rFonts w:ascii="Times New Roman"/>
                <w:sz w:val="18"/>
              </w:rPr>
              <w:t>252,908.25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37,815.50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0" w:right="0"/>
              <w:jc w:val="left"/>
              <w:rPr>
                <w:rFonts w:ascii="Times New Roman" w:hAnsi="Times New Roman" w:cs="Times New Roman" w:eastAsia="Times New Roman" w:hint="default"/>
                <w:sz w:val="18"/>
                <w:szCs w:val="18"/>
              </w:rPr>
            </w:pPr>
            <w:r>
              <w:rPr>
                <w:rFonts w:ascii="Times New Roman"/>
                <w:sz w:val="18"/>
              </w:rPr>
              <w:t>252,908.25</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252,908.25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37,815.50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252,908.25</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滞纳金、罚款支出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218,536.89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218,536.89</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核销资产损失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291,338.00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291,338.00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20,003.09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72,359.86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20,003.09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782,786.23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110,175.36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782,786.23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3,182,077.56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1,641,733.13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3,182,077.56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1,641,733.13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24,545,321.58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3,182,077.56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3,182,077.56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3,674,374.93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35,644,610.22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402,964.33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393,001.68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170,000.00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252,125.10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253,074.74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22,662.17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3,589.00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4,372,126.53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36,464,275.64</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4,929,917.15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4,013,338.82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498,176.40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400,627.20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9,875,333.14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10,762,252.65</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18,677,082.65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16,378,053.77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手续费等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222,015.45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207,555.31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20,003.09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59,667.96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34,222,527.88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31,821,495.71</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购买理财产品到期收回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136,460,000.00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245,230,000.00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136,460,000.00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245,230,000.00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收到的其他与投资活动有关的现金说明：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293,190,000.00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293,190,000.00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收到的其他与筹资活动有关的现金说明：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支付的其他与筹资活动有关的现金说明：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21,363,244.02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61,471,205.74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2,302,829.03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473,798.38</w:t>
            </w: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物资产折旧</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6,608,396.33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5,351,996.05</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200,082.13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186,024.24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1,019,605.96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679,555.60</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252,559.75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37,815.50</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348.50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294,359.39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588,306.96</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-15,001,000.24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-64,841,799.20</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-3,342,641.66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-45,304,402.21</w:t>
            </w:r>
          </w:p>
        </w:tc>
      </w:tr>
      <w:tr>
        <w:trPr>
          <w:trHeight w:val="71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6,769,855.44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-47,186,910.20</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-33,969,995.20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60,391,261.15</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-13,502,356.55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-28,153,147.99</w:t>
            </w:r>
          </w:p>
        </w:tc>
      </w:tr>
      <w:tr>
        <w:trPr>
          <w:trHeight w:val="158" w:hRule="exact"/>
        </w:trPr>
        <w:tc>
          <w:tcPr>
            <w:tcW w:w="3328"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24" w:right="13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28"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3328"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114,346,440.09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29,203,413.68</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29,203,413.68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58,652,039.12</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85,143,026.41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-29,448,625.44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114,346,440.09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29,203,413.68</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1,549,846.42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1,209,924.81</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86,165,837.39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27,364,709.79</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26,630,756.28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628,779.08</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114,346,440.09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29,203,413.68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line="547" w:lineRule="auto" w:before="0"/>
        <w:ind w:left="153" w:right="15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spacing w:val="-100"/>
          <w:sz w:val="21"/>
          <w:szCs w:val="21"/>
        </w:rPr>
        <w:t> </w:t>
      </w:r>
      <w:r>
        <w:rPr>
          <w:rFonts w:ascii="宋体" w:hAnsi="宋体" w:cs="宋体" w:eastAsia="宋体" w:hint="default"/>
          <w:spacing w:val="-3"/>
          <w:sz w:val="18"/>
          <w:szCs w:val="18"/>
        </w:rPr>
        <w:t>说明对上年期末余额进行调整的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项目名称及调整金额等事项：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7"/>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4,175,319.93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用于借款抵押</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4,175,319.93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328.36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275.09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424,398.29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2,755,872.71</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50,623.40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42,412.28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2,228.50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1,867.04</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388.59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2,523.35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246,483.83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206,504.15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8,622.58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55,991.58</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30,930.00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219,454.54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56" w:lineRule="auto" w:before="118"/>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按照套期类别披露套期项目及相关套期工具、被套期风险的定性和定量信息：</w:t>
      </w:r>
    </w:p>
    <w:p>
      <w:pPr>
        <w:spacing w:line="240" w:lineRule="auto" w:before="4"/>
        <w:rPr>
          <w:rFonts w:ascii="宋体" w:hAnsi="宋体" w:cs="宋体" w:eastAsia="宋体" w:hint="default"/>
          <w:sz w:val="26"/>
          <w:szCs w:val="26"/>
        </w:rPr>
      </w:pPr>
    </w:p>
    <w:p>
      <w:pPr>
        <w:spacing w:line="487" w:lineRule="auto" w:before="0"/>
        <w:ind w:left="153" w:right="7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0"/>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7"/>
          <w:szCs w:val="27"/>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67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被购买方名</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股权取得时</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股权取得成</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股权取得比</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股权取得方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购买日的确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p>
        </w:tc>
      </w:tr>
    </w:tbl>
    <w:p>
      <w:pPr>
        <w:spacing w:after="0" w:line="312"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36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称</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w w:val="101"/>
                <w:sz w:val="18"/>
                <w:szCs w:val="18"/>
              </w:rPr>
              <w:t>点</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w w:val="101"/>
                <w:sz w:val="18"/>
                <w:szCs w:val="18"/>
              </w:rPr>
              <w:t>本</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 w:right="0"/>
              <w:jc w:val="center"/>
              <w:rPr>
                <w:rFonts w:ascii="宋体" w:hAnsi="宋体" w:cs="宋体" w:eastAsia="宋体" w:hint="default"/>
                <w:sz w:val="18"/>
                <w:szCs w:val="18"/>
              </w:rPr>
            </w:pPr>
            <w:r>
              <w:rPr>
                <w:rFonts w:ascii="宋体" w:hAnsi="宋体" w:cs="宋体" w:eastAsia="宋体" w:hint="default"/>
                <w:w w:val="101"/>
                <w:sz w:val="18"/>
                <w:szCs w:val="18"/>
              </w:rPr>
              <w:t>式</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59"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59" w:right="0"/>
              <w:jc w:val="left"/>
              <w:rPr>
                <w:rFonts w:ascii="宋体" w:hAnsi="宋体" w:cs="宋体" w:eastAsia="宋体" w:hint="default"/>
                <w:sz w:val="18"/>
                <w:szCs w:val="18"/>
              </w:rPr>
            </w:pP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68" w:right="0"/>
              <w:jc w:val="left"/>
              <w:rPr>
                <w:rFonts w:ascii="宋体" w:hAnsi="宋体" w:cs="宋体" w:eastAsia="宋体" w:hint="default"/>
                <w:sz w:val="18"/>
                <w:szCs w:val="18"/>
              </w:rPr>
            </w:pPr>
            <w:r>
              <w:rPr>
                <w:rFonts w:ascii="宋体" w:hAnsi="宋体" w:cs="宋体" w:eastAsia="宋体" w:hint="default"/>
                <w:sz w:val="18"/>
                <w:szCs w:val="18"/>
              </w:rPr>
              <w:t>的净利润</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4764;top:19;width:24;height:389" coordorigin="4764,19" coordsize="24,389">
              <v:shape style="position:absolute;left:4764;top:19;width:24;height:389" coordorigin="4764,19" coordsize="24,389" path="m4764,408l4788,408,4788,19,4764,19,4764,408xe" filled="true" fillcolor="#d2d2d2" stroked="false">
                <v:path arrowok="t"/>
                <v:fill type="solid"/>
              </v:shape>
            </v:group>
            <v:group style="position:absolute;left:10;top:19;width:24;height:389" coordorigin="10,19" coordsize="24,389">
              <v:shape style="position:absolute;left:10;top:19;width:24;height:389" coordorigin="10,19" coordsize="24,389" path="m10,408l34,408,34,19,10,19,10,408xe" filled="true" fillcolor="#d2d2d2" stroked="false">
                <v:path arrowok="t"/>
                <v:fill type="solid"/>
              </v:shape>
            </v:group>
            <v:group style="position:absolute;left:34;top:19;width:4730;height:389" coordorigin="34,19" coordsize="4730,389">
              <v:shape style="position:absolute;left:34;top:19;width:4730;height:389" coordorigin="34,19" coordsize="4730,389" path="m34,408l4764,408,4764,19,34,19,34,408xe" filled="true" fillcolor="#d2d2d2" stroked="false">
                <v:path arrowok="t"/>
                <v:fill type="solid"/>
              </v:shape>
            </v:group>
            <v:group style="position:absolute;left:4797;top:19;width:24;height:389" coordorigin="4797,19" coordsize="24,389">
              <v:shape style="position:absolute;left:4797;top:19;width:24;height:389" coordorigin="4797,19" coordsize="24,389" path="m4797,408l4821,408,4821,19,4797,19,4797,408xe" filled="true" fillcolor="#e0ffff" stroked="false">
                <v:path arrowok="t"/>
                <v:fill type="solid"/>
              </v:shape>
            </v:group>
            <v:group style="position:absolute;left:9551;top:19;width:24;height:389" coordorigin="9551,19" coordsize="24,389">
              <v:shape style="position:absolute;left:9551;top:19;width:24;height:389" coordorigin="9551,19" coordsize="24,389" path="m9551,408l9575,408,9575,19,9551,19,9551,408xe" filled="true" fillcolor="#e0ffff" stroked="false">
                <v:path arrowok="t"/>
                <v:fill type="solid"/>
              </v:shape>
            </v:group>
            <v:group style="position:absolute;left:4821;top:19;width:4730;height:389" coordorigin="4821,19" coordsize="4730,389">
              <v:shape style="position:absolute;left:4821;top:19;width:4730;height:389" coordorigin="4821,19" coordsize="4730,389" path="m4821,408l9551,408,9551,19,4821,19,4821,408xe" filled="true" fillcolor="#e0ffff"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pt" strokecolor="#000000">
                <v:path arrowok="t"/>
              </v:shape>
            </v:group>
            <v:group style="position:absolute;left:4797;top:10;width:4774;height:2" coordorigin="4797,10" coordsize="4774,2">
              <v:shape style="position:absolute;left:4797;top:10;width:4774;height:2" coordorigin="4797,10" coordsize="4774,0" path="m4797,10l9570,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8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4;height:2" coordorigin="4797,413" coordsize="4774,2">
              <v:shape style="position:absolute;left:4797;top:413;width:4774;height:2" coordorigin="4797,413" coordsize="4774,0" path="m4797,413l9570,413e" filled="false" stroked="true" strokeweight=".48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7998pt" strokecolor="#000000">
                <v:path arrowok="t"/>
              </v:shape>
              <v:shape style="position:absolute;left:5;top:10;width:4788;height:404" type="#_x0000_t202" filled="false" stroked="false">
                <v:textbox inset="0,0,0,0">
                  <w:txbxContent>
                    <w:p>
                      <w:pPr>
                        <w:spacing w:before="6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2" w:lineRule="auto" w:before="49"/>
        <w:ind w:left="153" w:right="4663" w:firstLine="0"/>
        <w:jc w:val="left"/>
        <w:rPr>
          <w:rFonts w:ascii="宋体" w:hAnsi="宋体" w:cs="宋体" w:eastAsia="宋体" w:hint="default"/>
          <w:sz w:val="18"/>
          <w:szCs w:val="18"/>
        </w:rPr>
      </w:pPr>
      <w:r>
        <w:rPr>
          <w:rFonts w:ascii="宋体" w:hAnsi="宋体" w:cs="宋体" w:eastAsia="宋体" w:hint="default"/>
          <w:spacing w:val="-3"/>
          <w:sz w:val="18"/>
          <w:szCs w:val="18"/>
        </w:rPr>
        <w:t>合并成本公允价值的确定方法、或有对价及其变动的说明：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大额商誉形成的主要原因：</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bl>
    <w:p>
      <w:pPr>
        <w:spacing w:line="360" w:lineRule="auto" w:before="53"/>
        <w:ind w:left="153" w:right="6543" w:firstLine="0"/>
        <w:jc w:val="both"/>
        <w:rPr>
          <w:rFonts w:ascii="宋体" w:hAnsi="宋体" w:cs="宋体" w:eastAsia="宋体" w:hint="default"/>
          <w:sz w:val="18"/>
          <w:szCs w:val="18"/>
        </w:rPr>
      </w:pPr>
      <w:r>
        <w:rPr>
          <w:rFonts w:ascii="宋体" w:hAnsi="宋体" w:cs="宋体" w:eastAsia="宋体" w:hint="default"/>
          <w:spacing w:val="-3"/>
          <w:sz w:val="18"/>
          <w:szCs w:val="18"/>
        </w:rPr>
        <w:t>可辨认资产、负债公允价值的确定方法：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企业合并中承担的被购买方的或有负债：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
        <w:rPr>
          <w:rFonts w:ascii="宋体" w:hAnsi="宋体" w:cs="宋体" w:eastAsia="宋体" w:hint="default"/>
          <w:b/>
          <w:bCs/>
          <w:sz w:val="27"/>
          <w:szCs w:val="27"/>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34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被合并方名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0"/>
              <w:jc w:val="center"/>
              <w:rPr>
                <w:rFonts w:ascii="宋体" w:hAnsi="宋体" w:cs="宋体" w:eastAsia="宋体" w:hint="default"/>
                <w:sz w:val="18"/>
                <w:szCs w:val="18"/>
              </w:rPr>
            </w:pPr>
            <w:r>
              <w:rPr>
                <w:rFonts w:ascii="宋体" w:hAnsi="宋体" w:cs="宋体" w:eastAsia="宋体" w:hint="default"/>
                <w:spacing w:val="-2"/>
                <w:sz w:val="18"/>
                <w:szCs w:val="18"/>
              </w:rPr>
              <w:t>企业合并中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取得的权益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pacing w:val="-2"/>
                <w:sz w:val="18"/>
                <w:szCs w:val="18"/>
              </w:rPr>
              <w:t>构成同一控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制下企业合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并的依据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合并日的确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5"/>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初至合并日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5"/>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5"/>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3"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4764;top:15;width:24;height:395" coordorigin="4764,15" coordsize="24,395">
              <v:shape style="position:absolute;left:4764;top:15;width:24;height:395" coordorigin="4764,15" coordsize="24,395" path="m4764,409l4788,409,4788,15,4764,15,4764,409xe" filled="true" fillcolor="#d2d2d2" stroked="false">
                <v:path arrowok="t"/>
                <v:fill type="solid"/>
              </v:shape>
            </v:group>
            <v:group style="position:absolute;left:10;top:15;width:24;height:395" coordorigin="10,15" coordsize="24,395">
              <v:shape style="position:absolute;left:10;top:15;width:24;height:395" coordorigin="10,15" coordsize="24,395" path="m10,409l34,409,34,15,10,15,10,409xe" filled="true" fillcolor="#d2d2d2" stroked="false">
                <v:path arrowok="t"/>
                <v:fill type="solid"/>
              </v:shape>
            </v:group>
            <v:group style="position:absolute;left:34;top:15;width:4730;height:395" coordorigin="34,15" coordsize="4730,395">
              <v:shape style="position:absolute;left:34;top:15;width:4730;height:395" coordorigin="34,15" coordsize="4730,395" path="m34,409l4764,409,4764,15,34,15,34,409xe" filled="true" fillcolor="#d2d2d2" stroked="false">
                <v:path arrowok="t"/>
                <v:fill type="solid"/>
              </v:shape>
            </v:group>
            <v:group style="position:absolute;left:4797;top:15;width:24;height:395" coordorigin="4797,15" coordsize="24,395">
              <v:shape style="position:absolute;left:4797;top:15;width:24;height:395" coordorigin="4797,15" coordsize="24,395" path="m4797,409l4821,409,4821,15,4797,15,4797,409xe" filled="true" fillcolor="#e0ffff" stroked="false">
                <v:path arrowok="t"/>
                <v:fill type="solid"/>
              </v:shape>
            </v:group>
            <v:group style="position:absolute;left:9551;top:15;width:24;height:395" coordorigin="9551,15" coordsize="24,395">
              <v:shape style="position:absolute;left:9551;top:15;width:24;height:395" coordorigin="9551,15" coordsize="24,395" path="m9551,409l9575,409,9575,15,9551,15,9551,409xe" filled="true" fillcolor="#e0ffff" stroked="false">
                <v:path arrowok="t"/>
                <v:fill type="solid"/>
              </v:shape>
            </v:group>
            <v:group style="position:absolute;left:4821;top:15;width:4730;height:395" coordorigin="4821,15" coordsize="4730,395">
              <v:shape style="position:absolute;left:4821;top:15;width:4730;height:395" coordorigin="4821,15" coordsize="4730,395" path="m4821,409l9551,409,9551,15,4821,15,4821,409xe" filled="true" fillcolor="#e0ffff"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pt" strokecolor="#000000">
                <v:path arrowok="t"/>
              </v:shape>
            </v:group>
            <v:group style="position:absolute;left:4797;top:10;width:4774;height:2" coordorigin="4797,10" coordsize="4774,2">
              <v:shape style="position:absolute;left:4797;top:10;width:4774;height:2" coordorigin="4797,10" coordsize="4774,0" path="m4797,10l9570,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8pt" strokecolor="#000000">
                <v:path arrowok="t"/>
              </v:shape>
            </v:group>
            <v:group style="position:absolute;left:4792;top:5;width:2;height:414" coordorigin="4792,5" coordsize="2,414">
              <v:shape style="position:absolute;left:4792;top:5;width:2;height:414" coordorigin="4792,5" coordsize="0,414" path="m4792,5l4792,418e" filled="false" stroked="true" strokeweight=".48001pt" strokecolor="#000000">
                <v:path arrowok="t"/>
              </v:shape>
            </v:group>
            <v:group style="position:absolute;left:4797;top:413;width:4774;height:2" coordorigin="4797,413" coordsize="4774,2">
              <v:shape style="position:absolute;left:4797;top:413;width:4774;height:2" coordorigin="4797,413" coordsize="4774,0" path="m4797,413l9570,413e" filled="false" stroked="true" strokeweight=".48pt" strokecolor="#000000">
                <v:path arrowok="t"/>
              </v:shape>
            </v:group>
            <v:group style="position:absolute;left:9575;top:5;width:2;height:414" coordorigin="9575,5" coordsize="2,414">
              <v:shape style="position:absolute;left:9575;top:5;width:2;height:414" coordorigin="9575,5" coordsize="0,414" path="m9575,5l9575,418e" filled="false" stroked="true" strokeweight=".47998pt" strokecolor="#000000">
                <v:path arrowok="t"/>
              </v:shape>
              <v:shape style="position:absolute;left:5;top:10;width:4788;height:404" type="#_x0000_t202" filled="false" stroked="false">
                <v:textbox inset="0,0,0,0">
                  <w:txbxContent>
                    <w:p>
                      <w:pPr>
                        <w:spacing w:before="59"/>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2" w:lineRule="auto" w:before="49"/>
        <w:ind w:left="153" w:right="7055" w:firstLine="0"/>
        <w:jc w:val="left"/>
        <w:rPr>
          <w:rFonts w:ascii="宋体" w:hAnsi="宋体" w:cs="宋体" w:eastAsia="宋体" w:hint="default"/>
          <w:sz w:val="18"/>
          <w:szCs w:val="18"/>
        </w:rPr>
      </w:pPr>
      <w:r>
        <w:rPr>
          <w:rFonts w:ascii="宋体" w:hAnsi="宋体" w:cs="宋体" w:eastAsia="宋体" w:hint="default"/>
          <w:spacing w:val="-3"/>
          <w:sz w:val="18"/>
          <w:szCs w:val="18"/>
        </w:rPr>
        <w:t>或有对价及其变动的说明：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825"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25pt;height:41.3pt;mso-position-horizontal-relative:char;mso-position-vertical-relative:line" coordorigin="0,0" coordsize="9585,826">
            <v:group style="position:absolute;left:3169;top:14;width:24;height:394" coordorigin="3169,14" coordsize="24,394">
              <v:shape style="position:absolute;left:3169;top:14;width:24;height:394" coordorigin="3169,14" coordsize="24,394" path="m3169,408l3193,408,3193,14,3169,14,3169,408xe" filled="true" fillcolor="#d2d2d2" stroked="false">
                <v:path arrowok="t"/>
                <v:fill type="solid"/>
              </v:shape>
            </v:group>
            <v:group style="position:absolute;left:10;top:14;width:24;height:394" coordorigin="10,14" coordsize="24,394">
              <v:shape style="position:absolute;left:10;top:14;width:24;height:394" coordorigin="10,14" coordsize="24,394" path="m10,408l34,408,34,14,10,14,10,408xe" filled="true" fillcolor="#d2d2d2" stroked="false">
                <v:path arrowok="t"/>
                <v:fill type="solid"/>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03;top:14;width:24;height:394" coordorigin="3203,14" coordsize="24,394">
              <v:shape style="position:absolute;left:3203;top:14;width:24;height:394" coordorigin="3203,14" coordsize="24,394" path="m3203,408l3227,408,3227,14,3203,14,3203,408xe" filled="true" fillcolor="#e0ffff" stroked="false">
                <v:path arrowok="t"/>
                <v:fill type="solid"/>
              </v:shape>
            </v:group>
            <v:group style="position:absolute;left:9551;top:14;width:24;height:394" coordorigin="9551,14" coordsize="24,394">
              <v:shape style="position:absolute;left:9551;top:14;width:24;height:394" coordorigin="9551,14" coordsize="24,394" path="m9551,408l9575,408,9575,14,9551,14,9551,408xe" filled="true" fillcolor="#e0ffff" stroked="false">
                <v:path arrowok="t"/>
                <v:fill type="solid"/>
              </v:shape>
            </v:group>
            <v:group style="position:absolute;left:3227;top:14;width:6324;height:394" coordorigin="3227,14" coordsize="6324,394">
              <v:shape style="position:absolute;left:3227;top:14;width:6324;height:394" coordorigin="3227,14" coordsize="6324,394" path="m3227,408l9551,408,9551,14,3227,14,3227,408xe" filled="true" fillcolor="#e0ffff" stroked="false">
                <v:path arrowok="t"/>
                <v:fill type="solid"/>
              </v:shape>
            </v:group>
            <v:group style="position:absolute;left:10;top:10;width:3184;height:2" coordorigin="10,10" coordsize="3184,2">
              <v:shape style="position:absolute;left:10;top:10;width:3184;height:2" coordorigin="10,10" coordsize="3184,0" path="m10,10l3193,10e" filled="false" stroked="true" strokeweight=".48pt" strokecolor="#000000">
                <v:path arrowok="t"/>
              </v:shape>
            </v:group>
            <v:group style="position:absolute;left:3203;top:10;width:6372;height:2" coordorigin="3203,10" coordsize="6372,2">
              <v:shape style="position:absolute;left:3203;top:10;width:6372;height:2" coordorigin="3203,10" coordsize="6372,0" path="m3203,10l9575,10e" filled="false" stroked="true" strokeweight=".48pt" strokecolor="#000000">
                <v:path arrowok="t"/>
              </v:shape>
            </v:group>
            <v:group style="position:absolute;left:3169;top:418;width:24;height:394" coordorigin="3169,418" coordsize="24,394">
              <v:shape style="position:absolute;left:3169;top:418;width:24;height:394" coordorigin="3169,418" coordsize="24,394" path="m3169,811l3193,811,3193,418,3169,418,3169,811xe" filled="true" fillcolor="#d2d2d2" stroked="false">
                <v:path arrowok="t"/>
                <v:fill type="solid"/>
              </v:shape>
            </v:group>
            <v:group style="position:absolute;left:10;top:418;width:24;height:394" coordorigin="10,418" coordsize="24,394">
              <v:shape style="position:absolute;left:10;top:418;width:24;height:394" coordorigin="10,418" coordsize="24,394" path="m10,811l34,811,34,418,10,418,10,811xe" filled="true" fillcolor="#d2d2d2" stroked="false">
                <v:path arrowok="t"/>
                <v:fill type="solid"/>
              </v:shape>
            </v:group>
            <v:group style="position:absolute;left:34;top:418;width:3136;height:394" coordorigin="34,418" coordsize="3136,394">
              <v:shape style="position:absolute;left:34;top:418;width:3136;height:394" coordorigin="34,418" coordsize="3136,394" path="m34,811l3169,811,3169,418,34,418,34,811xe" filled="true" fillcolor="#d2d2d2" stroked="false">
                <v:path arrowok="t"/>
                <v:fill type="solid"/>
              </v:shape>
            </v:group>
            <v:group style="position:absolute;left:6363;top:418;width:20;height:394" coordorigin="6363,418" coordsize="20,394">
              <v:shape style="position:absolute;left:6363;top:418;width:20;height:394" coordorigin="6363,418" coordsize="20,394" path="m6363,811l6382,811,6382,418,6363,418,6363,811xe" filled="true" fillcolor="#d2d2d2" stroked="false">
                <v:path arrowok="t"/>
                <v:fill type="solid"/>
              </v:shape>
            </v:group>
            <v:group style="position:absolute;left:3203;top:418;width:24;height:394" coordorigin="3203,418" coordsize="24,394">
              <v:shape style="position:absolute;left:3203;top:418;width:24;height:394" coordorigin="3203,418" coordsize="24,394" path="m3203,811l3227,811,3227,418,3203,418,3203,811xe" filled="true" fillcolor="#d2d2d2" stroked="false">
                <v:path arrowok="t"/>
                <v:fill type="solid"/>
              </v:shape>
            </v:group>
            <v:group style="position:absolute;left:3227;top:418;width:3136;height:394" coordorigin="3227,418" coordsize="3136,394">
              <v:shape style="position:absolute;left:3227;top:418;width:3136;height:394" coordorigin="3227,418" coordsize="3136,394" path="m3227,811l6363,811,6363,418,3227,418,3227,811xe" filled="true" fillcolor="#d2d2d2" stroked="false">
                <v:path arrowok="t"/>
                <v:fill type="solid"/>
              </v:shape>
            </v:group>
            <v:group style="position:absolute;left:9551;top:418;width:24;height:394" coordorigin="9551,418" coordsize="24,394">
              <v:shape style="position:absolute;left:9551;top:418;width:24;height:394" coordorigin="9551,418" coordsize="24,394" path="m9551,811l9575,811,9575,418,9551,418,9551,811xe" filled="true" fillcolor="#d2d2d2" stroked="false">
                <v:path arrowok="t"/>
                <v:fill type="solid"/>
              </v:shape>
            </v:group>
            <v:group style="position:absolute;left:6391;top:418;width:24;height:394" coordorigin="6391,418" coordsize="24,394">
              <v:shape style="position:absolute;left:6391;top:418;width:24;height:394" coordorigin="6391,418" coordsize="24,394" path="m6391,811l6415,811,6415,418,6391,418,6391,811xe" filled="true" fillcolor="#d2d2d2" stroked="false">
                <v:path arrowok="t"/>
                <v:fill type="solid"/>
              </v:shape>
            </v:group>
            <v:group style="position:absolute;left:6415;top:418;width:3136;height:394" coordorigin="6415,418" coordsize="3136,394">
              <v:shape style="position:absolute;left:6415;top:418;width:3136;height:394" coordorigin="6415,418" coordsize="3136,394" path="m6415,811l9551,811,9551,418,6415,418,6415,811xe" filled="true" fillcolor="#d2d2d2" stroked="false">
                <v:path arrowok="t"/>
                <v:fill type="solid"/>
              </v:shape>
            </v:group>
            <v:group style="position:absolute;left:10;top:413;width:3184;height:2" coordorigin="10,413" coordsize="3184,2">
              <v:shape style="position:absolute;left:10;top:413;width:3184;height:2" coordorigin="10,413" coordsize="3184,0" path="m10,413l3193,413e" filled="false" stroked="true" strokeweight=".48001pt" strokecolor="#000000">
                <v:path arrowok="t"/>
              </v:shape>
            </v:group>
            <v:group style="position:absolute;left:3203;top:413;width:3179;height:2" coordorigin="3203,413" coordsize="3179,2">
              <v:shape style="position:absolute;left:3203;top:413;width:3179;height:2" coordorigin="3203,413" coordsize="3179,0" path="m3203,413l6382,413e" filled="false" stroked="true" strokeweight=".48001pt" strokecolor="#000000">
                <v:path arrowok="t"/>
              </v:shape>
            </v:group>
            <v:group style="position:absolute;left:6391;top:413;width:3184;height:2" coordorigin="6391,413" coordsize="3184,2">
              <v:shape style="position:absolute;left:6391;top:413;width:3184;height:2" coordorigin="6391,413" coordsize="3184,0" path="m6391,413l9575,413e" filled="false" stroked="true" strokeweight=".48001pt" strokecolor="#000000">
                <v:path arrowok="t"/>
              </v:shape>
            </v:group>
            <v:group style="position:absolute;left:5;top:5;width:2;height:816" coordorigin="5,5" coordsize="2,816">
              <v:shape style="position:absolute;left:5;top:5;width:2;height:816" coordorigin="5,5" coordsize="0,816" path="m5,5l5,821e" filled="false" stroked="true" strokeweight=".48pt" strokecolor="#000000">
                <v:path arrowok="t"/>
              </v:shape>
            </v:group>
            <v:group style="position:absolute;left:10;top:816;width:3184;height:2" coordorigin="10,816" coordsize="3184,2">
              <v:shape style="position:absolute;left:10;top:816;width:3184;height:2" coordorigin="10,816" coordsize="3184,0" path="m10,816l3193,816e" filled="false" stroked="true" strokeweight=".48001pt" strokecolor="#000000">
                <v:path arrowok="t"/>
              </v:shape>
            </v:group>
            <v:group style="position:absolute;left:3198;top:5;width:2;height:816" coordorigin="3198,5" coordsize="2,816">
              <v:shape style="position:absolute;left:3198;top:5;width:2;height:816" coordorigin="3198,5" coordsize="0,816" path="m3198,5l3198,821e" filled="false" stroked="true" strokeweight=".48pt" strokecolor="#000000">
                <v:path arrowok="t"/>
              </v:shape>
            </v:group>
            <v:group style="position:absolute;left:3203;top:816;width:3179;height:2" coordorigin="3203,816" coordsize="3179,2">
              <v:shape style="position:absolute;left:3203;top:816;width:3179;height:2" coordorigin="3203,816" coordsize="3179,0" path="m3203,816l6382,816e" filled="false" stroked="true" strokeweight=".48001pt" strokecolor="#000000">
                <v:path arrowok="t"/>
              </v:shape>
            </v:group>
            <v:group style="position:absolute;left:6386;top:408;width:2;height:413" coordorigin="6386,408" coordsize="2,413">
              <v:shape style="position:absolute;left:6386;top:408;width:2;height:413" coordorigin="6386,408" coordsize="0,413" path="m6386,408l6386,821e" filled="false" stroked="true" strokeweight=".48001pt" strokecolor="#000000">
                <v:path arrowok="t"/>
              </v:shape>
            </v:group>
            <v:group style="position:absolute;left:6391;top:816;width:3184;height:2" coordorigin="6391,816" coordsize="3184,2">
              <v:shape style="position:absolute;left:6391;top:816;width:3184;height:2" coordorigin="6391,816" coordsize="3184,0" path="m6391,816l9575,816e" filled="false" stroked="true" strokeweight=".48001pt" strokecolor="#000000">
                <v:path arrowok="t"/>
              </v:shape>
            </v:group>
            <v:group style="position:absolute;left:9580;top:5;width:2;height:816" coordorigin="9580,5" coordsize="2,816">
              <v:shape style="position:absolute;left:9580;top:5;width:2;height:816" coordorigin="9580,5" coordsize="0,816" path="m9580,5l9580,821e" filled="false" stroked="true" strokeweight=".47998pt" strokecolor="#000000">
                <v:path arrowok="t"/>
              </v:shape>
              <v:shape style="position:absolute;left:3198;top:413;width:3188;height:404"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3;width:3194;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357" w:lineRule="auto" w:before="50"/>
        <w:ind w:left="153" w:right="5725" w:firstLine="0"/>
        <w:jc w:val="left"/>
        <w:rPr>
          <w:rFonts w:ascii="宋体" w:hAnsi="宋体" w:cs="宋体" w:eastAsia="宋体" w:hint="default"/>
          <w:sz w:val="18"/>
          <w:szCs w:val="18"/>
        </w:rPr>
      </w:pPr>
      <w:r>
        <w:rPr>
          <w:rFonts w:ascii="宋体" w:hAnsi="宋体" w:cs="宋体" w:eastAsia="宋体" w:hint="default"/>
          <w:spacing w:val="-3"/>
          <w:sz w:val="18"/>
          <w:szCs w:val="18"/>
        </w:rPr>
        <w:t>企业合并中承担的被合并方的或有负债：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spacing w:line="321"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交易基本信息、交易构成反向购买的依据、上市公司保留的资产、负债是否构成业务及其依据、合并成本的确定、按照权益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性交易处理时调整权益的金额及其计算：</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line="343" w:lineRule="auto" w:before="115"/>
        <w:ind w:left="153" w:right="3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是否存在通过多次交易分步处置对子公司投资且在本期丧失控制权的情形</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说明其他原因导致的合并范围变动（如，新设子公司、清算子公司等）及其相关情况：</w:t>
      </w:r>
    </w:p>
    <w:p>
      <w:pPr>
        <w:spacing w:line="240" w:lineRule="auto" w:before="8"/>
        <w:rPr>
          <w:rFonts w:ascii="宋体" w:hAnsi="宋体" w:cs="宋体" w:eastAsia="宋体" w:hint="default"/>
          <w:sz w:val="26"/>
          <w:szCs w:val="26"/>
        </w:rPr>
      </w:pPr>
    </w:p>
    <w:p>
      <w:pPr>
        <w:spacing w:line="484" w:lineRule="auto" w:before="0"/>
        <w:ind w:left="153"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7"/>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8"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深圳市深信西部</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1" w:right="0"/>
              <w:jc w:val="left"/>
              <w:rPr>
                <w:rFonts w:ascii="Times New Roman" w:hAnsi="Times New Roman" w:cs="Times New Roman" w:eastAsia="Times New Roman" w:hint="default"/>
                <w:sz w:val="18"/>
                <w:szCs w:val="18"/>
              </w:rPr>
            </w:pPr>
            <w:r>
              <w:rPr>
                <w:rFonts w:ascii="Times New Roman"/>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房地产有限公司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深圳市深信泰丰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投资发展有限公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4"/>
                <w:sz w:val="18"/>
                <w:szCs w:val="18"/>
              </w:rPr>
              <w:t>深圳市</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出租物业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深圳市华宝（集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团）饲料有限公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深圳市龙岗区华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宝经济发展有限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种殖果树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深圳市华宝西部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物业管理有限公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深圳市汇德祥贸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易有限公司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商品贸易</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惠州市华宝饲料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设立和投资</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深圳市泰丰科技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生产电子产品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并</w:t>
            </w:r>
          </w:p>
        </w:tc>
      </w:tr>
    </w:tbl>
    <w:p>
      <w:pPr>
        <w:spacing w:line="360"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在子公司的持股比例不同于表决权比例的说明：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持有半数或以下表决权但仍控制被投资单位、以及持有半数以上表决权但不控制被投资单位的依据：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对于纳入合并范围的重要的结构化主体，控制的依据：</w:t>
      </w:r>
    </w:p>
    <w:p>
      <w:pPr>
        <w:spacing w:line="357" w:lineRule="auto" w:before="25"/>
        <w:ind w:left="153" w:right="5905" w:firstLine="0"/>
        <w:jc w:val="left"/>
        <w:rPr>
          <w:rFonts w:ascii="宋体" w:hAnsi="宋体" w:cs="宋体" w:eastAsia="宋体" w:hint="default"/>
          <w:sz w:val="18"/>
          <w:szCs w:val="18"/>
        </w:rPr>
      </w:pPr>
      <w:r>
        <w:rPr>
          <w:rFonts w:ascii="宋体" w:hAnsi="宋体" w:cs="宋体" w:eastAsia="宋体" w:hint="default"/>
          <w:spacing w:val="-3"/>
          <w:sz w:val="18"/>
          <w:szCs w:val="18"/>
        </w:rPr>
        <w:t>确定公司是代理人还是委托人的依据：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62" w:lineRule="auto" w:before="54"/>
        <w:ind w:left="153" w:right="4663" w:firstLine="0"/>
        <w:jc w:val="left"/>
        <w:rPr>
          <w:rFonts w:ascii="宋体" w:hAnsi="宋体" w:cs="宋体" w:eastAsia="宋体" w:hint="default"/>
          <w:sz w:val="18"/>
          <w:szCs w:val="18"/>
        </w:rPr>
      </w:pPr>
      <w:r>
        <w:rPr>
          <w:rFonts w:ascii="宋体" w:hAnsi="宋体" w:cs="宋体" w:eastAsia="宋体" w:hint="default"/>
          <w:spacing w:val="-3"/>
          <w:sz w:val="18"/>
          <w:szCs w:val="18"/>
        </w:rPr>
        <w:t>子公司少数股东的持股比例不同于表决权比例的说明：</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9"/>
        <w:gridCol w:w="735"/>
        <w:gridCol w:w="734"/>
        <w:gridCol w:w="740"/>
        <w:gridCol w:w="735"/>
        <w:gridCol w:w="734"/>
        <w:gridCol w:w="735"/>
        <w:gridCol w:w="734"/>
        <w:gridCol w:w="735"/>
        <w:gridCol w:w="740"/>
        <w:gridCol w:w="734"/>
        <w:gridCol w:w="740"/>
      </w:tblGrid>
      <w:tr>
        <w:trPr>
          <w:trHeight w:val="398" w:hRule="exact"/>
        </w:trPr>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5" w:type="dxa"/>
            <w:vMerge/>
            <w:tcBorders>
              <w:left w:val="single" w:sz="4" w:space="0" w:color="000000"/>
              <w:bottom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4" w:right="89" w:hanging="179"/>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4"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bl>
    <w:p>
      <w:pPr>
        <w:spacing w:before="53"/>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36" w:right="74"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64"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4764;top:14;width:24;height:395" coordorigin="4764,14" coordsize="24,395">
              <v:shape style="position:absolute;left:4764;top:14;width:24;height:395" coordorigin="4764,14" coordsize="24,395" path="m4764,408l4788,408,4788,14,4764,14,4764,408xe" filled="true" fillcolor="#d2d2d2" stroked="false">
                <v:path arrowok="t"/>
                <v:fill type="solid"/>
              </v:shape>
            </v:group>
            <v:group style="position:absolute;left:10;top:14;width:24;height:395" coordorigin="10,14" coordsize="24,395">
              <v:shape style="position:absolute;left:10;top:14;width:24;height:395" coordorigin="10,14" coordsize="24,395" path="m10,408l34,408,34,14,10,14,10,408xe" filled="true" fillcolor="#d2d2d2" stroked="false">
                <v:path arrowok="t"/>
                <v:fill type="solid"/>
              </v:shape>
            </v:group>
            <v:group style="position:absolute;left:34;top:14;width:4730;height:395" coordorigin="34,14" coordsize="4730,395">
              <v:shape style="position:absolute;left:34;top:14;width:4730;height:395" coordorigin="34,14" coordsize="4730,395" path="m34,408l4764,408,4764,14,34,14,34,408xe" filled="true" fillcolor="#d2d2d2" stroked="false">
                <v:path arrowok="t"/>
                <v:fill type="solid"/>
              </v:shape>
            </v:group>
            <v:group style="position:absolute;left:4797;top:14;width:24;height:395" coordorigin="4797,14" coordsize="24,395">
              <v:shape style="position:absolute;left:4797;top:14;width:24;height:395" coordorigin="4797,14" coordsize="24,395" path="m4797,408l4821,408,4821,14,4797,14,4797,408xe" filled="true" fillcolor="#e0ffff" stroked="false">
                <v:path arrowok="t"/>
                <v:fill type="solid"/>
              </v:shape>
            </v:group>
            <v:group style="position:absolute;left:9551;top:14;width:24;height:395" coordorigin="9551,14" coordsize="24,395">
              <v:shape style="position:absolute;left:9551;top:14;width:24;height:395" coordorigin="9551,14" coordsize="24,395" path="m9551,408l9575,408,9575,14,9551,14,9551,408xe" filled="true" fillcolor="#e0ffff" stroked="false">
                <v:path arrowok="t"/>
                <v:fill type="solid"/>
              </v:shape>
            </v:group>
            <v:group style="position:absolute;left:4821;top:14;width:4730;height:395" coordorigin="4821,14" coordsize="4730,395">
              <v:shape style="position:absolute;left:4821;top:14;width:4730;height:395" coordorigin="4821,14" coordsize="4730,395" path="m4821,408l9551,408,9551,14,4821,14,4821,408xe" filled="true" fillcolor="#e0ffff"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1pt" strokecolor="#000000">
                <v:path arrowok="t"/>
              </v:shape>
            </v:group>
            <v:group style="position:absolute;left:4797;top:10;width:4774;height:2" coordorigin="4797,10" coordsize="4774,2">
              <v:shape style="position:absolute;left:4797;top:10;width:4774;height:2" coordorigin="4797,10" coordsize="4774,0" path="m4797,10l9570,10e" filled="false" stroked="true" strokeweight=".48001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8001pt" strokecolor="#000000">
                <v:path arrowok="t"/>
              </v:shape>
            </v:group>
            <v:group style="position:absolute;left:4792;top:5;width:2;height:414" coordorigin="4792,5" coordsize="2,414">
              <v:shape style="position:absolute;left:4792;top:5;width:2;height:414" coordorigin="4792,5" coordsize="0,414" path="m4792,5l4792,418e" filled="false" stroked="true" strokeweight=".48001pt" strokecolor="#000000">
                <v:path arrowok="t"/>
              </v:shape>
            </v:group>
            <v:group style="position:absolute;left:4797;top:413;width:4774;height:2" coordorigin="4797,413" coordsize="4774,2">
              <v:shape style="position:absolute;left:4797;top:413;width:4774;height:2" coordorigin="4797,413" coordsize="4774,0" path="m4797,413l9570,413e" filled="false" stroked="true" strokeweight=".48001pt" strokecolor="#000000">
                <v:path arrowok="t"/>
              </v:shape>
            </v:group>
            <v:group style="position:absolute;left:9575;top:5;width:2;height:414" coordorigin="9575,5" coordsize="2,414">
              <v:shape style="position:absolute;left:9575;top:5;width:2;height:414" coordorigin="9575,5" coordsize="0,414" path="m9575,5l9575,418e" filled="false" stroked="true" strokeweight=".47998pt" strokecolor="#000000">
                <v:path arrowok="t"/>
              </v:shape>
            </v:group>
          </v:group>
        </w:pict>
      </w:r>
      <w:r>
        <w:rPr>
          <w:rFonts w:ascii="宋体" w:hAnsi="宋体" w:cs="宋体" w:eastAsia="宋体" w:hint="default"/>
          <w:position w:val="-7"/>
          <w:sz w:val="20"/>
          <w:szCs w:val="20"/>
        </w:rPr>
      </w:r>
    </w:p>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计处理方法</w:t>
            </w:r>
          </w:p>
        </w:tc>
      </w:tr>
      <w:tr>
        <w:trPr>
          <w:trHeight w:val="625"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在合营企业或联营企业的持股比例不同于表决权比例的说明：</w:t>
      </w:r>
    </w:p>
    <w:p>
      <w:pPr>
        <w:spacing w:before="119"/>
        <w:ind w:left="153" w:right="0" w:firstLine="0"/>
        <w:jc w:val="left"/>
        <w:rPr>
          <w:rFonts w:ascii="宋体" w:hAnsi="宋体" w:cs="宋体" w:eastAsia="宋体" w:hint="default"/>
          <w:sz w:val="18"/>
          <w:szCs w:val="18"/>
        </w:rPr>
      </w:pPr>
      <w:r>
        <w:rPr>
          <w:rFonts w:ascii="宋体" w:hAnsi="宋体" w:cs="宋体" w:eastAsia="宋体" w:hint="default"/>
          <w:sz w:val="18"/>
          <w:szCs w:val="18"/>
        </w:rPr>
        <w:t>持有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以下表决权但具有重大影响，或者持有</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或以上表决权但不具有重大影响的依据：</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4"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3"/>
      </w:tblGrid>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52" w:right="17" w:hanging="629"/>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2" w:lineRule="auto" w:before="53"/>
        <w:ind w:left="153" w:right="1573" w:firstLine="0"/>
        <w:jc w:val="left"/>
        <w:rPr>
          <w:rFonts w:ascii="宋体" w:hAnsi="宋体" w:cs="宋体" w:eastAsia="宋体" w:hint="default"/>
          <w:sz w:val="18"/>
          <w:szCs w:val="18"/>
        </w:rPr>
      </w:pPr>
      <w:r>
        <w:rPr>
          <w:rFonts w:ascii="宋体" w:hAnsi="宋体" w:cs="宋体" w:eastAsia="宋体" w:hint="default"/>
          <w:spacing w:val="-3"/>
          <w:sz w:val="18"/>
          <w:szCs w:val="18"/>
        </w:rPr>
        <w:t>在共同经营中的持股比例或享有的份额不同于表决权比例的说明： 共同经营为单独主体的，分类为共同经营的依据：</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未纳入合并财务报表范围的结构化主体的相关说明：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2"/>
        <w:spacing w:line="475" w:lineRule="auto" w:before="36"/>
        <w:ind w:right="6879"/>
        <w:jc w:val="left"/>
        <w:rPr>
          <w:b w:val="0"/>
          <w:bCs w:val="0"/>
        </w:rPr>
      </w:pPr>
      <w:r>
        <w:rPr>
          <w:rFonts w:ascii="Times New Roman" w:hAnsi="Times New Roman" w:cs="Times New Roman" w:eastAsia="Times New Roman" w:hint="default"/>
          <w:sz w:val="21"/>
          <w:szCs w:val="21"/>
        </w:rPr>
        <w:t>6</w:t>
      </w:r>
      <w:r>
        <w:rPr>
          <w:sz w:val="21"/>
          <w:szCs w:val="21"/>
        </w:rPr>
        <w:t>、其他</w:t>
      </w:r>
      <w:r>
        <w:rPr>
          <w:w w:val="100"/>
          <w:sz w:val="21"/>
          <w:szCs w:val="21"/>
        </w:rPr>
        <w:t> </w:t>
      </w:r>
      <w:r>
        <w:rPr/>
        <w:t>十、与金融工具相关的风险</w:t>
      </w:r>
      <w:r>
        <w:rPr>
          <w:w w:val="99"/>
        </w:rPr>
        <w:t> </w:t>
      </w:r>
      <w:r>
        <w:rPr/>
        <w:t>十一、公允价值的披露</w:t>
      </w:r>
      <w:r>
        <w:rPr>
          <w:b w:val="0"/>
          <w:bCs w:val="0"/>
        </w:rPr>
      </w:r>
    </w:p>
    <w:p>
      <w:pPr>
        <w:pStyle w:val="Heading4"/>
        <w:spacing w:line="240" w:lineRule="auto" w:before="90"/>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2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710"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宋体" w:hAnsi="宋体" w:cs="宋体" w:eastAsia="宋体" w:hint="default"/>
          <w:b/>
          <w:bCs/>
          <w:sz w:val="24"/>
          <w:szCs w:val="24"/>
        </w:rPr>
      </w:pPr>
    </w:p>
    <w:p>
      <w:pPr>
        <w:spacing w:line="487" w:lineRule="auto" w:before="0"/>
        <w:ind w:left="153" w:right="7120" w:firstLine="0"/>
        <w:jc w:val="left"/>
        <w:rPr>
          <w:rFonts w:ascii="宋体" w:hAnsi="宋体" w:cs="宋体" w:eastAsia="宋体" w:hint="default"/>
          <w:sz w:val="21"/>
          <w:szCs w:val="21"/>
        </w:rPr>
      </w:pPr>
      <w:r>
        <w:rPr/>
        <w:pict>
          <v:shape style="position:absolute;margin-left:289.551514pt;margin-top:129.165665pt;width:86pt;height:79.95pt;mso-position-horizontal-relative:page;mso-position-vertical-relative:paragraph;z-index:-738352" type="#_x0000_t202" filled="false" stroked="false">
            <v:textbox inset="0,0,0,0">
              <w:txbxContent>
                <w:p>
                  <w:pPr>
                    <w:spacing w:before="54"/>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before="71"/>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96.279999pt;margin-top:129.165665pt;width:79.25pt;height:79.95pt;mso-position-horizontal-relative:page;mso-position-vertical-relative:paragraph;z-index:-738328" coordorigin="5926,2583" coordsize="1585,1599">
            <v:group style="position:absolute;left:5926;top:2583;width:1585;height:1599" coordorigin="5926,2583" coordsize="1585,1599">
              <v:shape style="position:absolute;left:5926;top:2583;width:1585;height:1599" coordorigin="5926,2583" coordsize="1585,1599" path="m5926,4182l7510,4182,7510,2583,5926,2583,5926,4182xe" filled="true" fillcolor="#ffffff" stroked="false">
                <v:path arrowok="t"/>
                <v:fill type="solid"/>
              </v:shape>
            </v:group>
            <v:group style="position:absolute;left:5950;top:3184;width:1537;height:394" coordorigin="5950,3184" coordsize="1537,394">
              <v:shape style="position:absolute;left:5950;top:3184;width:1537;height:394" coordorigin="5950,3184" coordsize="1537,394" path="m5950,3577l7486,3577,7486,3184,5950,3184,5950,3577xe" filled="true" fillcolor="#ffffff" stroked="false">
                <v:path arrowok="t"/>
                <v:fill type="solid"/>
              </v:shape>
            </v:group>
            <w10:wrap type="none"/>
          </v:group>
        </w:pic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9"/>
        <w:gridCol w:w="1594"/>
        <w:gridCol w:w="1595"/>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16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pacing w:val="-2"/>
                <w:sz w:val="18"/>
                <w:szCs w:val="18"/>
              </w:rPr>
              <w:t>中国希格玛有限公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9"/>
              <w:ind w:left="23" w:right="113"/>
              <w:jc w:val="both"/>
              <w:rPr>
                <w:rFonts w:ascii="宋体" w:hAnsi="宋体" w:cs="宋体" w:eastAsia="宋体" w:hint="default"/>
                <w:sz w:val="18"/>
                <w:szCs w:val="18"/>
              </w:rPr>
            </w:pPr>
            <w:r>
              <w:rPr>
                <w:rFonts w:ascii="宋体" w:hAnsi="宋体" w:cs="宋体" w:eastAsia="宋体" w:hint="default"/>
                <w:spacing w:val="-2"/>
                <w:sz w:val="18"/>
                <w:szCs w:val="18"/>
              </w:rPr>
              <w:t>高新技术、新工艺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新产品开发、生产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销售；化工原材料</w:t>
            </w:r>
          </w:p>
          <w:p>
            <w:pPr>
              <w:pStyle w:val="TableParagraph"/>
              <w:spacing w:line="316" w:lineRule="auto" w:before="20"/>
              <w:ind w:left="23" w:right="17"/>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危</w:t>
            </w:r>
            <w:r>
              <w:rPr>
                <w:rFonts w:ascii="宋体" w:hAnsi="宋体" w:cs="宋体" w:eastAsia="宋体" w:hint="default"/>
                <w:w w:val="101"/>
                <w:sz w:val="18"/>
                <w:szCs w:val="18"/>
              </w:rPr>
              <w:t>险</w:t>
            </w:r>
            <w:r>
              <w:rPr>
                <w:rFonts w:ascii="宋体" w:hAnsi="宋体" w:cs="宋体" w:eastAsia="宋体" w:hint="default"/>
                <w:spacing w:val="-5"/>
                <w:w w:val="101"/>
                <w:sz w:val="18"/>
                <w:szCs w:val="18"/>
              </w:rPr>
              <w:t>品</w:t>
            </w:r>
            <w:r>
              <w:rPr>
                <w:rFonts w:ascii="宋体" w:hAnsi="宋体" w:cs="宋体" w:eastAsia="宋体" w:hint="default"/>
                <w:w w:val="101"/>
                <w:sz w:val="18"/>
                <w:szCs w:val="18"/>
              </w:rPr>
              <w:t>除外</w:t>
            </w:r>
            <w:r>
              <w:rPr>
                <w:rFonts w:ascii="宋体" w:hAnsi="宋体" w:cs="宋体" w:eastAsia="宋体" w:hint="default"/>
                <w:spacing w:val="-96"/>
                <w:w w:val="101"/>
                <w:sz w:val="18"/>
                <w:szCs w:val="18"/>
              </w:rPr>
              <w:t>）</w:t>
            </w:r>
            <w:r>
              <w:rPr>
                <w:rFonts w:ascii="宋体" w:hAnsi="宋体" w:cs="宋体" w:eastAsia="宋体" w:hint="default"/>
                <w:w w:val="101"/>
                <w:sz w:val="18"/>
                <w:szCs w:val="18"/>
              </w:rPr>
              <w:t>、建</w:t>
            </w:r>
            <w:r>
              <w:rPr>
                <w:rFonts w:ascii="宋体" w:hAnsi="宋体" w:cs="宋体" w:eastAsia="宋体" w:hint="default"/>
                <w:w w:val="101"/>
                <w:sz w:val="18"/>
                <w:szCs w:val="18"/>
              </w:rPr>
              <w:t> 筑</w:t>
            </w:r>
            <w:r>
              <w:rPr>
                <w:rFonts w:ascii="宋体" w:hAnsi="宋体" w:cs="宋体" w:eastAsia="宋体" w:hint="default"/>
                <w:spacing w:val="-5"/>
                <w:w w:val="101"/>
                <w:sz w:val="18"/>
                <w:szCs w:val="18"/>
              </w:rPr>
              <w:t>材</w:t>
            </w:r>
            <w:r>
              <w:rPr>
                <w:rFonts w:ascii="宋体" w:hAnsi="宋体" w:cs="宋体" w:eastAsia="宋体" w:hint="default"/>
                <w:w w:val="101"/>
                <w:sz w:val="18"/>
                <w:szCs w:val="18"/>
              </w:rPr>
              <w:t>料</w:t>
            </w:r>
            <w:r>
              <w:rPr>
                <w:rFonts w:ascii="宋体" w:hAnsi="宋体" w:cs="宋体" w:eastAsia="宋体" w:hint="default"/>
                <w:spacing w:val="-87"/>
                <w:w w:val="101"/>
                <w:sz w:val="18"/>
                <w:szCs w:val="18"/>
              </w:rPr>
              <w:t>、</w:t>
            </w:r>
            <w:r>
              <w:rPr>
                <w:rFonts w:ascii="宋体" w:hAnsi="宋体" w:cs="宋体" w:eastAsia="宋体" w:hint="default"/>
                <w:w w:val="101"/>
                <w:sz w:val="18"/>
                <w:szCs w:val="18"/>
              </w:rPr>
              <w:t>计</w:t>
            </w:r>
            <w:r>
              <w:rPr>
                <w:rFonts w:ascii="宋体" w:hAnsi="宋体" w:cs="宋体" w:eastAsia="宋体" w:hint="default"/>
                <w:spacing w:val="-5"/>
                <w:w w:val="101"/>
                <w:sz w:val="18"/>
                <w:szCs w:val="18"/>
              </w:rPr>
              <w:t>算</w:t>
            </w:r>
            <w:r>
              <w:rPr>
                <w:rFonts w:ascii="宋体" w:hAnsi="宋体" w:cs="宋体" w:eastAsia="宋体" w:hint="default"/>
                <w:w w:val="101"/>
                <w:sz w:val="18"/>
                <w:szCs w:val="18"/>
              </w:rPr>
              <w:t>机</w:t>
            </w:r>
            <w:r>
              <w:rPr>
                <w:rFonts w:ascii="宋体" w:hAnsi="宋体" w:cs="宋体" w:eastAsia="宋体" w:hint="default"/>
                <w:spacing w:val="-5"/>
                <w:w w:val="101"/>
                <w:sz w:val="18"/>
                <w:szCs w:val="18"/>
              </w:rPr>
              <w:t>软</w:t>
            </w:r>
            <w:r>
              <w:rPr>
                <w:rFonts w:ascii="宋体" w:hAnsi="宋体" w:cs="宋体" w:eastAsia="宋体" w:hint="default"/>
                <w:w w:val="101"/>
                <w:sz w:val="18"/>
                <w:szCs w:val="18"/>
              </w:rPr>
              <w:t>硬</w:t>
            </w:r>
            <w:r>
              <w:rPr>
                <w:rFonts w:ascii="宋体" w:hAnsi="宋体" w:cs="宋体" w:eastAsia="宋体"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10,037</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21.88%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21.88%</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9"/>
        <w:gridCol w:w="1594"/>
        <w:gridCol w:w="1595"/>
      </w:tblGrid>
      <w:tr>
        <w:trPr>
          <w:trHeight w:val="316" w:hRule="exact"/>
        </w:trPr>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件、电子电器设备</w:t>
            </w:r>
          </w:p>
        </w:tc>
        <w:tc>
          <w:tcPr>
            <w:tcW w:w="1599" w:type="dxa"/>
            <w:vMerge w:val="restart"/>
            <w:tcBorders>
              <w:top w:val="single" w:sz="4" w:space="0" w:color="000000"/>
              <w:left w:val="single" w:sz="4" w:space="0" w:color="000000"/>
              <w:right w:val="single" w:sz="4" w:space="0" w:color="000000"/>
            </w:tcBorders>
          </w:tcPr>
          <w:p>
            <w:pPr>
              <w:pStyle w:val="TableParagraph"/>
              <w:spacing w:line="2534" w:lineRule="exact"/>
              <w:ind w:left="4" w:right="-51"/>
              <w:jc w:val="left"/>
              <w:rPr>
                <w:rFonts w:ascii="宋体" w:hAnsi="宋体" w:cs="宋体" w:eastAsia="宋体" w:hint="default"/>
                <w:sz w:val="20"/>
                <w:szCs w:val="20"/>
              </w:rPr>
            </w:pPr>
            <w:r>
              <w:rPr>
                <w:rFonts w:ascii="宋体" w:hAnsi="宋体" w:cs="宋体" w:eastAsia="宋体" w:hint="default"/>
                <w:position w:val="-50"/>
                <w:sz w:val="20"/>
                <w:szCs w:val="20"/>
              </w:rPr>
              <w:pict>
                <v:group style="width:79.25pt;height:126.75pt;mso-position-horizontal-relative:char;mso-position-vertical-relative:line" coordorigin="0,0" coordsize="1585,2535">
                  <v:group style="position:absolute;left:0;top:0;width:1585;height:2535" coordorigin="0,0" coordsize="1585,2535">
                    <v:shape style="position:absolute;left:0;top:0;width:1585;height:2535" coordorigin="0,0" coordsize="1585,2535" path="m0,2535l1584,2535,1584,0,0,0,0,2535xe" filled="true" fillcolor="#ffffff" stroked="false">
                      <v:path arrowok="t"/>
                      <v:fill type="solid"/>
                    </v:shape>
                  </v:group>
                </v:group>
              </w:pict>
            </w:r>
            <w:r>
              <w:rPr>
                <w:rFonts w:ascii="宋体" w:hAnsi="宋体" w:cs="宋体" w:eastAsia="宋体" w:hint="default"/>
                <w:position w:val="-50"/>
                <w:sz w:val="20"/>
                <w:szCs w:val="20"/>
              </w:rPr>
            </w: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有</w:t>
            </w:r>
            <w:r>
              <w:rPr>
                <w:rFonts w:ascii="宋体" w:hAnsi="宋体" w:cs="宋体" w:eastAsia="宋体" w:hint="default"/>
                <w:spacing w:val="-5"/>
                <w:w w:val="101"/>
                <w:sz w:val="18"/>
                <w:szCs w:val="18"/>
              </w:rPr>
              <w:t>线</w:t>
            </w:r>
            <w:r>
              <w:rPr>
                <w:rFonts w:ascii="宋体" w:hAnsi="宋体" w:cs="宋体" w:eastAsia="宋体" w:hint="default"/>
                <w:w w:val="101"/>
                <w:sz w:val="18"/>
                <w:szCs w:val="18"/>
              </w:rPr>
              <w:t>通</w:t>
            </w:r>
            <w:r>
              <w:rPr>
                <w:rFonts w:ascii="宋体" w:hAnsi="宋体" w:cs="宋体" w:eastAsia="宋体" w:hint="default"/>
                <w:spacing w:val="-5"/>
                <w:w w:val="101"/>
                <w:sz w:val="18"/>
                <w:szCs w:val="18"/>
              </w:rPr>
              <w:t>讯</w:t>
            </w:r>
            <w:r>
              <w:rPr>
                <w:rFonts w:ascii="宋体" w:hAnsi="宋体" w:cs="宋体" w:eastAsia="宋体" w:hint="default"/>
                <w:w w:val="101"/>
                <w:sz w:val="18"/>
                <w:szCs w:val="18"/>
              </w:rPr>
              <w:t>设</w:t>
            </w:r>
            <w:r>
              <w:rPr>
                <w:rFonts w:ascii="宋体" w:hAnsi="宋体" w:cs="宋体" w:eastAsia="宋体" w:hint="default"/>
                <w:spacing w:val="-5"/>
                <w:w w:val="101"/>
                <w:sz w:val="18"/>
                <w:szCs w:val="18"/>
              </w:rPr>
              <w:t>备</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机</w:t>
            </w:r>
            <w:r>
              <w:rPr>
                <w:rFonts w:ascii="宋体" w:hAnsi="宋体" w:cs="宋体" w:eastAsia="宋体" w:hint="default"/>
                <w:w w:val="101"/>
                <w:sz w:val="18"/>
                <w:szCs w:val="18"/>
              </w:rPr>
              <w:t>械</w:t>
            </w:r>
            <w:r>
              <w:rPr>
                <w:rFonts w:ascii="宋体" w:hAnsi="宋体" w:cs="宋体" w:eastAsia="宋体" w:hint="default"/>
                <w:sz w:val="18"/>
                <w:szCs w:val="18"/>
              </w:rPr>
            </w:r>
          </w:p>
        </w:tc>
        <w:tc>
          <w:tcPr>
            <w:tcW w:w="1599"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设备、家用电器开</w:t>
            </w:r>
          </w:p>
        </w:tc>
        <w:tc>
          <w:tcPr>
            <w:tcW w:w="1599"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12"/>
                <w:sz w:val="18"/>
                <w:szCs w:val="18"/>
              </w:rPr>
              <w:t>发、生产、销售；装</w:t>
            </w:r>
          </w:p>
        </w:tc>
        <w:tc>
          <w:tcPr>
            <w:tcW w:w="1599"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饰</w:t>
            </w:r>
            <w:r>
              <w:rPr>
                <w:rFonts w:ascii="宋体" w:hAnsi="宋体" w:cs="宋体" w:eastAsia="宋体" w:hint="default"/>
                <w:spacing w:val="-5"/>
                <w:w w:val="101"/>
                <w:sz w:val="18"/>
                <w:szCs w:val="18"/>
              </w:rPr>
              <w:t>装</w:t>
            </w:r>
            <w:r>
              <w:rPr>
                <w:rFonts w:ascii="宋体" w:hAnsi="宋体" w:cs="宋体" w:eastAsia="宋体" w:hint="default"/>
                <w:w w:val="101"/>
                <w:sz w:val="18"/>
                <w:szCs w:val="18"/>
              </w:rPr>
              <w:t>修</w:t>
            </w:r>
            <w:r>
              <w:rPr>
                <w:rFonts w:ascii="宋体" w:hAnsi="宋体" w:cs="宋体" w:eastAsia="宋体" w:hint="default"/>
                <w:spacing w:val="-5"/>
                <w:w w:val="101"/>
                <w:sz w:val="18"/>
                <w:szCs w:val="18"/>
              </w:rPr>
              <w:t>工</w:t>
            </w:r>
            <w:r>
              <w:rPr>
                <w:rFonts w:ascii="宋体" w:hAnsi="宋体" w:cs="宋体" w:eastAsia="宋体" w:hint="default"/>
                <w:w w:val="101"/>
                <w:sz w:val="18"/>
                <w:szCs w:val="18"/>
              </w:rPr>
              <w:t>程</w:t>
            </w:r>
            <w:r>
              <w:rPr>
                <w:rFonts w:ascii="宋体" w:hAnsi="宋体" w:cs="宋体" w:eastAsia="宋体" w:hint="default"/>
                <w:spacing w:val="-87"/>
                <w:w w:val="101"/>
                <w:sz w:val="18"/>
                <w:szCs w:val="18"/>
              </w:rPr>
              <w:t>；</w:t>
            </w:r>
            <w:r>
              <w:rPr>
                <w:rFonts w:ascii="宋体" w:hAnsi="宋体" w:cs="宋体" w:eastAsia="宋体" w:hint="default"/>
                <w:w w:val="101"/>
                <w:sz w:val="18"/>
                <w:szCs w:val="18"/>
              </w:rPr>
              <w:t>百</w:t>
            </w:r>
            <w:r>
              <w:rPr>
                <w:rFonts w:ascii="宋体" w:hAnsi="宋体" w:cs="宋体" w:eastAsia="宋体" w:hint="default"/>
                <w:spacing w:val="-5"/>
                <w:w w:val="101"/>
                <w:sz w:val="18"/>
                <w:szCs w:val="18"/>
              </w:rPr>
              <w:t>货</w:t>
            </w:r>
            <w:r>
              <w:rPr>
                <w:rFonts w:ascii="宋体" w:hAnsi="宋体" w:cs="宋体" w:eastAsia="宋体" w:hint="default"/>
                <w:w w:val="101"/>
                <w:sz w:val="18"/>
                <w:szCs w:val="18"/>
              </w:rPr>
              <w:t>的</w:t>
            </w:r>
            <w:r>
              <w:rPr>
                <w:rFonts w:ascii="宋体" w:hAnsi="宋体" w:cs="宋体" w:eastAsia="宋体" w:hint="default"/>
                <w:sz w:val="18"/>
                <w:szCs w:val="18"/>
              </w:rPr>
            </w:r>
          </w:p>
        </w:tc>
        <w:tc>
          <w:tcPr>
            <w:tcW w:w="1599"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销</w:t>
            </w:r>
            <w:r>
              <w:rPr>
                <w:rFonts w:ascii="宋体" w:hAnsi="宋体" w:cs="宋体" w:eastAsia="宋体" w:hint="default"/>
                <w:spacing w:val="-5"/>
                <w:w w:val="101"/>
                <w:sz w:val="18"/>
                <w:szCs w:val="18"/>
              </w:rPr>
              <w:t>售</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述</w:t>
            </w:r>
            <w:r>
              <w:rPr>
                <w:rFonts w:ascii="宋体" w:hAnsi="宋体" w:cs="宋体" w:eastAsia="宋体" w:hint="default"/>
                <w:spacing w:val="-5"/>
                <w:w w:val="101"/>
                <w:sz w:val="18"/>
                <w:szCs w:val="18"/>
              </w:rPr>
              <w:t>范</w:t>
            </w:r>
            <w:r>
              <w:rPr>
                <w:rFonts w:ascii="宋体" w:hAnsi="宋体" w:cs="宋体" w:eastAsia="宋体" w:hint="default"/>
                <w:w w:val="101"/>
                <w:sz w:val="18"/>
                <w:szCs w:val="18"/>
              </w:rPr>
              <w:t>围</w:t>
            </w:r>
            <w:r>
              <w:rPr>
                <w:rFonts w:ascii="宋体" w:hAnsi="宋体" w:cs="宋体" w:eastAsia="宋体" w:hint="default"/>
                <w:spacing w:val="-5"/>
                <w:w w:val="101"/>
                <w:sz w:val="18"/>
                <w:szCs w:val="18"/>
              </w:rPr>
              <w:t>的</w:t>
            </w:r>
            <w:r>
              <w:rPr>
                <w:rFonts w:ascii="宋体" w:hAnsi="宋体" w:cs="宋体" w:eastAsia="宋体" w:hint="default"/>
                <w:w w:val="101"/>
                <w:sz w:val="18"/>
                <w:szCs w:val="18"/>
              </w:rPr>
              <w:t>项</w:t>
            </w:r>
            <w:r>
              <w:rPr>
                <w:rFonts w:ascii="宋体" w:hAnsi="宋体" w:cs="宋体" w:eastAsia="宋体" w:hint="default"/>
                <w:sz w:val="18"/>
                <w:szCs w:val="18"/>
              </w:rPr>
            </w:r>
          </w:p>
        </w:tc>
        <w:tc>
          <w:tcPr>
            <w:tcW w:w="1599"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4" w:hRule="exact"/>
        </w:trPr>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目承包、技术咨询</w:t>
            </w:r>
          </w:p>
        </w:tc>
        <w:tc>
          <w:tcPr>
            <w:tcW w:w="1599"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54" w:hRule="exact"/>
        </w:trPr>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信息咨询。</w:t>
            </w:r>
          </w:p>
        </w:tc>
        <w:tc>
          <w:tcPr>
            <w:tcW w:w="1599"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line="360" w:lineRule="auto" w:before="54"/>
        <w:ind w:left="153" w:right="7055" w:firstLine="0"/>
        <w:jc w:val="left"/>
        <w:rPr>
          <w:rFonts w:ascii="宋体" w:hAnsi="宋体" w:cs="宋体" w:eastAsia="宋体" w:hint="default"/>
          <w:sz w:val="18"/>
          <w:szCs w:val="18"/>
        </w:rPr>
      </w:pPr>
      <w:r>
        <w:rPr/>
        <w:pict>
          <v:shape style="position:absolute;margin-left:289.551514pt;margin-top:-127.22831pt;width:86pt;height:126.75pt;mso-position-horizontal-relative:page;mso-position-vertical-relative:paragraph;z-index:-738280"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宋体" w:hAnsi="宋体" w:cs="宋体" w:eastAsia="宋体" w:hint="default"/>
          <w:spacing w:val="-3"/>
          <w:sz w:val="18"/>
          <w:szCs w:val="18"/>
        </w:rPr>
        <w:t>本企业的母公司情况的说明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本企业最终控制方是王晓岩。</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其他说明：</w:t>
      </w:r>
    </w:p>
    <w:p>
      <w:pPr>
        <w:spacing w:line="240" w:lineRule="auto" w:before="10"/>
        <w:rPr>
          <w:rFonts w:ascii="宋体" w:hAnsi="宋体" w:cs="宋体" w:eastAsia="宋体" w:hint="default"/>
          <w:sz w:val="19"/>
          <w:szCs w:val="19"/>
        </w:rPr>
      </w:pPr>
    </w:p>
    <w:p>
      <w:pPr>
        <w:spacing w:line="544" w:lineRule="auto" w:before="0"/>
        <w:ind w:left="153" w:right="46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2"/>
          <w:sz w:val="21"/>
          <w:szCs w:val="21"/>
        </w:rPr>
        <w:t> </w:t>
      </w:r>
      <w:r>
        <w:rPr>
          <w:rFonts w:ascii="宋体" w:hAnsi="宋体" w:cs="宋体" w:eastAsia="宋体" w:hint="default"/>
          <w:spacing w:val="-3"/>
          <w:sz w:val="18"/>
          <w:szCs w:val="18"/>
        </w:rPr>
        <w:t>本企业子公司的情况详见附注九、</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、在子公司中的权益。</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57" w:lineRule="auto" w:before="5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本企业重要的合营或联营企业详见附注。</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72"/>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深圳市宝安区投资管理公司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华润深国投信托有限公司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4"/>
        <w:gridCol w:w="1709"/>
        <w:gridCol w:w="1710"/>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2"/>
        <w:gridCol w:w="2651"/>
      </w:tblGrid>
      <w:tr>
        <w:trPr>
          <w:trHeight w:val="40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购销商品、提供和接受劳务的关联交易说明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0" w:right="17" w:hanging="207"/>
              <w:jc w:val="left"/>
              <w:rPr>
                <w:rFonts w:ascii="宋体" w:hAnsi="宋体" w:cs="宋体" w:eastAsia="宋体" w:hint="default"/>
                <w:sz w:val="18"/>
                <w:szCs w:val="18"/>
              </w:rPr>
            </w:pPr>
            <w:r>
              <w:rPr>
                <w:rFonts w:ascii="宋体" w:hAnsi="宋体" w:cs="宋体" w:eastAsia="宋体" w:hint="default"/>
                <w:spacing w:val="-2"/>
                <w:sz w:val="18"/>
                <w:szCs w:val="18"/>
              </w:rPr>
              <w:t>托管收益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益定价依据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5" w:right="46" w:hanging="68"/>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980"/>
        </w:sectPr>
      </w:pPr>
    </w:p>
    <w:p>
      <w:pPr>
        <w:spacing w:line="338"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关联托管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承包情况说明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本公司委托管理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50" w:space="6281"/>
            <w:col w:w="111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407" w:right="17" w:hanging="384"/>
              <w:jc w:val="left"/>
              <w:rPr>
                <w:rFonts w:ascii="宋体" w:hAnsi="宋体" w:cs="宋体" w:eastAsia="宋体" w:hint="default"/>
                <w:sz w:val="18"/>
                <w:szCs w:val="18"/>
              </w:rPr>
            </w:pPr>
            <w:r>
              <w:rPr>
                <w:rFonts w:ascii="宋体" w:hAnsi="宋体" w:cs="宋体" w:eastAsia="宋体" w:hint="default"/>
                <w:spacing w:val="-2"/>
                <w:sz w:val="18"/>
                <w:szCs w:val="18"/>
              </w:rPr>
              <w:t>托管费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出包费定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92" w:right="46" w:hanging="245"/>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出包情况说明</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本公司作为出租方：</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本公司作为承租方：</w:t>
      </w:r>
    </w:p>
    <w:p>
      <w:pPr>
        <w:spacing w:before="12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惠州市华宝饲料有限公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2,033,503.71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本公司作为被担保方</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4"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4" w:lineRule="auto" w:before="0"/>
        <w:ind w:left="153" w:right="7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73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pStyle w:val="Heading3"/>
        <w:spacing w:line="240" w:lineRule="auto" w:before="64"/>
        <w:ind w:left="633" w:right="0"/>
        <w:jc w:val="left"/>
      </w:pPr>
      <w:r>
        <w:rPr/>
        <w:t>至资产负债表日止，本公司对外签订的不可撤销的经营租赁合约情况如下：</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573"/>
        <w:gridCol w:w="2694"/>
        <w:gridCol w:w="2797"/>
      </w:tblGrid>
      <w:tr>
        <w:trPr>
          <w:trHeight w:val="353" w:hRule="exact"/>
        </w:trPr>
        <w:tc>
          <w:tcPr>
            <w:tcW w:w="357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797"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0" w:hRule="exact"/>
        </w:trPr>
        <w:tc>
          <w:tcPr>
            <w:tcW w:w="357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23"/>
              <w:jc w:val="left"/>
              <w:rPr>
                <w:rFonts w:ascii="宋体" w:hAnsi="宋体" w:cs="宋体" w:eastAsia="宋体" w:hint="default"/>
                <w:sz w:val="21"/>
                <w:szCs w:val="21"/>
              </w:rPr>
            </w:pPr>
            <w:r>
              <w:rPr>
                <w:rFonts w:ascii="宋体" w:hAnsi="宋体" w:cs="宋体" w:eastAsia="宋体" w:hint="default"/>
                <w:spacing w:val="-1"/>
                <w:sz w:val="21"/>
                <w:szCs w:val="21"/>
              </w:rPr>
              <w:t>不可撤销经营租赁的最低租赁付款额：</w:t>
            </w:r>
          </w:p>
        </w:tc>
        <w:tc>
          <w:tcPr>
            <w:tcW w:w="2694" w:type="dxa"/>
            <w:tcBorders>
              <w:top w:val="single" w:sz="12" w:space="0" w:color="000000"/>
              <w:left w:val="single" w:sz="6" w:space="0" w:color="000000"/>
              <w:bottom w:val="single" w:sz="12" w:space="0" w:color="000000"/>
              <w:right w:val="single" w:sz="6" w:space="0" w:color="000000"/>
            </w:tcBorders>
          </w:tcPr>
          <w:p>
            <w:pPr/>
          </w:p>
        </w:tc>
        <w:tc>
          <w:tcPr>
            <w:tcW w:w="2797"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3573"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sz w:val="21"/>
              </w:rPr>
              <w:t>5,199,414.98</w:t>
            </w:r>
          </w:p>
        </w:tc>
        <w:tc>
          <w:tcPr>
            <w:tcW w:w="27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4,190,873.40</w:t>
            </w:r>
          </w:p>
        </w:tc>
      </w:tr>
      <w:tr>
        <w:trPr>
          <w:trHeight w:val="350" w:hRule="exact"/>
        </w:trPr>
        <w:tc>
          <w:tcPr>
            <w:tcW w:w="3573"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0"/>
              <w:jc w:val="right"/>
              <w:rPr>
                <w:rFonts w:ascii="Times New Roman" w:hAnsi="Times New Roman" w:cs="Times New Roman" w:eastAsia="Times New Roman" w:hint="default"/>
                <w:sz w:val="21"/>
                <w:szCs w:val="21"/>
              </w:rPr>
            </w:pPr>
            <w:r>
              <w:rPr>
                <w:rFonts w:ascii="Times New Roman"/>
                <w:sz w:val="21"/>
              </w:rPr>
              <w:t>586,449.22</w:t>
            </w:r>
          </w:p>
        </w:tc>
        <w:tc>
          <w:tcPr>
            <w:tcW w:w="27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952,027.98</w:t>
            </w:r>
          </w:p>
        </w:tc>
      </w:tr>
      <w:tr>
        <w:trPr>
          <w:trHeight w:val="351" w:hRule="exact"/>
        </w:trPr>
        <w:tc>
          <w:tcPr>
            <w:tcW w:w="3573"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694" w:type="dxa"/>
            <w:tcBorders>
              <w:top w:val="single" w:sz="12" w:space="0" w:color="000000"/>
              <w:left w:val="single" w:sz="6" w:space="0" w:color="000000"/>
              <w:bottom w:val="single" w:sz="12" w:space="0" w:color="000000"/>
              <w:right w:val="single" w:sz="6" w:space="0" w:color="000000"/>
            </w:tcBorders>
          </w:tcPr>
          <w:p>
            <w:pPr/>
          </w:p>
        </w:tc>
        <w:tc>
          <w:tcPr>
            <w:tcW w:w="27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586,449.22</w:t>
            </w:r>
          </w:p>
        </w:tc>
      </w:tr>
      <w:tr>
        <w:trPr>
          <w:trHeight w:val="355" w:hRule="exact"/>
        </w:trPr>
        <w:tc>
          <w:tcPr>
            <w:tcW w:w="357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694" w:type="dxa"/>
            <w:tcBorders>
              <w:top w:val="single" w:sz="12" w:space="0" w:color="000000"/>
              <w:left w:val="single" w:sz="6" w:space="0" w:color="000000"/>
              <w:bottom w:val="single" w:sz="12" w:space="0" w:color="000000"/>
              <w:right w:val="single" w:sz="6" w:space="0" w:color="000000"/>
            </w:tcBorders>
          </w:tcPr>
          <w:p>
            <w:pPr/>
          </w:p>
        </w:tc>
        <w:tc>
          <w:tcPr>
            <w:tcW w:w="2797"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57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0"/>
              <w:jc w:val="right"/>
              <w:rPr>
                <w:rFonts w:ascii="Times New Roman" w:hAnsi="Times New Roman" w:cs="Times New Roman" w:eastAsia="Times New Roman" w:hint="default"/>
                <w:sz w:val="21"/>
                <w:szCs w:val="21"/>
              </w:rPr>
            </w:pPr>
            <w:r>
              <w:rPr>
                <w:rFonts w:ascii="Times New Roman"/>
                <w:b/>
                <w:sz w:val="21"/>
              </w:rPr>
              <w:t>5,785,864.20</w:t>
            </w:r>
            <w:r>
              <w:rPr>
                <w:rFonts w:ascii="Times New Roman"/>
                <w:sz w:val="21"/>
              </w:rPr>
            </w:r>
          </w:p>
        </w:tc>
        <w:tc>
          <w:tcPr>
            <w:tcW w:w="27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b/>
                <w:sz w:val="21"/>
              </w:rPr>
              <w:t>5,729,350.60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left="633"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日，本公司无需要披露的或有事项。</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公司不存在需要披露的重要或有事项。</w:t>
      </w:r>
    </w:p>
    <w:p>
      <w:pPr>
        <w:spacing w:line="240" w:lineRule="auto" w:before="4"/>
        <w:rPr>
          <w:rFonts w:ascii="宋体" w:hAnsi="宋体" w:cs="宋体" w:eastAsia="宋体" w:hint="default"/>
          <w:sz w:val="26"/>
          <w:szCs w:val="26"/>
        </w:rPr>
      </w:pPr>
    </w:p>
    <w:p>
      <w:pPr>
        <w:spacing w:line="487" w:lineRule="auto" w:before="0"/>
        <w:ind w:left="153"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1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内容</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08" w:right="99" w:hanging="898"/>
              <w:jc w:val="left"/>
              <w:rPr>
                <w:rFonts w:ascii="宋体" w:hAnsi="宋体" w:cs="宋体" w:eastAsia="宋体" w:hint="default"/>
                <w:sz w:val="18"/>
                <w:szCs w:val="18"/>
              </w:rPr>
            </w:pPr>
            <w:r>
              <w:rPr>
                <w:rFonts w:ascii="宋体" w:hAnsi="宋体" w:cs="宋体" w:eastAsia="宋体" w:hint="default"/>
                <w:spacing w:val="-3"/>
                <w:sz w:val="18"/>
                <w:szCs w:val="18"/>
              </w:rPr>
              <w:t>对财务状况和经营成果的影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2"/>
        <w:rPr>
          <w:rFonts w:ascii="宋体" w:hAnsi="宋体" w:cs="宋体" w:eastAsia="宋体" w:hint="default"/>
          <w:b/>
          <w:bCs/>
          <w:sz w:val="23"/>
          <w:szCs w:val="23"/>
        </w:rPr>
      </w:pPr>
    </w:p>
    <w:p>
      <w:pPr>
        <w:spacing w:before="46"/>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left="633" w:right="0"/>
        <w:jc w:val="left"/>
      </w:pPr>
      <w:r>
        <w:rPr>
          <w:rFonts w:ascii="Times New Roman" w:hAnsi="Times New Roman" w:cs="Times New Roman" w:eastAsia="Times New Roman" w:hint="default"/>
        </w:rPr>
        <w:t>1</w:t>
      </w:r>
      <w:r>
        <w:rPr/>
        <w:t>、发行股份及支付现金购买资产 根据本公司第八届董事会第二次会议及本公司</w:t>
      </w:r>
      <w:r>
        <w:rPr>
          <w:rFonts w:ascii="Times New Roman" w:hAnsi="Times New Roman" w:cs="Times New Roman" w:eastAsia="Times New Roman" w:hint="default"/>
        </w:rPr>
        <w:t>2015</w:t>
      </w:r>
      <w:r>
        <w:rPr/>
        <w:t>年第一次临时股东大会会议审议通过</w:t>
      </w:r>
    </w:p>
    <w:p>
      <w:pPr>
        <w:pStyle w:val="Heading3"/>
        <w:spacing w:line="225" w:lineRule="auto"/>
        <w:ind w:right="228"/>
        <w:jc w:val="both"/>
      </w:pPr>
      <w:r>
        <w:rPr/>
        <w:t>的《关于公司与神码有限公司签署附条件生效的</w:t>
      </w:r>
      <w:r>
        <w:rPr>
          <w:rFonts w:ascii="Times New Roman" w:hAnsi="Times New Roman" w:cs="Times New Roman" w:eastAsia="Times New Roman" w:hint="default"/>
        </w:rPr>
        <w:t>&lt;</w:t>
      </w:r>
      <w:r>
        <w:rPr/>
        <w:t>股权转让协议</w:t>
      </w:r>
      <w:r>
        <w:rPr>
          <w:rFonts w:ascii="Times New Roman" w:hAnsi="Times New Roman" w:cs="Times New Roman" w:eastAsia="Times New Roman" w:hint="default"/>
        </w:rPr>
        <w:t>&gt;</w:t>
      </w:r>
      <w:r>
        <w:rPr/>
        <w:t>的议案》以及《关于公司与</w:t>
      </w:r>
      <w:r>
        <w:rPr>
          <w:spacing w:val="-116"/>
        </w:rPr>
        <w:t> </w:t>
      </w:r>
      <w:r>
        <w:rPr/>
        <w:t>特定对象签署附条件生效的</w:t>
      </w:r>
      <w:r>
        <w:rPr>
          <w:rFonts w:ascii="Times New Roman" w:hAnsi="Times New Roman" w:cs="Times New Roman" w:eastAsia="Times New Roman" w:hint="default"/>
        </w:rPr>
        <w:t>&lt;</w:t>
      </w:r>
      <w:r>
        <w:rPr/>
        <w:t>股份认购协议</w:t>
      </w:r>
      <w:r>
        <w:rPr>
          <w:rFonts w:ascii="Times New Roman" w:hAnsi="Times New Roman" w:cs="Times New Roman" w:eastAsia="Times New Roman" w:hint="default"/>
        </w:rPr>
        <w:t>&gt;</w:t>
      </w:r>
      <w:r>
        <w:rPr/>
        <w:t>的议案》，本公司拟通过向特定对象非公开发行</w:t>
      </w:r>
      <w:r>
        <w:rPr>
          <w:spacing w:val="-117"/>
        </w:rPr>
        <w:t> </w:t>
      </w:r>
      <w:r>
        <w:rPr>
          <w:spacing w:val="-117"/>
        </w:rPr>
      </w:r>
      <w:r>
        <w:rPr/>
        <w:t>股份募集资金、所募集资金和自筹资金购买神州数码控股有限公司下属</w:t>
      </w:r>
      <w:r>
        <w:rPr>
          <w:rFonts w:ascii="Times New Roman" w:hAnsi="Times New Roman" w:cs="Times New Roman" w:eastAsia="Times New Roman" w:hint="default"/>
        </w:rPr>
        <w:t>IT</w:t>
      </w:r>
      <w:r>
        <w:rPr/>
        <w:t>分销业务公司，即</w:t>
      </w:r>
      <w:r>
        <w:rPr>
          <w:spacing w:val="-82"/>
        </w:rPr>
        <w:t> </w:t>
      </w:r>
      <w:r>
        <w:rPr>
          <w:spacing w:val="-82"/>
        </w:rPr>
      </w:r>
      <w:r>
        <w:rPr>
          <w:spacing w:val="2"/>
        </w:rPr>
        <w:t>神州数码（中国）有限公司</w:t>
      </w:r>
      <w:r>
        <w:rPr>
          <w:rFonts w:ascii="Times New Roman" w:hAnsi="Times New Roman" w:cs="Times New Roman" w:eastAsia="Times New Roman" w:hint="default"/>
          <w:spacing w:val="2"/>
        </w:rPr>
        <w:t>100%</w:t>
      </w:r>
      <w:r>
        <w:rPr>
          <w:spacing w:val="2"/>
        </w:rPr>
        <w:t>的股权、上海神州数码有限公司</w:t>
      </w:r>
      <w:r>
        <w:rPr>
          <w:rFonts w:ascii="Times New Roman" w:hAnsi="Times New Roman" w:cs="Times New Roman" w:eastAsia="Times New Roman" w:hint="default"/>
          <w:spacing w:val="2"/>
        </w:rPr>
        <w:t>100%</w:t>
      </w:r>
      <w:r>
        <w:rPr>
          <w:spacing w:val="2"/>
        </w:rPr>
        <w:t>的股权和广州神州数</w:t>
      </w:r>
      <w:r>
        <w:rPr>
          <w:spacing w:val="-101"/>
        </w:rPr>
        <w:t> </w:t>
      </w:r>
      <w:r>
        <w:rPr>
          <w:spacing w:val="-101"/>
        </w:rPr>
      </w:r>
      <w:r>
        <w:rPr/>
        <w:t>码信息科技有限公司</w:t>
      </w:r>
      <w:r>
        <w:rPr>
          <w:rFonts w:ascii="Times New Roman" w:hAnsi="Times New Roman" w:cs="Times New Roman" w:eastAsia="Times New Roman" w:hint="default"/>
        </w:rPr>
        <w:t>100%</w:t>
      </w:r>
      <w:r>
        <w:rPr/>
        <w:t>的股权（以下简称</w:t>
      </w:r>
      <w:r>
        <w:rPr>
          <w:rFonts w:ascii="Times New Roman" w:hAnsi="Times New Roman" w:cs="Times New Roman" w:eastAsia="Times New Roman" w:hint="default"/>
        </w:rPr>
        <w:t>“</w:t>
      </w:r>
      <w:r>
        <w:rPr/>
        <w:t>标的资产</w:t>
      </w:r>
      <w:r>
        <w:rPr>
          <w:rFonts w:ascii="Times New Roman" w:hAnsi="Times New Roman" w:cs="Times New Roman" w:eastAsia="Times New Roman" w:hint="default"/>
        </w:rPr>
        <w:t>”</w:t>
      </w:r>
      <w:r>
        <w:rPr/>
        <w:t>）。</w:t>
      </w:r>
    </w:p>
    <w:p>
      <w:pPr>
        <w:pStyle w:val="Heading3"/>
        <w:spacing w:line="305" w:lineRule="exact"/>
        <w:ind w:left="633" w:right="0"/>
        <w:jc w:val="left"/>
      </w:pPr>
      <w:r>
        <w:rPr>
          <w:spacing w:val="16"/>
        </w:rPr>
        <w:t>根据中同华资产评估有限公司以</w:t>
      </w:r>
      <w:r>
        <w:rPr>
          <w:rFonts w:ascii="Times New Roman" w:hAnsi="Times New Roman" w:cs="Times New Roman" w:eastAsia="Times New Roman" w:hint="default"/>
          <w:spacing w:val="16"/>
        </w:rPr>
        <w:t>2015</w:t>
      </w:r>
      <w:r>
        <w:rPr>
          <w:spacing w:val="16"/>
        </w:rPr>
        <w:t>年</w:t>
      </w:r>
      <w:r>
        <w:rPr>
          <w:rFonts w:ascii="Times New Roman" w:hAnsi="Times New Roman" w:cs="Times New Roman" w:eastAsia="Times New Roman" w:hint="default"/>
          <w:spacing w:val="16"/>
        </w:rPr>
        <w:t>3</w:t>
      </w:r>
      <w:r>
        <w:rPr>
          <w:spacing w:val="16"/>
        </w:rPr>
        <w:t>月</w:t>
      </w:r>
      <w:r>
        <w:rPr>
          <w:rFonts w:ascii="Times New Roman" w:hAnsi="Times New Roman" w:cs="Times New Roman" w:eastAsia="Times New Roman" w:hint="default"/>
          <w:spacing w:val="16"/>
        </w:rPr>
        <w:t>31</w:t>
      </w:r>
      <w:r>
        <w:rPr>
          <w:spacing w:val="16"/>
        </w:rPr>
        <w:t>日为评估基准日出具的中同华评报字</w:t>
      </w:r>
      <w:r>
        <w:rPr/>
      </w:r>
    </w:p>
    <w:p>
      <w:pPr>
        <w:pStyle w:val="Heading3"/>
        <w:spacing w:line="228" w:lineRule="auto" w:before="4"/>
        <w:ind w:right="227"/>
        <w:jc w:val="both"/>
      </w:pPr>
      <w:r>
        <w:rPr/>
        <w:t>（</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504</w:t>
      </w:r>
      <w:r>
        <w:rPr/>
        <w:t>号《评估报告》，本次交易标的资产以收益法的评估值为</w:t>
      </w:r>
      <w:r>
        <w:rPr>
          <w:rFonts w:ascii="Times New Roman" w:hAnsi="Times New Roman" w:cs="Times New Roman" w:eastAsia="Times New Roman" w:hint="default"/>
        </w:rPr>
        <w:t>401,000.00</w:t>
      </w:r>
      <w:r>
        <w:rPr/>
        <w:t>万元。经</w:t>
      </w:r>
      <w:r>
        <w:rPr>
          <w:spacing w:val="-86"/>
        </w:rPr>
        <w:t> </w:t>
      </w:r>
      <w:r>
        <w:rPr>
          <w:spacing w:val="-86"/>
        </w:rPr>
      </w:r>
      <w:r>
        <w:rPr/>
        <w:t>交易双方共同协商确定，标的资产作价为 </w:t>
      </w:r>
      <w:r>
        <w:rPr>
          <w:rFonts w:ascii="Times New Roman" w:hAnsi="Times New Roman" w:cs="Times New Roman" w:eastAsia="Times New Roman" w:hint="default"/>
        </w:rPr>
        <w:t>401,000.00</w:t>
      </w:r>
      <w:r>
        <w:rPr/>
        <w:t>万元。本次收购的资金将由本公司通过</w:t>
      </w:r>
      <w:r>
        <w:rPr>
          <w:spacing w:val="-98"/>
        </w:rPr>
        <w:t> </w:t>
      </w:r>
      <w:r>
        <w:rPr>
          <w:spacing w:val="-98"/>
        </w:rPr>
      </w:r>
      <w:r>
        <w:rPr/>
        <w:t>向特定对象非公开发行股份募集资金和自筹资金支付。其中：向特定对象郭为、王晓岩、王</w:t>
      </w:r>
      <w:r>
        <w:rPr>
          <w:spacing w:val="-93"/>
        </w:rPr>
        <w:t> </w:t>
      </w:r>
      <w:r>
        <w:rPr>
          <w:spacing w:val="-93"/>
        </w:rPr>
      </w:r>
      <w:r>
        <w:rPr/>
        <w:t>廷月、钱学宁、张明</w:t>
      </w:r>
      <w:r>
        <w:rPr>
          <w:rFonts w:ascii="Times New Roman" w:hAnsi="Times New Roman" w:cs="Times New Roman" w:eastAsia="Times New Roman" w:hint="default"/>
        </w:rPr>
        <w:t>5</w:t>
      </w:r>
      <w:r>
        <w:rPr/>
        <w:t>名自然人和中信建投基金管理有限公司（代表</w:t>
      </w:r>
      <w:r>
        <w:rPr>
          <w:rFonts w:ascii="Times New Roman" w:hAnsi="Times New Roman" w:cs="Times New Roman" w:eastAsia="Times New Roman" w:hint="default"/>
        </w:rPr>
        <w:t>“</w:t>
      </w:r>
      <w:r>
        <w:rPr/>
        <w:t>中信建投基金定增</w:t>
      </w:r>
      <w:r>
        <w:rPr>
          <w:rFonts w:ascii="Times New Roman" w:hAnsi="Times New Roman" w:cs="Times New Roman" w:eastAsia="Times New Roman" w:hint="default"/>
        </w:rPr>
        <w:t>16</w:t>
      </w:r>
      <w:r>
        <w:rPr/>
        <w:t>号</w:t>
      </w:r>
      <w:r>
        <w:rPr>
          <w:spacing w:val="-77"/>
        </w:rPr>
        <w:t> </w:t>
      </w:r>
      <w:r>
        <w:rPr>
          <w:spacing w:val="-2"/>
        </w:rPr>
        <w:t>资产管理计划</w:t>
      </w:r>
      <w:r>
        <w:rPr>
          <w:rFonts w:ascii="Times New Roman" w:hAnsi="Times New Roman" w:cs="Times New Roman" w:eastAsia="Times New Roman" w:hint="default"/>
          <w:spacing w:val="-2"/>
        </w:rPr>
        <w:t>”</w:t>
      </w:r>
      <w:r>
        <w:rPr>
          <w:spacing w:val="-2"/>
        </w:rPr>
        <w:t>作为投资者，其中该资管计划为闫国荣等</w:t>
      </w:r>
      <w:r>
        <w:rPr>
          <w:rFonts w:ascii="Times New Roman" w:hAnsi="Times New Roman" w:cs="Times New Roman" w:eastAsia="Times New Roman" w:hint="default"/>
          <w:spacing w:val="-2"/>
        </w:rPr>
        <w:t>10</w:t>
      </w:r>
      <w:r>
        <w:rPr>
          <w:spacing w:val="-2"/>
        </w:rPr>
        <w:t>位标的资产的核心管理人员出资成</w:t>
      </w:r>
      <w:r>
        <w:rPr>
          <w:spacing w:val="-104"/>
        </w:rPr>
        <w:t> </w:t>
      </w:r>
      <w:r>
        <w:rPr/>
        <w:t>立）非公开发行的股票数量为</w:t>
      </w:r>
      <w:r>
        <w:rPr>
          <w:rFonts w:ascii="Times New Roman" w:hAnsi="Times New Roman" w:cs="Times New Roman" w:eastAsia="Times New Roman" w:hint="default"/>
        </w:rPr>
        <w:t>296,096,903</w:t>
      </w:r>
      <w:r>
        <w:rPr/>
        <w:t>股，募集资金总额为</w:t>
      </w:r>
      <w:r>
        <w:rPr>
          <w:rFonts w:ascii="Times New Roman" w:hAnsi="Times New Roman" w:cs="Times New Roman" w:eastAsia="Times New Roman" w:hint="default"/>
        </w:rPr>
        <w:t>2,199,999,989.29</w:t>
      </w:r>
      <w:r>
        <w:rPr/>
        <w:t>元。募集资金</w:t>
      </w:r>
      <w:r>
        <w:rPr>
          <w:spacing w:val="-89"/>
        </w:rPr>
        <w:t> </w:t>
      </w:r>
      <w:r>
        <w:rPr/>
        <w:t>在扣除发行费用后，将全部用于支付本次交易标的收购价款。剩余部分将由本公司通过并购</w:t>
      </w:r>
      <w:r>
        <w:rPr>
          <w:spacing w:val="-93"/>
        </w:rPr>
        <w:t> </w:t>
      </w:r>
      <w:r>
        <w:rPr>
          <w:spacing w:val="-93"/>
        </w:rPr>
      </w:r>
      <w:r>
        <w:rPr/>
        <w:t>贷款等自筹方式解决。</w:t>
      </w:r>
    </w:p>
    <w:p>
      <w:pPr>
        <w:pStyle w:val="Heading3"/>
        <w:spacing w:line="235" w:lineRule="auto" w:before="5"/>
        <w:ind w:right="233" w:firstLine="480"/>
        <w:jc w:val="both"/>
      </w:pPr>
      <w:r>
        <w:rPr/>
        <w:t>本次发行股份的定价基准日为本公司第八届董事会第二次会议决议公告日，发行价格为 定价基准日前</w:t>
      </w:r>
      <w:r>
        <w:rPr>
          <w:rFonts w:ascii="Times New Roman" w:hAnsi="Times New Roman" w:cs="Times New Roman" w:eastAsia="Times New Roman" w:hint="default"/>
        </w:rPr>
        <w:t>20</w:t>
      </w:r>
      <w:r>
        <w:rPr/>
        <w:t>个交易日公司股票交易均价之</w:t>
      </w:r>
      <w:r>
        <w:rPr>
          <w:rFonts w:ascii="Times New Roman" w:hAnsi="Times New Roman" w:cs="Times New Roman" w:eastAsia="Times New Roman" w:hint="default"/>
        </w:rPr>
        <w:t>90%</w:t>
      </w:r>
      <w:r>
        <w:rPr/>
        <w:t>，即</w:t>
      </w:r>
      <w:r>
        <w:rPr>
          <w:rFonts w:ascii="Times New Roman" w:hAnsi="Times New Roman" w:cs="Times New Roman" w:eastAsia="Times New Roman" w:hint="default"/>
        </w:rPr>
        <w:t>7.43</w:t>
      </w:r>
      <w:r>
        <w:rPr/>
        <w:t>元</w:t>
      </w:r>
      <w:r>
        <w:rPr>
          <w:rFonts w:ascii="Times New Roman" w:hAnsi="Times New Roman" w:cs="Times New Roman" w:eastAsia="Times New Roman" w:hint="default"/>
        </w:rPr>
        <w:t>/</w:t>
      </w:r>
      <w:r>
        <w:rPr/>
        <w:t>股。若公司股票在定价基准日</w:t>
      </w:r>
      <w:r>
        <w:rPr>
          <w:spacing w:val="-62"/>
        </w:rPr>
        <w:t> </w:t>
      </w:r>
      <w:r>
        <w:rPr>
          <w:spacing w:val="-62"/>
        </w:rPr>
      </w:r>
      <w:r>
        <w:rPr/>
        <w:t>至发行日期间有派息、送股、资本公积金转增股本等除权除息事项的，本次发行价格及股票</w:t>
      </w:r>
      <w:r>
        <w:rPr>
          <w:spacing w:val="-93"/>
        </w:rPr>
        <w:t> </w:t>
      </w:r>
      <w:r>
        <w:rPr>
          <w:spacing w:val="-93"/>
        </w:rPr>
      </w:r>
      <w:r>
        <w:rPr/>
        <w:t>发行数量随之进行调整。</w:t>
      </w:r>
    </w:p>
    <w:p>
      <w:pPr>
        <w:pStyle w:val="Heading3"/>
        <w:spacing w:line="312" w:lineRule="exact" w:before="29"/>
        <w:ind w:right="107" w:firstLine="48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日，本公司收到中国证券监督管理委员会（以下简称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）《关 </w:t>
      </w:r>
      <w:r>
        <w:rPr>
          <w:spacing w:val="2"/>
        </w:rPr>
        <w:t>于核准深圳市深信泰丰</w:t>
      </w:r>
      <w:r>
        <w:rPr>
          <w:rFonts w:ascii="Times New Roman" w:hAnsi="Times New Roman" w:cs="Times New Roman" w:eastAsia="Times New Roman" w:hint="default"/>
          <w:spacing w:val="2"/>
        </w:rPr>
        <w:t>(</w:t>
      </w:r>
      <w:r>
        <w:rPr>
          <w:spacing w:val="2"/>
        </w:rPr>
        <w:t>集团</w:t>
      </w:r>
      <w:r>
        <w:rPr>
          <w:rFonts w:ascii="Times New Roman" w:hAnsi="Times New Roman" w:cs="Times New Roman" w:eastAsia="Times New Roman" w:hint="default"/>
          <w:spacing w:val="2"/>
        </w:rPr>
        <w:t>)</w:t>
      </w:r>
      <w:r>
        <w:rPr>
          <w:spacing w:val="2"/>
        </w:rPr>
        <w:t>股份有限公司非公开发行股票及重大资产重组的批复》（证监</w:t>
      </w:r>
      <w:r>
        <w:rPr>
          <w:spacing w:val="-96"/>
        </w:rPr>
        <w:t> </w:t>
      </w:r>
      <w:r>
        <w:rPr>
          <w:spacing w:val="-96"/>
        </w:rPr>
      </w:r>
      <w:r>
        <w:rPr/>
        <w:t>许可</w:t>
      </w:r>
      <w:r>
        <w:rPr>
          <w:rFonts w:ascii="Times New Roman" w:hAnsi="Times New Roman" w:cs="Times New Roman" w:eastAsia="Times New Roman" w:hint="default"/>
        </w:rPr>
        <w:t>[2015]2952</w:t>
      </w:r>
      <w:r>
        <w:rPr/>
        <w:t>号），核准本公司本次非公开发行不超过</w:t>
      </w:r>
      <w:r>
        <w:rPr>
          <w:rFonts w:ascii="Times New Roman" w:hAnsi="Times New Roman" w:cs="Times New Roman" w:eastAsia="Times New Roman" w:hint="default"/>
        </w:rPr>
        <w:t>296,096,903</w:t>
      </w:r>
      <w:r>
        <w:rPr/>
        <w:t>股新股及重大资产重组。</w:t>
      </w:r>
    </w:p>
    <w:p>
      <w:pPr>
        <w:pStyle w:val="Heading3"/>
        <w:spacing w:line="312" w:lineRule="exact"/>
        <w:ind w:right="0" w:firstLine="480"/>
        <w:jc w:val="left"/>
      </w:pPr>
      <w:r>
        <w:rPr>
          <w:rFonts w:ascii="Times New Roman" w:hAnsi="Times New Roman" w:cs="Times New Roman" w:eastAsia="Times New Roman" w:hint="default"/>
          <w:b/>
          <w:bCs/>
        </w:rPr>
        <w:t>2</w:t>
      </w:r>
      <w:r>
        <w:rPr>
          <w:rFonts w:ascii="宋体" w:hAnsi="宋体" w:cs="宋体" w:eastAsia="宋体" w:hint="default"/>
          <w:b/>
          <w:bCs/>
        </w:rPr>
        <w:t>、重大资产重组事项停牌</w:t>
      </w:r>
      <w:r>
        <w:rPr>
          <w:rFonts w:ascii="宋体" w:hAnsi="宋体" w:cs="宋体" w:eastAsia="宋体" w:hint="default"/>
          <w:b/>
          <w:bCs/>
          <w:w w:val="99"/>
        </w:rPr>
        <w:t> </w:t>
      </w:r>
      <w:r>
        <w:rPr/>
        <w:t>本公司因筹划重大资产重组事项于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日停牌，并发布了《关于重大资产重组停牌</w:t>
      </w:r>
      <w:r>
        <w:rPr>
          <w:spacing w:val="-91"/>
        </w:rPr>
        <w:t> </w:t>
      </w:r>
      <w:r>
        <w:rPr>
          <w:spacing w:val="-91"/>
        </w:rPr>
      </w:r>
      <w:r>
        <w:rPr/>
        <w:t>公告》。由于该重组方案正在进一步论证中，尚存在不确定性，截止本财务报告报出日，本</w:t>
      </w:r>
      <w:r>
        <w:rPr>
          <w:spacing w:val="-93"/>
        </w:rPr>
        <w:t> </w:t>
      </w:r>
      <w:r>
        <w:rPr>
          <w:spacing w:val="-93"/>
        </w:rPr>
      </w:r>
      <w:r>
        <w:rPr/>
        <w:t>公司股票继续处于停牌中。</w:t>
      </w:r>
    </w:p>
    <w:p>
      <w:pPr>
        <w:spacing w:after="0" w:line="312" w:lineRule="exact"/>
        <w:jc w:val="left"/>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1"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30" w:right="99" w:hanging="721"/>
              <w:jc w:val="left"/>
              <w:rPr>
                <w:rFonts w:ascii="宋体" w:hAnsi="宋体" w:cs="宋体" w:eastAsia="宋体" w:hint="default"/>
                <w:sz w:val="18"/>
                <w:szCs w:val="18"/>
              </w:rPr>
            </w:pPr>
            <w:r>
              <w:rPr>
                <w:rFonts w:ascii="宋体" w:hAnsi="宋体" w:cs="宋体" w:eastAsia="宋体" w:hint="default"/>
                <w:spacing w:val="-3"/>
                <w:sz w:val="18"/>
                <w:szCs w:val="18"/>
              </w:rPr>
              <w:t>受影响的各个比较期间报表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0"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5"/>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归属于母公司所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有者的终止经营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利润</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4"/>
        <w:gridCol w:w="2394"/>
        <w:gridCol w:w="2391"/>
        <w:gridCol w:w="2391"/>
      </w:tblGrid>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633" w:right="0"/>
        <w:jc w:val="left"/>
        <w:rPr>
          <w:b w:val="0"/>
          <w:bCs w:val="0"/>
        </w:rPr>
      </w:pPr>
      <w:r>
        <w:rPr/>
        <w:t>其他重要事项－子公司收到拆迁补偿款事项</w:t>
      </w:r>
      <w:r>
        <w:rPr>
          <w:b w:val="0"/>
          <w:bCs w:val="0"/>
        </w:rPr>
      </w:r>
    </w:p>
    <w:p>
      <w:pPr>
        <w:pStyle w:val="BodyText"/>
        <w:spacing w:line="369" w:lineRule="auto" w:before="157"/>
        <w:ind w:right="145" w:firstLine="480"/>
        <w:jc w:val="both"/>
      </w:pPr>
      <w:r>
        <w:rPr>
          <w:rFonts w:ascii="Times New Roman" w:hAnsi="Times New Roman" w:cs="Times New Roman" w:eastAsia="Times New Roman" w:hint="default"/>
          <w:spacing w:val="-3"/>
        </w:rPr>
        <w:t>2013</w:t>
      </w:r>
      <w:r>
        <w:rPr>
          <w:spacing w:val="-3"/>
        </w:rPr>
        <w:t>年，本公司之子公司深圳市华宝（集团）饲料有限公司（以下简称深圳饲料公司）与深圳市满京</w:t>
      </w:r>
      <w:r>
        <w:rPr>
          <w:w w:val="100"/>
        </w:rPr>
        <w:t> </w:t>
      </w:r>
      <w:r>
        <w:rPr>
          <w:spacing w:val="-2"/>
        </w:rPr>
        <w:t>华房地产开发有限公司（以下简称满京华公司）签订了《深圳市</w:t>
      </w:r>
      <w:r>
        <w:rPr>
          <w:rFonts w:ascii="Times New Roman" w:hAnsi="Times New Roman" w:cs="Times New Roman" w:eastAsia="Times New Roman" w:hint="default"/>
          <w:spacing w:val="-2"/>
        </w:rPr>
        <w:t>“</w:t>
      </w:r>
      <w:r>
        <w:rPr>
          <w:spacing w:val="-2"/>
        </w:rPr>
        <w:t>华宝饲料厂片区更新单元</w:t>
      </w:r>
      <w:r>
        <w:rPr>
          <w:rFonts w:ascii="Times New Roman" w:hAnsi="Times New Roman" w:cs="Times New Roman" w:eastAsia="Times New Roman" w:hint="default"/>
          <w:spacing w:val="-2"/>
        </w:rPr>
        <w:t>”</w:t>
      </w:r>
      <w:r>
        <w:rPr>
          <w:spacing w:val="-2"/>
        </w:rPr>
        <w:t>城市更新项目</w:t>
      </w:r>
      <w:r>
        <w:rPr>
          <w:spacing w:val="-9"/>
        </w:rPr>
        <w:t> </w:t>
      </w:r>
      <w:r>
        <w:rPr>
          <w:spacing w:val="-9"/>
        </w:rPr>
      </w:r>
      <w:r>
        <w:rPr>
          <w:spacing w:val="-2"/>
        </w:rPr>
        <w:t>拆迁补偿协议书》，该等协议书约定满京华公司为</w:t>
      </w:r>
      <w:r>
        <w:rPr>
          <w:rFonts w:ascii="Times New Roman" w:hAnsi="Times New Roman" w:cs="Times New Roman" w:eastAsia="Times New Roman" w:hint="default"/>
          <w:spacing w:val="-2"/>
        </w:rPr>
        <w:t>“</w:t>
      </w:r>
      <w:r>
        <w:rPr>
          <w:spacing w:val="-2"/>
        </w:rPr>
        <w:t>华宝饲料厂片区更新单元</w:t>
      </w:r>
      <w:r>
        <w:rPr>
          <w:rFonts w:ascii="Times New Roman" w:hAnsi="Times New Roman" w:cs="Times New Roman" w:eastAsia="Times New Roman" w:hint="default"/>
          <w:spacing w:val="-2"/>
        </w:rPr>
        <w:t>”</w:t>
      </w:r>
      <w:r>
        <w:rPr>
          <w:spacing w:val="-2"/>
        </w:rPr>
        <w:t>城市更新项目唯一改造实施</w:t>
      </w:r>
      <w:r>
        <w:rPr>
          <w:spacing w:val="-9"/>
        </w:rPr>
        <w:t> </w:t>
      </w:r>
      <w:r>
        <w:rPr>
          <w:spacing w:val="-9"/>
        </w:rPr>
      </w:r>
      <w:r>
        <w:rPr>
          <w:spacing w:val="-2"/>
        </w:rPr>
        <w:t>主体；满京华公司就</w:t>
      </w:r>
      <w:r>
        <w:rPr>
          <w:rFonts w:ascii="Times New Roman" w:hAnsi="Times New Roman" w:cs="Times New Roman" w:eastAsia="Times New Roman" w:hint="default"/>
          <w:spacing w:val="-2"/>
        </w:rPr>
        <w:t>“</w:t>
      </w:r>
      <w:r>
        <w:rPr>
          <w:spacing w:val="-2"/>
        </w:rPr>
        <w:t>华宝饲料厂片区更新单元</w:t>
      </w:r>
      <w:r>
        <w:rPr>
          <w:rFonts w:ascii="Times New Roman" w:hAnsi="Times New Roman" w:cs="Times New Roman" w:eastAsia="Times New Roman" w:hint="default"/>
          <w:spacing w:val="-2"/>
        </w:rPr>
        <w:t>”</w:t>
      </w:r>
      <w:r>
        <w:rPr>
          <w:spacing w:val="-2"/>
        </w:rPr>
        <w:t>城市更新项目范围内深圳饲料公司名下厂房及土地使用权</w:t>
      </w:r>
      <w:r>
        <w:rPr>
          <w:spacing w:val="-12"/>
        </w:rPr>
        <w:t> </w:t>
      </w:r>
      <w:r>
        <w:rPr>
          <w:spacing w:val="-12"/>
        </w:rPr>
      </w:r>
      <w:r>
        <w:rPr>
          <w:spacing w:val="-3"/>
        </w:rPr>
        <w:t>进行拆迁补偿，补偿金额为人民币</w:t>
      </w:r>
      <w:r>
        <w:rPr>
          <w:rFonts w:ascii="Times New Roman" w:hAnsi="Times New Roman" w:cs="Times New Roman" w:eastAsia="Times New Roman" w:hint="default"/>
          <w:spacing w:val="-3"/>
        </w:rPr>
        <w:t>1.9</w:t>
      </w:r>
      <w:r>
        <w:rPr>
          <w:spacing w:val="-3"/>
        </w:rPr>
        <w:t>亿元；满京华公司是否能按计划取得</w:t>
      </w:r>
      <w:r>
        <w:rPr>
          <w:rFonts w:ascii="Times New Roman" w:hAnsi="Times New Roman" w:cs="Times New Roman" w:eastAsia="Times New Roman" w:hint="default"/>
          <w:spacing w:val="-3"/>
        </w:rPr>
        <w:t>“</w:t>
      </w:r>
      <w:r>
        <w:rPr>
          <w:spacing w:val="-3"/>
        </w:rPr>
        <w:t>华宝饲料厂片区更新单元</w:t>
      </w:r>
      <w:r>
        <w:rPr>
          <w:rFonts w:ascii="Times New Roman" w:hAnsi="Times New Roman" w:cs="Times New Roman" w:eastAsia="Times New Roman" w:hint="default"/>
          <w:spacing w:val="-3"/>
        </w:rPr>
        <w:t>”</w:t>
      </w:r>
      <w:r>
        <w:rPr>
          <w:spacing w:val="-3"/>
        </w:rPr>
        <w:t>城市</w:t>
      </w:r>
      <w:r>
        <w:rPr>
          <w:spacing w:val="-11"/>
        </w:rPr>
        <w:t> </w:t>
      </w:r>
      <w:r>
        <w:rPr>
          <w:spacing w:val="-2"/>
        </w:rPr>
        <w:t>更新项目唯一改造实施主体，尚需待相关政府主管机构批准。深圳饲料公司需就满京华公司在实施该项目</w:t>
      </w:r>
      <w:r>
        <w:rPr>
          <w:spacing w:val="-33"/>
        </w:rPr>
        <w:t> </w:t>
      </w:r>
      <w:r>
        <w:rPr>
          <w:spacing w:val="-33"/>
        </w:rPr>
      </w:r>
      <w:r>
        <w:rPr>
          <w:spacing w:val="-2"/>
        </w:rPr>
        <w:t>需办理涉及城市更新以及规划国土等行政审批或许可手续时，包括专项规划申报、拆迁补偿协议报备、实</w:t>
      </w:r>
      <w:r>
        <w:rPr>
          <w:spacing w:val="-33"/>
        </w:rPr>
        <w:t> </w:t>
      </w:r>
      <w:r>
        <w:rPr>
          <w:spacing w:val="-33"/>
        </w:rPr>
      </w:r>
      <w:r>
        <w:rPr/>
        <w:t>施主体认定、原有物业产权注销等，提供必要的配合。</w:t>
      </w:r>
    </w:p>
    <w:p>
      <w:pPr>
        <w:pStyle w:val="BodyText"/>
        <w:spacing w:line="374" w:lineRule="auto" w:before="48"/>
        <w:ind w:right="143" w:firstLine="480"/>
        <w:jc w:val="both"/>
      </w:pPr>
      <w:r>
        <w:rPr>
          <w:rFonts w:ascii="Times New Roman" w:hAnsi="Times New Roman" w:cs="Times New Roman" w:eastAsia="Times New Roman" w:hint="default"/>
        </w:rPr>
        <w:t>2013</w:t>
      </w:r>
      <w:r>
        <w:rPr/>
        <w:t>年年度内，深圳饲料公司收到前述拆迁补偿款</w:t>
      </w:r>
      <w:r>
        <w:rPr>
          <w:rFonts w:ascii="Times New Roman" w:hAnsi="Times New Roman" w:cs="Times New Roman" w:eastAsia="Times New Roman" w:hint="default"/>
        </w:rPr>
        <w:t>1.9</w:t>
      </w:r>
      <w:r>
        <w:rPr/>
        <w:t>亿元；由于截止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日，满京华公司</w:t>
      </w:r>
      <w:r>
        <w:rPr>
          <w:w w:val="100"/>
        </w:rPr>
        <w:t> </w:t>
      </w:r>
      <w:r>
        <w:rPr>
          <w:spacing w:val="-2"/>
        </w:rPr>
        <w:t>尚未完成拆迁补偿协议，故涉及城市更新以及规划国土等行政审批或许可等一系列手续尚未办理，深圳饲</w:t>
      </w:r>
      <w:r>
        <w:rPr>
          <w:spacing w:val="-33"/>
        </w:rPr>
        <w:t> </w:t>
      </w:r>
      <w:r>
        <w:rPr>
          <w:spacing w:val="-33"/>
        </w:rPr>
      </w:r>
      <w:r>
        <w:rPr>
          <w:spacing w:val="-2"/>
        </w:rPr>
        <w:t>料公司与该拆迁补偿款对应的税务成本计算方式以及相关搬迁成本尚未能可靠确定和计量；根据《企业会</w:t>
      </w:r>
      <w:r>
        <w:rPr>
          <w:spacing w:val="-31"/>
        </w:rPr>
        <w:t> </w:t>
      </w:r>
      <w:r>
        <w:rPr>
          <w:spacing w:val="-31"/>
        </w:rPr>
      </w:r>
      <w:r>
        <w:rPr>
          <w:spacing w:val="-3"/>
        </w:rPr>
        <w:t>计准则第</w:t>
      </w:r>
      <w:r>
        <w:rPr>
          <w:rFonts w:ascii="Times New Roman" w:hAnsi="Times New Roman" w:cs="Times New Roman" w:eastAsia="Times New Roman" w:hint="default"/>
          <w:spacing w:val="-3"/>
        </w:rPr>
        <w:t>14</w:t>
      </w:r>
      <w:r>
        <w:rPr>
          <w:spacing w:val="-3"/>
        </w:rPr>
        <w:t>号－收入》准则和谨慎性原则，深圳饲料公司已取得的</w:t>
      </w:r>
      <w:r>
        <w:rPr>
          <w:rFonts w:ascii="Times New Roman" w:hAnsi="Times New Roman" w:cs="Times New Roman" w:eastAsia="Times New Roman" w:hint="default"/>
          <w:spacing w:val="-3"/>
        </w:rPr>
        <w:t>1.9</w:t>
      </w:r>
      <w:r>
        <w:rPr>
          <w:spacing w:val="-3"/>
        </w:rPr>
        <w:t>亿元拆迁补偿款暂记预收账款，不确</w:t>
      </w:r>
      <w:r>
        <w:rPr>
          <w:spacing w:val="-31"/>
        </w:rPr>
        <w:t> </w:t>
      </w:r>
      <w:r>
        <w:rPr>
          <w:spacing w:val="-31"/>
        </w:rPr>
      </w:r>
      <w:r>
        <w:rPr/>
        <w:t>认收入；待与拆迁补偿相关的后续事项明确后再确认相应的收入和结转相关的成本。</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7"/>
          <w:szCs w:val="27"/>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394"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3"/>
              <w:ind w:left="24" w:right="151"/>
              <w:jc w:val="left"/>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90,715.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90,715.00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360"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90,715.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90,715.00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期末单项金额重大并单项计提坏账准备的应收账款：</w:t>
      </w:r>
    </w:p>
    <w:p>
      <w:pPr>
        <w:spacing w:line="338" w:lineRule="auto" w:before="119"/>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组合中，按账龄分析法计提坏账准备的应收账款：</w:t>
      </w:r>
    </w:p>
    <w:p>
      <w:pPr>
        <w:spacing w:line="338" w:lineRule="auto" w:before="46"/>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组合中，采用余额百分比法计提坏账准备的应收账款：</w:t>
      </w:r>
    </w:p>
    <w:p>
      <w:pPr>
        <w:spacing w:line="343" w:lineRule="auto" w:before="41"/>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组合中，采用其他方法计提坏账准备的应收账款：</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980"/>
        </w:sectPr>
      </w:pPr>
    </w:p>
    <w:p>
      <w:pPr>
        <w:spacing w:line="338" w:lineRule="auto" w:before="46"/>
        <w:ind w:left="153"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元；本期收回或转回坏账准备金额</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宋体" w:hAnsi="宋体" w:cs="宋体" w:eastAsia="宋体" w:hint="default"/>
          <w:spacing w:val="-3"/>
          <w:sz w:val="18"/>
          <w:szCs w:val="18"/>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829" w:space="3001"/>
            <w:col w:w="112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8"/>
      </w:tblGrid>
      <w:tr>
        <w:trPr>
          <w:trHeight w:val="404"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9"/>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33" w:right="80"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398"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112,605,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865.95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27,375,5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42.08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85,230,32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74,333,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244.62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23,206,04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31.22%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51,127,195.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10</w:t>
            </w:r>
          </w:p>
        </w:tc>
      </w:tr>
      <w:tr>
        <w:trPr>
          <w:trHeight w:val="716"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112,605,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865.95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27,375,5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42.08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85,230,32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74,333,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244.62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23,206,04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31.22%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51,127,195.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right"/>
        <w:rPr>
          <w:rFonts w:ascii="Times New Roman" w:hAnsi="Times New Roman" w:cs="Times New Roman" w:eastAsia="Times New Roman" w:hint="default"/>
          <w:sz w:val="18"/>
          <w:szCs w:val="18"/>
        </w:rPr>
        <w:sectPr>
          <w:footerReference w:type="default" r:id="rId35"/>
          <w:pgSz w:w="11910" w:h="16840"/>
          <w:pgMar w:footer="979" w:header="741" w:top="1060" w:bottom="1160" w:left="980" w:right="980"/>
          <w:pgNumType w:start="149"/>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期末单项金额重大并单项计提坏账准备的其他应收款：</w:t>
      </w:r>
    </w:p>
    <w:p>
      <w:pPr>
        <w:spacing w:line="343" w:lineRule="auto"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组合中，按账龄分析法计提坏账准备的其他应收款：</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9" w:space="4351"/>
            <w:col w:w="112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403" w:hRule="exact"/>
        </w:trPr>
        <w:tc>
          <w:tcPr>
            <w:tcW w:w="2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2492" w:type="dxa"/>
            <w:vMerge/>
            <w:tcBorders>
              <w:left w:val="single" w:sz="4" w:space="0" w:color="000000"/>
              <w:bottom w:val="single" w:sz="4" w:space="0" w:color="000000"/>
              <w:right w:val="single" w:sz="4" w:space="0" w:color="000000"/>
            </w:tcBorders>
            <w:shd w:val="clear" w:color="auto" w:fill="D2D2D2"/>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个月以内</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24,279,023.48</w:t>
            </w: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18,967,903.43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948,395.17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399"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43,246,926.91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948,395.17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2.19%</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39,303,935.24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3,930,393.52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8,645,603.46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2,593,681.04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21,409,400.34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19,903,072.35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92.96%</w:t>
            </w:r>
          </w:p>
        </w:tc>
      </w:tr>
      <w:tr>
        <w:trPr>
          <w:trHeight w:val="399"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2,864,197.00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1,432,098.50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247,431.63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173,202.14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18,297,771.71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18,297,771.71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112,605,865.95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27,375,542.08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24.31%</w:t>
            </w:r>
          </w:p>
        </w:tc>
      </w:tr>
    </w:tbl>
    <w:p>
      <w:pPr>
        <w:spacing w:line="357" w:lineRule="auto" w:before="53"/>
        <w:ind w:left="153" w:right="4663"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组合中，采用余额百分比法计提坏账准备的其他应收款：</w:t>
      </w:r>
    </w:p>
    <w:p>
      <w:pPr>
        <w:spacing w:line="338" w:lineRule="auto" w:before="31"/>
        <w:ind w:left="153" w:right="46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组合中，采用其他方法计提坏账准备的其他应收款：</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spacing w:line="338" w:lineRule="auto" w:before="46"/>
        <w:ind w:left="153"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4,171,846.70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元；本期收回或转回坏账准备金额</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2,354.14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宋体" w:hAnsi="宋体" w:cs="宋体" w:eastAsia="宋体" w:hint="default"/>
          <w:spacing w:val="-3"/>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775" w:space="2055"/>
            <w:col w:w="1120"/>
          </w:cols>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8"/>
      </w:tblGrid>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2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9"/>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33" w:right="80"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8"/>
      </w:tblGrid>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2,500.00</w:t>
            </w:r>
          </w:p>
        </w:tc>
      </w:tr>
      <w:tr>
        <w:trPr>
          <w:trHeight w:val="398"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173,076.80</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169,976.80</w:t>
            </w:r>
          </w:p>
        </w:tc>
      </w:tr>
      <w:tr>
        <w:trPr>
          <w:trHeight w:val="40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112,430,289.15</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74,160,767.82</w:t>
            </w:r>
          </w:p>
        </w:tc>
      </w:tr>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112,605,865.95</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74,333,244.62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9"/>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深圳市深信西部房地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88,592,972.78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78.68%</w:t>
            </w: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深圳市深信泰丰投资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发展有限公司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18,632,391.59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16.55%</w:t>
            </w: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27"/>
              <w:jc w:val="left"/>
              <w:rPr>
                <w:rFonts w:ascii="宋体" w:hAnsi="宋体" w:cs="宋体" w:eastAsia="宋体" w:hint="default"/>
                <w:sz w:val="18"/>
                <w:szCs w:val="18"/>
              </w:rPr>
            </w:pPr>
            <w:r>
              <w:rPr>
                <w:rFonts w:ascii="宋体" w:hAnsi="宋体" w:cs="宋体" w:eastAsia="宋体" w:hint="default"/>
                <w:spacing w:val="-3"/>
                <w:sz w:val="18"/>
                <w:szCs w:val="18"/>
              </w:rPr>
              <w:t>惠州市华宝饲料有限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4,292,803.38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3.81%</w:t>
            </w: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27"/>
              <w:jc w:val="left"/>
              <w:rPr>
                <w:rFonts w:ascii="宋体" w:hAnsi="宋体" w:cs="宋体" w:eastAsia="宋体" w:hint="default"/>
                <w:sz w:val="18"/>
                <w:szCs w:val="18"/>
              </w:rPr>
            </w:pPr>
            <w:r>
              <w:rPr>
                <w:rFonts w:ascii="宋体" w:hAnsi="宋体" w:cs="宋体" w:eastAsia="宋体" w:hint="default"/>
                <w:spacing w:val="-3"/>
                <w:sz w:val="18"/>
                <w:szCs w:val="18"/>
              </w:rPr>
              <w:t>深圳市汇德祥贸易有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473,013.15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0.42%</w:t>
            </w: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27"/>
              <w:jc w:val="left"/>
              <w:rPr>
                <w:rFonts w:ascii="宋体" w:hAnsi="宋体" w:cs="宋体" w:eastAsia="宋体" w:hint="default"/>
                <w:sz w:val="18"/>
                <w:szCs w:val="18"/>
              </w:rPr>
            </w:pPr>
            <w:r>
              <w:rPr>
                <w:rFonts w:ascii="宋体" w:hAnsi="宋体" w:cs="宋体" w:eastAsia="宋体" w:hint="default"/>
                <w:spacing w:val="-3"/>
                <w:sz w:val="18"/>
                <w:szCs w:val="18"/>
              </w:rPr>
              <w:t>深圳市飞扬兴业科技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租赁押金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138,476.80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0.12%</w:t>
            </w: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112,129,657.70</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99.58%</w:t>
            </w:r>
          </w:p>
        </w:tc>
        <w:tc>
          <w:tcPr>
            <w:tcW w:w="16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6"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696" w:right="61" w:hanging="630"/>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388,650,000.00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106,470,000.00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282,180,000.00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388,650,000.00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106,470,000.00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282,180,000.00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388,650,000.00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106,470,000.00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282,180,000.00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388,650,000.00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106,470,000.00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282,180,000.00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5"/>
        <w:gridCol w:w="1340"/>
        <w:gridCol w:w="1335"/>
        <w:gridCol w:w="1335"/>
        <w:gridCol w:w="1335"/>
        <w:gridCol w:w="1393"/>
        <w:gridCol w:w="1388"/>
      </w:tblGrid>
      <w:tr>
        <w:trPr>
          <w:trHeight w:val="715"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00" w:right="55" w:hanging="538"/>
              <w:jc w:val="left"/>
              <w:rPr>
                <w:rFonts w:ascii="宋体" w:hAnsi="宋体" w:cs="宋体" w:eastAsia="宋体" w:hint="default"/>
                <w:sz w:val="18"/>
                <w:szCs w:val="18"/>
              </w:rPr>
            </w:pPr>
            <w:r>
              <w:rPr>
                <w:rFonts w:ascii="宋体" w:hAnsi="宋体" w:cs="宋体" w:eastAsia="宋体" w:hint="default"/>
                <w:spacing w:val="-3"/>
                <w:sz w:val="18"/>
                <w:szCs w:val="18"/>
              </w:rPr>
              <w:t>本期计提减值准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99" w:right="51" w:hanging="538"/>
              <w:jc w:val="left"/>
              <w:rPr>
                <w:rFonts w:ascii="宋体" w:hAnsi="宋体" w:cs="宋体" w:eastAsia="宋体" w:hint="default"/>
                <w:sz w:val="18"/>
                <w:szCs w:val="18"/>
              </w:rPr>
            </w:pPr>
            <w:r>
              <w:rPr>
                <w:rFonts w:ascii="宋体" w:hAnsi="宋体" w:cs="宋体" w:eastAsia="宋体" w:hint="default"/>
                <w:spacing w:val="-3"/>
                <w:sz w:val="18"/>
                <w:szCs w:val="18"/>
              </w:rPr>
              <w:t>减值准备期末余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716"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深圳市深信西部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房地产有限公司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118,300,000.00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118,300,000.00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106,470,000.00</w:t>
            </w:r>
          </w:p>
        </w:tc>
      </w:tr>
      <w:tr>
        <w:trPr>
          <w:trHeight w:val="102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3"/>
                <w:sz w:val="18"/>
                <w:szCs w:val="18"/>
              </w:rPr>
              <w:t>深圳市深信泰丰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投资发展有限公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深圳市华宝（集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团）饲料有限公司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61,300,000.00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61,300,000.00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3"/>
                <w:sz w:val="18"/>
                <w:szCs w:val="18"/>
              </w:rPr>
              <w:t>深圳市龙岗区华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宝经济发展有限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4,050,000.00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1"/>
              <w:jc w:val="left"/>
              <w:rPr>
                <w:rFonts w:ascii="宋体" w:hAnsi="宋体" w:cs="宋体" w:eastAsia="宋体" w:hint="default"/>
                <w:sz w:val="18"/>
                <w:szCs w:val="18"/>
              </w:rPr>
            </w:pPr>
            <w:r>
              <w:rPr>
                <w:rFonts w:ascii="宋体" w:hAnsi="宋体" w:cs="宋体" w:eastAsia="宋体" w:hint="default"/>
                <w:spacing w:val="-3"/>
                <w:sz w:val="18"/>
                <w:szCs w:val="18"/>
              </w:rPr>
              <w:t>深圳市泰丰科技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160,000,000.00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388,650,000.00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388,650,000.00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106,470,000.00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6"/>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 w:right="26"/>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398"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2,767,727.21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2,316,554.71</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2,767,727.21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2,316,554.71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18,128,227.34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15,001,000.24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14,444,717.52</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15,001,000.24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32,572,944.86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-544,246.25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10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8"/>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15,001,000.24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61,531.87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32,077,120.00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解除劳动关系给予员工补偿</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11,741,029.19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34,874,376.67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6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5"/>
        <w:gridCol w:w="3078"/>
        <w:gridCol w:w="1916"/>
        <w:gridCol w:w="1911"/>
      </w:tblGrid>
      <w:tr>
        <w:trPr>
          <w:trHeight w:val="207" w:hRule="exact"/>
        </w:trPr>
        <w:tc>
          <w:tcPr>
            <w:tcW w:w="2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5"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12.11%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0.06</w:t>
            </w:r>
          </w:p>
        </w:tc>
      </w:tr>
      <w:tr>
        <w:trPr>
          <w:trHeight w:val="711"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-0.04</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54"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13"/>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1"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1"/>
        <w:spacing w:line="240" w:lineRule="auto"/>
        <w:ind w:left="3283" w:right="0"/>
        <w:jc w:val="left"/>
        <w:rPr>
          <w:b w:val="0"/>
          <w:bCs w:val="0"/>
        </w:rPr>
      </w:pPr>
      <w:bookmarkStart w:name="_bookmark10" w:id="11"/>
      <w:bookmarkEnd w:id="11"/>
      <w:r>
        <w:rPr>
          <w:b w:val="0"/>
          <w:bCs w:val="0"/>
        </w:rPr>
      </w:r>
      <w:r>
        <w:rPr/>
        <w:t>第十一节</w:t>
      </w:r>
      <w:r>
        <w:rPr>
          <w:spacing w:val="1"/>
        </w:rPr>
        <w:t> </w:t>
      </w:r>
      <w:r>
        <w:rPr/>
        <w:t>备查文件目录</w:t>
      </w:r>
      <w:r>
        <w:rPr>
          <w:b w:val="0"/>
          <w:bCs w:val="0"/>
        </w:rPr>
      </w:r>
    </w:p>
    <w:sectPr>
      <w:pgSz w:w="11910" w:h="16840"/>
      <w:pgMar w:header="741"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219971pt;margin-top:795.661377pt;width:6.6pt;height:11.15pt;mso-position-horizontal-relative:page;mso-position-vertical-relative:page;z-index:-73948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00024pt;margin-top:781.981384pt;width:13.15pt;height:11.15pt;mso-position-horizontal-relative:page;mso-position-vertical-relative:page;z-index:-73945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00024pt;margin-top:781.981384pt;width:13.15pt;height:11.15pt;mso-position-horizontal-relative:page;mso-position-vertical-relative:page;z-index:-73943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340027pt;margin-top:781.981384pt;width:15.7pt;height:11.15pt;mso-position-horizontal-relative:page;mso-position-vertical-relative:page;z-index:-73940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40027pt;margin-top:781.981384pt;width:17.7pt;height:11.15pt;mso-position-horizontal-relative:page;mso-position-vertical-relative:page;z-index:-73938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40027pt;margin-top:781.981384pt;width:17.7pt;height:11.15pt;mso-position-horizontal-relative:page;mso-position-vertical-relative:page;z-index:-73936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149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1.119995pt;margin-top:36.062485pt;width:228.9pt;height:11.65pt;mso-position-horizontal-relative:page;mso-position-vertical-relative:page;z-index:-73950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9"/>
      <w:ind w:left="153"/>
    </w:pPr>
    <w:rPr>
      <w:rFonts w:ascii="宋体" w:hAnsi="宋体" w:eastAsia="宋体"/>
      <w:sz w:val="32"/>
      <w:szCs w:val="32"/>
    </w:rPr>
  </w:style>
  <w:style w:styleId="BodyText" w:type="paragraph">
    <w:name w:val="Body Text"/>
    <w:basedOn w:val="Normal"/>
    <w:uiPriority w:val="1"/>
    <w:qFormat/>
    <w:pPr>
      <w:spacing w:before="34"/>
      <w:ind w:left="153"/>
    </w:pPr>
    <w:rPr>
      <w:rFonts w:ascii="宋体" w:hAnsi="宋体" w:eastAsia="宋体"/>
      <w:sz w:val="21"/>
      <w:szCs w:val="21"/>
    </w:rPr>
  </w:style>
  <w:style w:styleId="Heading1" w:type="paragraph">
    <w:name w:val="Heading 1"/>
    <w:basedOn w:val="Normal"/>
    <w:uiPriority w:val="1"/>
    <w:qFormat/>
    <w:pPr>
      <w:spacing w:before="2"/>
      <w:ind w:left="87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sz000034.com/" TargetMode="External"/><Relationship Id="rId9" Type="http://schemas.openxmlformats.org/officeDocument/2006/relationships/hyperlink" Target="mailto:shenxintaifeng@126.com" TargetMode="External"/><Relationship Id="rId10" Type="http://schemas.openxmlformats.org/officeDocument/2006/relationships/hyperlink" Target="mailto:coolsunsun@126.com" TargetMode="External"/><Relationship Id="rId11" Type="http://schemas.openxmlformats.org/officeDocument/2006/relationships/hyperlink" Target="mailto:xuzhicd@163.com" TargetMode="External"/><Relationship Id="rId12" Type="http://schemas.openxmlformats.org/officeDocument/2006/relationships/hyperlink" Target="http://www.cninfo.com.cn/" TargetMode="External"/><Relationship Id="rId13" Type="http://schemas.openxmlformats.org/officeDocument/2006/relationships/hyperlink" Target="http://www.cninfo.com/"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cninfo.com.c/" TargetMode="External"/><Relationship Id="rId32" Type="http://schemas.openxmlformats.org/officeDocument/2006/relationships/footer" Target="footer3.xml"/><Relationship Id="rId33" Type="http://schemas.openxmlformats.org/officeDocument/2006/relationships/footer" Target="footer4.xml"/><Relationship Id="rId34" Type="http://schemas.openxmlformats.org/officeDocument/2006/relationships/footer" Target="footer5.xml"/><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深圳市深信泰丰(集团)股份有限公司</dc:creator>
  <dc:title>深圳市深信泰丰(集团)股份有限公司2015年年度报告全文</dc:title>
  <dcterms:created xsi:type="dcterms:W3CDTF">2020-05-04T09:25:28Z</dcterms:created>
  <dcterms:modified xsi:type="dcterms:W3CDTF">2020-05-04T09:25:28Z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2016-02-26T00:00:00Z</vt:filetime>
  </property>
  <property fmtid="{D5CDD505-2E9C-101B-9397-08002B2CF9AE}" pid="3" name="Creator">
    <vt:lpwstr>Microsoft® Word 2010</vt:lpwstr>
  </property>
  <property fmtid="{D5CDD505-2E9C-101B-9397-08002B2CF9AE}" pid="4" name="LastSaved">
    <vt:filetime>2020-05-04T00:00:00Z</vt:filetime>
  </property>
</Properties>
</file>