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8" w:left="3756" w:header="0" w:footer="3" w:gutter="0"/>
          <w:pgNumType w:start="1"/>
          <w:cols w:space="720"/>
          <w:noEndnote/>
          <w:rtlGutter w:val="0"/>
          <w:docGrid w:linePitch="360"/>
        </w:sectPr>
      </w:pPr>
    </w:p>
    <w:p>
      <w:pPr>
        <w:pStyle w:val="Style6"/>
        <w:keepNext w:val="0"/>
        <w:keepLines w:val="0"/>
        <w:framePr w:w="1104" w:h="523" w:wrap="none" w:vAnchor="text" w:hAnchor="page" w:x="5980" w:y="151"/>
        <w:widowControl w:val="0"/>
        <w:shd w:val="clear" w:color="auto" w:fill="auto"/>
        <w:bidi w:val="0"/>
        <w:spacing w:before="0" w:after="0" w:line="240" w:lineRule="auto"/>
        <w:ind w:left="0" w:right="0" w:firstLine="0"/>
        <w:jc w:val="center"/>
        <w:rPr>
          <w:sz w:val="22"/>
          <w:szCs w:val="22"/>
        </w:rPr>
      </w:pPr>
      <w:r>
        <w:rPr>
          <w:rFonts w:ascii="SimHei" w:eastAsia="SimHei" w:hAnsi="SimHei" w:cs="SimHei"/>
          <w:b w:val="0"/>
          <w:bCs w:val="0"/>
          <w:spacing w:val="0"/>
          <w:w w:val="100"/>
          <w:position w:val="0"/>
          <w:sz w:val="22"/>
          <w:szCs w:val="22"/>
        </w:rPr>
        <w:t>神州数码</w:t>
      </w:r>
    </w:p>
    <w:p>
      <w:pPr>
        <w:pStyle w:val="Style6"/>
        <w:keepNext w:val="0"/>
        <w:keepLines w:val="0"/>
        <w:framePr w:w="1104" w:h="523" w:wrap="none" w:vAnchor="text" w:hAnchor="page" w:x="5980" w:y="151"/>
        <w:widowControl w:val="0"/>
        <w:shd w:val="clear" w:color="auto" w:fill="auto"/>
        <w:bidi w:val="0"/>
        <w:spacing w:before="0" w:after="0" w:line="240" w:lineRule="auto"/>
        <w:ind w:left="0" w:right="0" w:firstLine="0"/>
        <w:jc w:val="left"/>
      </w:pPr>
      <w:r>
        <w:rPr>
          <w:spacing w:val="0"/>
          <w:w w:val="100"/>
          <w:position w:val="0"/>
        </w:rPr>
        <w:t xml:space="preserve">Drgital </w:t>
      </w:r>
      <w:r>
        <w:rPr>
          <w:color w:val="424242"/>
          <w:spacing w:val="0"/>
          <w:w w:val="100"/>
          <w:position w:val="0"/>
        </w:rPr>
        <w:t>China</w:t>
      </w:r>
    </w:p>
    <w:p>
      <w:pPr>
        <w:pStyle w:val="Style10"/>
        <w:keepNext w:val="0"/>
        <w:keepLines w:val="0"/>
        <w:framePr w:w="4378" w:h="485" w:wrap="none" w:vAnchor="text" w:hAnchor="page" w:x="3757" w:y="1091"/>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p>
      <w:pPr>
        <w:pStyle w:val="Style12"/>
        <w:keepNext/>
        <w:keepLines/>
        <w:framePr w:w="2366" w:h="408" w:wrap="none" w:vAnchor="text" w:hAnchor="page" w:x="4761" w:y="2017"/>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15"/>
        <w:keepNext w:val="0"/>
        <w:keepLines w:val="0"/>
        <w:framePr w:w="1872" w:h="413" w:wrap="none" w:vAnchor="text" w:hAnchor="page" w:x="5001" w:y="842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spacing w:line="360" w:lineRule="exact"/>
      </w:pPr>
      <w:r>
        <w:drawing>
          <wp:anchor distT="0" distB="0" distL="0" distR="731520" simplePos="0" relativeHeight="62914694" behindDoc="1" locked="0" layoutInCell="1" allowOverlap="1">
            <wp:simplePos x="0" y="0"/>
            <wp:positionH relativeFrom="page">
              <wp:posOffset>3205480</wp:posOffset>
            </wp:positionH>
            <wp:positionV relativeFrom="paragraph">
              <wp:posOffset>12700</wp:posOffset>
            </wp:positionV>
            <wp:extent cx="560705" cy="44513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560705" cy="445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022" w:right="1140" w:bottom="988" w:left="3756" w:header="0" w:footer="3" w:gutter="0"/>
          <w:cols w:space="720"/>
          <w:noEndnote/>
          <w:rtlGutter w:val="0"/>
          <w:docGrid w:linePitch="360"/>
        </w:sectPr>
      </w:pPr>
    </w:p>
    <w:p>
      <w:pPr>
        <w:pStyle w:val="Style12"/>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本公司董事会、监事会及董事、监事、高级管理人员保证年度报告内容的真 实、准确、完整，不存在虚假记载、误导性陈述或重大遗漏，并承担个别和连带 的法律责任。</w:t>
      </w:r>
    </w:p>
    <w:p>
      <w:pPr>
        <w:pStyle w:val="Style18"/>
        <w:keepNext w:val="0"/>
        <w:keepLines w:val="0"/>
        <w:widowControl w:val="0"/>
        <w:shd w:val="clear" w:color="auto" w:fill="auto"/>
        <w:bidi w:val="0"/>
        <w:spacing w:before="0" w:line="634" w:lineRule="exact"/>
        <w:ind w:left="0" w:right="0"/>
        <w:jc w:val="both"/>
      </w:pPr>
      <w:r>
        <w:rPr>
          <w:color w:val="000000"/>
          <w:spacing w:val="0"/>
          <w:w w:val="100"/>
          <w:position w:val="0"/>
        </w:rPr>
        <w:t>公司负责人郭为、主管会计工作负责人张云飞及会计机构负责人</w:t>
      </w:r>
      <w:r>
        <w:rPr>
          <w:rFonts w:ascii="SimHei" w:eastAsia="SimHei" w:hAnsi="SimHei" w:cs="SimHei"/>
          <w:b w:val="0"/>
          <w:bCs w:val="0"/>
          <w:color w:val="000000"/>
          <w:spacing w:val="0"/>
          <w:w w:val="100"/>
          <w:position w:val="0"/>
          <w:sz w:val="22"/>
          <w:szCs w:val="22"/>
        </w:rPr>
        <w:t>（</w:t>
      </w:r>
      <w:r>
        <w:rPr>
          <w:color w:val="000000"/>
          <w:spacing w:val="0"/>
          <w:w w:val="100"/>
          <w:position w:val="0"/>
        </w:rPr>
        <w:t>会计主管 人员</w:t>
      </w:r>
      <w:r>
        <w:rPr>
          <w:rFonts w:ascii="SimHei" w:eastAsia="SimHei" w:hAnsi="SimHei" w:cs="SimHei"/>
          <w:b w:val="0"/>
          <w:bCs w:val="0"/>
          <w:color w:val="000000"/>
          <w:spacing w:val="0"/>
          <w:w w:val="100"/>
          <w:position w:val="0"/>
          <w:sz w:val="22"/>
          <w:szCs w:val="22"/>
        </w:rPr>
        <w:t>）</w:t>
      </w:r>
      <w:r>
        <w:rPr>
          <w:color w:val="000000"/>
          <w:spacing w:val="0"/>
          <w:w w:val="100"/>
          <w:position w:val="0"/>
        </w:rPr>
        <w:t>陈振坤声明：保证年度报告中财务报告的真实、准确、完整。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本公司请投资者认真阅读本年度报告全文，并特别注意下列风险因素。公 司存在市场竞争风险、产品技术风险、人才流失等风险，敬请广大投资者注意风 险投资风险，详细内容见本报告</w:t>
      </w:r>
      <w:r>
        <w:rPr>
          <w:rFonts w:ascii="SimHei" w:eastAsia="SimHei" w:hAnsi="SimHei" w:cs="SimHei"/>
          <w:b w:val="0"/>
          <w:bCs w:val="0"/>
          <w:color w:val="000000"/>
          <w:spacing w:val="0"/>
          <w:w w:val="100"/>
          <w:position w:val="0"/>
          <w:sz w:val="22"/>
          <w:szCs w:val="22"/>
        </w:rPr>
        <w:t>“</w:t>
      </w:r>
      <w:r>
        <w:rPr>
          <w:color w:val="000000"/>
          <w:spacing w:val="0"/>
          <w:w w:val="100"/>
          <w:position w:val="0"/>
        </w:rPr>
        <w:t>第四节经营情况讨论与分析</w:t>
      </w:r>
      <w:r>
        <w:rPr>
          <w:rFonts w:ascii="SimHei" w:eastAsia="SimHei" w:hAnsi="SimHei" w:cs="SimHei"/>
          <w:b w:val="0"/>
          <w:bCs w:val="0"/>
          <w:color w:val="000000"/>
          <w:spacing w:val="0"/>
          <w:w w:val="100"/>
          <w:position w:val="0"/>
          <w:sz w:val="22"/>
          <w:szCs w:val="22"/>
        </w:rPr>
        <w:t>”</w:t>
      </w:r>
      <w:r>
        <w:rPr>
          <w:color w:val="000000"/>
          <w:spacing w:val="0"/>
          <w:w w:val="100"/>
          <w:position w:val="0"/>
        </w:rPr>
        <w:t>。</w:t>
      </w:r>
    </w:p>
    <w:p>
      <w:pPr>
        <w:pStyle w:val="Style18"/>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40" w:right="1104" w:bottom="1940" w:left="1109"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0"/>
        <w:keepNext w:val="0"/>
        <w:keepLines w:val="0"/>
        <w:widowControl w:val="0"/>
        <w:shd w:val="clear" w:color="auto" w:fill="auto"/>
        <w:bidi w:val="0"/>
        <w:spacing w:before="1700" w:after="152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8"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91"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40</w:t>
        </w:r>
      </w:hyperlink>
    </w:p>
    <w:p>
      <w:pPr>
        <w:pStyle w:val="Style21"/>
        <w:keepNext w:val="0"/>
        <w:keepLines w:val="0"/>
        <w:widowControl w:val="0"/>
        <w:shd w:val="clear" w:color="auto" w:fill="auto"/>
        <w:tabs>
          <w:tab w:pos="910" w:val="left"/>
          <w:tab w:leader="dot" w:pos="9609" w:val="right"/>
        </w:tabs>
        <w:bidi w:val="0"/>
        <w:spacing w:before="0" w:line="240" w:lineRule="auto"/>
        <w:ind w:left="0" w:right="0" w:firstLine="0"/>
        <w:jc w:val="left"/>
        <w:rPr>
          <w:sz w:val="24"/>
          <w:szCs w:val="24"/>
        </w:rPr>
      </w:pPr>
      <w:hyperlink w:anchor="bookmark282"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41"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0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04"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56"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70"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89</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74" w:tooltip="Current Document">
        <w:r>
          <w:rPr>
            <w:color w:val="000000"/>
            <w:spacing w:val="0"/>
            <w:w w:val="100"/>
            <w:position w:val="0"/>
            <w:sz w:val="22"/>
            <w:szCs w:val="22"/>
          </w:rPr>
          <w:t>第^一节 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90</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571"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186</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公司、本公司、神州数码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深信泰丰、原上市公司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深圳市深信泰丰（集团）股份有限公司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神州数码控股有限公司，一家注册于百慕大并于香港上市的公司， 股票代码为</w:t>
            </w:r>
            <w:r>
              <w:rPr>
                <w:rFonts w:ascii="Times New Roman" w:eastAsia="Times New Roman" w:hAnsi="Times New Roman" w:cs="Times New Roman"/>
                <w:color w:val="000000"/>
                <w:spacing w:val="0"/>
                <w:w w:val="100"/>
                <w:position w:val="0"/>
              </w:rPr>
              <w:t>0861.HK</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神州数码信息服务股份有限公司，股票代码为</w:t>
            </w:r>
            <w:r>
              <w:rPr>
                <w:rFonts w:ascii="Times New Roman" w:eastAsia="Times New Roman" w:hAnsi="Times New Roman" w:cs="Times New Roman"/>
                <w:color w:val="000000"/>
                <w:spacing w:val="0"/>
                <w:w w:val="100"/>
                <w:position w:val="0"/>
              </w:rPr>
              <w:t>SZ.000555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年上市公司实施重大资产重组所收购的神州数码控股有限公司 下属公司，主要包括神码中国</w:t>
            </w:r>
            <w:r>
              <w:rPr>
                <w:rFonts w:ascii="Times New Roman" w:eastAsia="Times New Roman" w:hAnsi="Times New Roman" w:cs="Times New Roman"/>
                <w:color w:val="000000"/>
                <w:spacing w:val="0"/>
                <w:w w:val="100"/>
                <w:position w:val="0"/>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rPr>
              <w:t>100%</w:t>
            </w:r>
            <w:r>
              <w:rPr>
                <w:color w:val="000000"/>
                <w:spacing w:val="0"/>
                <w:w w:val="100"/>
                <w:position w:val="0"/>
              </w:rPr>
              <w:t>股权和神 码广州</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重大资产出售之标的公司股权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深圳市深信西部房地产有限公司、深圳市泰丰科技有限公司、深圳 市华宝（集团）饲料有限公司各自</w:t>
            </w:r>
            <w:r>
              <w:rPr>
                <w:rFonts w:ascii="Times New Roman" w:eastAsia="Times New Roman" w:hAnsi="Times New Roman" w:cs="Times New Roman"/>
                <w:color w:val="000000"/>
                <w:spacing w:val="0"/>
                <w:w w:val="100"/>
                <w:position w:val="0"/>
              </w:rPr>
              <w:t>100%</w:t>
            </w:r>
            <w:r>
              <w:rPr>
                <w:color w:val="000000"/>
                <w:spacing w:val="0"/>
                <w:w w:val="100"/>
                <w:position w:val="0"/>
              </w:rPr>
              <w:t>股权以及深圳市深信泰丰投 资发展有限公司、深圳市龙岗区华宝经济发展有限公司各自</w:t>
            </w:r>
            <w:r>
              <w:rPr>
                <w:rFonts w:ascii="Times New Roman" w:eastAsia="Times New Roman" w:hAnsi="Times New Roman" w:cs="Times New Roman"/>
                <w:color w:val="000000"/>
                <w:spacing w:val="0"/>
                <w:w w:val="100"/>
                <w:position w:val="0"/>
              </w:rPr>
              <w:t>90%</w:t>
            </w:r>
            <w:r>
              <w:rPr>
                <w:color w:val="000000"/>
                <w:spacing w:val="0"/>
                <w:w w:val="100"/>
                <w:position w:val="0"/>
              </w:rPr>
              <w:t>股 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广州神州数码信息科技有限公司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神码沈阳</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沈阳神州数码有限公司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神码济南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神州数码科技发展有限公司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神州数码澳门离岸商业服务有限公司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北京神州数码供应链服务有限公司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神码西安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系统信息香港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系统信息科技（香港）有限公司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神码网络香港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神州数码网络（香港）有限公司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神州数码（香港）有限公司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云科信息技术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北京神州云科信息技术有限公司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云科信息服务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北京神州云科信息服务有限公司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北京网络公司</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神码有限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神贝公司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北京神州数码索贝科技有限公司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神州数码（深圳）有限公司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神码南京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神码杭州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神码福州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福州神州数码有限公司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神码长沙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神码成都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神码郑州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郑州神州数码有限公司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上海神州数码通信技术有限公司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DCMS</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Digital China Marketing </w:t>
            </w:r>
            <w:r>
              <w:rPr>
                <w:rFonts w:ascii="Times New Roman" w:eastAsia="Times New Roman" w:hAnsi="Times New Roman" w:cs="Times New Roman"/>
                <w:i/>
                <w:iCs/>
                <w:color w:val="000000"/>
                <w:spacing w:val="0"/>
                <w:w w:val="100"/>
                <w:position w:val="0"/>
              </w:rPr>
              <w:t>&amp;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Services Ltd.</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神码数据服务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神州数码数据服务（香港）有限公司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北京智慧生活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北京神州数码智慧生活科技有限公司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神州数码科技服务有限公司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神码电商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北京神州数码电商科技有限公司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贵州云科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贵州神州云科信息服务有限公司</w:t>
            </w:r>
          </w:p>
        </w:tc>
      </w:tr>
    </w:tbl>
    <w:p>
      <w:pPr>
        <w:spacing w:lineRule="exact" w:line="1"/>
        <w:rPr>
          <w:sz w:val="2"/>
          <w:szCs w:val="2"/>
        </w:rPr>
      </w:pPr>
      <w:r>
        <w:br w:type="page"/>
      </w:r>
    </w:p>
    <w:p>
      <w:pPr>
        <w:pStyle w:val="Style12"/>
        <w:keepNext/>
        <w:keepLines/>
        <w:widowControl w:val="0"/>
        <w:shd w:val="clear" w:color="auto" w:fill="auto"/>
        <w:bidi w:val="0"/>
        <w:spacing w:before="0" w:after="58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8"/>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、公司信息</w:t>
      </w:r>
      <w:bookmarkEnd w:id="13"/>
      <w:bookmarkEnd w:id="14"/>
      <w:bookmarkEnd w:id="16"/>
      <w:bookmarkEnd w:id="12"/>
    </w:p>
    <w:tbl>
      <w:tblPr>
        <w:tblOverlap w:val="never"/>
        <w:jc w:val="center"/>
        <w:tblLayout w:type="fixed"/>
      </w:tblPr>
      <w:tblGrid>
        <w:gridCol w:w="2285"/>
        <w:gridCol w:w="2957"/>
        <w:gridCol w:w="2155"/>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Group Co.,Ltd</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公司的外文名称缩写（如 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深圳市南山区粤海街道科发路</w:t>
            </w:r>
            <w:r>
              <w:rPr>
                <w:rFonts w:ascii="Times New Roman" w:eastAsia="Times New Roman" w:hAnsi="Times New Roman" w:cs="Times New Roman"/>
                <w:color w:val="000000"/>
                <w:spacing w:val="0"/>
                <w:w w:val="100"/>
                <w:position w:val="0"/>
              </w:rPr>
              <w:t>8</w:t>
            </w:r>
            <w:r>
              <w:rPr>
                <w:color w:val="000000"/>
                <w:spacing w:val="0"/>
                <w:w w:val="100"/>
                <w:position w:val="0"/>
              </w:rPr>
              <w:t>号金融基地</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11</w:t>
            </w:r>
            <w:r>
              <w:rPr>
                <w:color w:val="000000"/>
                <w:spacing w:val="0"/>
                <w:w w:val="100"/>
                <w:position w:val="0"/>
              </w:rPr>
              <w:t>楼</w:t>
            </w:r>
            <w:r>
              <w:rPr>
                <w:rFonts w:ascii="Times New Roman" w:eastAsia="Times New Roman" w:hAnsi="Times New Roman" w:cs="Times New Roman"/>
                <w:color w:val="000000"/>
                <w:spacing w:val="0"/>
                <w:w w:val="100"/>
                <w:position w:val="0"/>
              </w:rPr>
              <w:t>E1</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北京市海淀区上地九街九号数码科技广场</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100085</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"http://www.digitalchina.com" </w:instrText>
            </w:r>
            <w:r>
              <w:fldChar w:fldCharType="separate"/>
            </w:r>
            <w:r>
              <w:rPr>
                <w:rFonts w:ascii="Times New Roman" w:eastAsia="Times New Roman" w:hAnsi="Times New Roman" w:cs="Times New Roman"/>
                <w:color w:val="000000"/>
                <w:spacing w:val="0"/>
                <w:w w:val="100"/>
                <w:position w:val="0"/>
              </w:rPr>
              <w:t>http://www.digitalchina.com</w:t>
            </w:r>
            <w:r>
              <w:fldChar w:fldCharType="end"/>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"mailto:dcg-ir@digitalchina.com" </w:instrText>
            </w:r>
            <w:r>
              <w:fldChar w:fldCharType="separate"/>
            </w:r>
            <w:r>
              <w:rPr>
                <w:rFonts w:ascii="Times New Roman" w:eastAsia="Times New Roman" w:hAnsi="Times New Roman" w:cs="Times New Roman"/>
                <w:color w:val="000000"/>
                <w:spacing w:val="0"/>
                <w:w w:val="100"/>
                <w:position w:val="0"/>
              </w:rPr>
              <w:t>dcg-ir@digitalchina.com</w:t>
            </w:r>
            <w:r>
              <w:fldChar w:fldCharType="end"/>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200"/>
        <w:jc w:val="left"/>
      </w:pPr>
      <w:bookmarkStart w:id="17" w:name="bookmark17"/>
      <w:bookmarkStart w:id="18" w:name="bookmark18"/>
      <w:bookmarkStart w:id="19" w:name="bookmark19"/>
      <w:bookmarkStart w:id="20" w:name="bookmark20"/>
      <w:r>
        <w:rPr>
          <w:color w:val="000000"/>
          <w:spacing w:val="0"/>
          <w:w w:val="100"/>
          <w:position w:val="0"/>
        </w:rPr>
        <w:t>、</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王继业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孙丹梅</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北京市海淀区上地九街九号数码科技广 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北京市海淀区上地九街九号数码科技广 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010-82705411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010-82705411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010-82705651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010-82705651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dcg-ir@digitalchina. com</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"mailto:dcg-ir@digitalchina.com" </w:instrText>
            </w:r>
            <w:r>
              <w:fldChar w:fldCharType="separate"/>
            </w:r>
            <w:r>
              <w:rPr>
                <w:rFonts w:ascii="Times New Roman" w:eastAsia="Times New Roman" w:hAnsi="Times New Roman" w:cs="Times New Roman"/>
                <w:color w:val="000000"/>
                <w:spacing w:val="0"/>
                <w:w w:val="100"/>
                <w:position w:val="0"/>
              </w:rPr>
              <w:t>dcg-ir@digitalchina.com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北京市海淀区上地九街九号数码科技广场神州数码集团股份有限公司 证券部</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、注册变更情况</w:t>
      </w:r>
      <w:bookmarkEnd w:id="25"/>
      <w:bookmarkEnd w:id="26"/>
      <w:bookmarkEnd w:id="28"/>
    </w:p>
    <w:tbl>
      <w:tblPr>
        <w:tblOverlap w:val="never"/>
        <w:jc w:val="center"/>
        <w:tblLayout w:type="fixed"/>
      </w:tblPr>
      <w:tblGrid>
        <w:gridCol w:w="3192"/>
        <w:gridCol w:w="638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9144030019218259X7</w:t>
            </w:r>
          </w:p>
        </w:tc>
      </w:tr>
      <w:tr>
        <w:trPr>
          <w:trHeight w:val="118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公司工商登记注册关于经营范围的变更情况为：</w:t>
            </w:r>
          </w:p>
          <w:p>
            <w:pPr>
              <w:pStyle w:val="Style24"/>
              <w:keepNext w:val="0"/>
              <w:keepLines w:val="0"/>
              <w:widowControl w:val="0"/>
              <w:shd w:val="clear" w:color="auto" w:fill="auto"/>
              <w:tabs>
                <w:tab w:pos="278"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月，经营范围为：食用动物，肉类加工，饲料。畜用药，畜禽医疗 器械。</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日，经营范围变更为：食用动物，肉类加工，饲料，果树 种植。畜用药，畜禽医疗器械。</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日，经营范围变更为：经营国内商业、物资供销业（不含专 营、专卖、专控商品）；进出口业务按深贸管审证字</w:t>
            </w:r>
            <w:r>
              <w:rPr>
                <w:rFonts w:ascii="Times New Roman" w:eastAsia="Times New Roman" w:hAnsi="Times New Roman" w:cs="Times New Roman"/>
                <w:color w:val="000000"/>
                <w:spacing w:val="0"/>
                <w:w w:val="100"/>
                <w:position w:val="0"/>
              </w:rPr>
              <w:t>056</w:t>
            </w:r>
            <w:r>
              <w:rPr>
                <w:color w:val="000000"/>
                <w:spacing w:val="0"/>
                <w:w w:val="100"/>
                <w:position w:val="0"/>
              </w:rPr>
              <w:t>号文办理；食用动物、 肉类加工，饲料，果树种植。畜用药，畜禽医疗器械。</w:t>
            </w:r>
          </w:p>
          <w:p>
            <w:pPr>
              <w:pStyle w:val="Style24"/>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日，经营范围变更为：国内商业、物资供销业（不含专营、专 控、专卖商品）。进出口业务（按深贸管审证字</w:t>
            </w:r>
            <w:r>
              <w:rPr>
                <w:rFonts w:ascii="Times New Roman" w:eastAsia="Times New Roman" w:hAnsi="Times New Roman" w:cs="Times New Roman"/>
                <w:color w:val="000000"/>
                <w:spacing w:val="0"/>
                <w:w w:val="100"/>
                <w:position w:val="0"/>
              </w:rPr>
              <w:t>056</w:t>
            </w:r>
            <w:r>
              <w:rPr>
                <w:color w:val="000000"/>
                <w:spacing w:val="0"/>
                <w:w w:val="100"/>
                <w:position w:val="0"/>
              </w:rPr>
              <w:t>号文办理）；食用动物、肉类 加工、果树种植；畜用药。</w:t>
            </w:r>
          </w:p>
          <w:p>
            <w:pPr>
              <w:pStyle w:val="Style24"/>
              <w:keepNext w:val="0"/>
              <w:keepLines w:val="0"/>
              <w:widowControl w:val="0"/>
              <w:shd w:val="clear" w:color="auto" w:fill="auto"/>
              <w:tabs>
                <w:tab w:pos="269"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日，经营范围变更为：（一）研究、开发计算机硬件及配套零 件；网络产品、多媒体产品、电子信息产品及通讯产品、办公自动化设备、仪器 仪表、电器及印刷照排设备、计算机应用系统的安装和维修；自产产品的技术咨 询、技术服务、技术转让；经营自产产品的出口业务；代理销售计算机硬件、软 件及外围设施；销售自产产品。（不涉及国营贸易管理商品；涉及配额、许可证 管理商品的按国家有关规定办理申请手续）依法须经批准的项目，经相关部门批 准后依批准的内容开展经营活动。（二）国内商业、物资供销业（不含专营、专 控、专卖商品）、进出口业务（按深贸管审证字</w:t>
            </w:r>
            <w:r>
              <w:rPr>
                <w:rFonts w:ascii="Times New Roman" w:eastAsia="Times New Roman" w:hAnsi="Times New Roman" w:cs="Times New Roman"/>
                <w:color w:val="000000"/>
                <w:spacing w:val="0"/>
                <w:w w:val="100"/>
                <w:position w:val="0"/>
              </w:rPr>
              <w:t>056</w:t>
            </w:r>
            <w:r>
              <w:rPr>
                <w:color w:val="000000"/>
                <w:spacing w:val="0"/>
                <w:w w:val="100"/>
                <w:position w:val="0"/>
              </w:rPr>
              <w:t>号文办理）、食用动物、肉类 加工、果树种植、畜用药。（三）开发、生产销售无绳电话机、多功能电话机、 遥控器、电子智能学习机、电话注塑配件、电视机塑胶配件；通信设备、电子、 计算机配件的技术开发；进出口业务（按资格证书办理）；计算机软件、信息技 术、系统集成、办公自动化、综合布线技术的研发（不含限制项目）；生产机电 一体化产品。（四）购销饲料、农副产品、浓缩饲料添加剂（以上不含专营专</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卖、专控商品）；兴办种、养殖业（不含限制项目）。（五）在深圳市范围内从事 房地产开发经营业务；兴办实业（具体项目另行审批）。</w:t>
            </w:r>
          </w:p>
          <w:p>
            <w:pPr>
              <w:pStyle w:val="Style24"/>
              <w:keepNext w:val="0"/>
              <w:keepLines w:val="0"/>
              <w:widowControl w:val="0"/>
              <w:shd w:val="clear" w:color="auto" w:fill="auto"/>
              <w:tabs>
                <w:tab w:pos="26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日，经营范围变更为：（一）计算机硬件及配套零件的研究、 开发；网络产品、多媒体产品、电子信息产品及通讯产品、办公自动化设备、仪 器仪表、电器及印刷照排设备、计算机应用系统的安装和维修；自产产品的技术 咨询、技术服务、技术转让（法律、行政法规、国务院决定禁止的项目除外，限 制的项目须取得许可后方可经营）；经营进出口业务（法律、行政法规、国务院 决定禁止的项目除外，限制的项目须取得许可后方可经营）；计算机硬件、软件 及外围设施的代理销售；销售自产产品（法律、行政法规、国务院决定禁止的项</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目除外，限制的项目须取得许可后方可经营）；（二）通信设备、电子、计算机配 件的技术开发；计算机软件、信息技术、系统集成、办公自动化、综合布线技术 的研发（不含限制项目）；（三）投资兴办实业（具体项目另行申报）；在合法取 得使用权的土地上从事房地产开发经营。（以上项目法律、行政法规、国务院决 定禁止的项目除外，限制的项目须取得许可后方可经营）。</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7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月，公司控股股东由深圳市宝安区投资管理公司变更为深圳国际 信托投资公司。</w:t>
            </w:r>
          </w:p>
          <w:p>
            <w:pPr>
              <w:pStyle w:val="Style24"/>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月，公司控股股东由深圳国际信托投资有限责任公司变更为中国希</w:t>
            </w:r>
          </w:p>
        </w:tc>
      </w:tr>
    </w:tbl>
    <w:p>
      <w:pPr>
        <w:spacing w:lineRule="exact" w:line="1"/>
        <w:rPr>
          <w:sz w:val="2"/>
          <w:szCs w:val="2"/>
        </w:rPr>
      </w:pPr>
      <w:r>
        <w:br w:type="page"/>
      </w:r>
    </w:p>
    <w:tbl>
      <w:tblPr>
        <w:tblOverlap w:val="never"/>
        <w:jc w:val="center"/>
        <w:tblLayout w:type="fixed"/>
      </w:tblPr>
      <w:tblGrid>
        <w:gridCol w:w="3250"/>
        <w:gridCol w:w="645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格玛有限公司。</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月，公司控股股东由中国希格玛有限公司变更为郭为先生。</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、其他有关资料</w:t>
      </w:r>
      <w:bookmarkEnd w:id="29"/>
      <w:bookmarkEnd w:id="30"/>
      <w:bookmarkEnd w:id="3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唐静、唐炫</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4</w:t>
            </w:r>
            <w:r>
              <w:rPr>
                <w:color w:val="000000"/>
                <w:spacing w:val="0"/>
                <w:w w:val="100"/>
                <w:position w:val="0"/>
              </w:rPr>
              <w:t>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刘冠勋、梅秀振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中银国际证券有限责任公司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上海市浦东区银城中路</w:t>
            </w:r>
            <w:r>
              <w:rPr>
                <w:rFonts w:ascii="Times New Roman" w:eastAsia="Times New Roman" w:hAnsi="Times New Roman" w:cs="Times New Roman"/>
                <w:color w:val="000000"/>
                <w:spacing w:val="0"/>
                <w:w w:val="100"/>
                <w:position w:val="0"/>
              </w:rPr>
              <w:t xml:space="preserve">200 </w:t>
            </w:r>
            <w:r>
              <w:rPr>
                <w:color w:val="000000"/>
                <w:spacing w:val="0"/>
                <w:w w:val="100"/>
                <w:position w:val="0"/>
              </w:rPr>
              <w:t>号中银大厦</w:t>
            </w:r>
            <w:r>
              <w:rPr>
                <w:rFonts w:ascii="Times New Roman" w:eastAsia="Times New Roman" w:hAnsi="Times New Roman" w:cs="Times New Roman"/>
                <w:color w:val="000000"/>
                <w:spacing w:val="0"/>
                <w:w w:val="100"/>
                <w:position w:val="0"/>
              </w:rPr>
              <w:t>39</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韩冰、王金成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339" w:line="1" w:lineRule="exact"/>
      </w:pPr>
    </w:p>
    <w:p>
      <w:pPr>
        <w:pStyle w:val="Style28"/>
        <w:keepNext/>
        <w:keepLines/>
        <w:widowControl w:val="0"/>
        <w:shd w:val="clear" w:color="auto" w:fill="auto"/>
        <w:bidi w:val="0"/>
        <w:spacing w:before="0" w:after="2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、主要会计数据和财务指标</w:t>
      </w:r>
      <w:bookmarkEnd w:id="33"/>
      <w:bookmarkEnd w:id="34"/>
      <w:bookmarkEnd w:id="36"/>
    </w:p>
    <w:p>
      <w:pPr>
        <w:pStyle w:val="Style3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947"/>
        <w:gridCol w:w="1598"/>
        <w:gridCol w:w="1560"/>
        <w:gridCol w:w="1738"/>
        <w:gridCol w:w="177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40,531,123,500.93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458,063,353.60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509,055,702.64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403,795,179.08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21,363,244.02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61,471,205.74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189,521,211.71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-13,511,132.65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-3,195,362.67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345,882,116.26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-13,502,356.55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-28,153,147.99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17,037,169,575.96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448,008,298.67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461,668,045.26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2,648,163,405.59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186,999,858.89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165,636,614.87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79" w:line="1" w:lineRule="exact"/>
      </w:pPr>
    </w:p>
    <w:tbl>
      <w:tblPr>
        <w:tblOverlap w:val="never"/>
        <w:jc w:val="center"/>
        <w:tblLayout w:type="fixed"/>
      </w:tblPr>
      <w:tblGrid>
        <w:gridCol w:w="4819"/>
        <w:gridCol w:w="482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654,070,434</w:t>
            </w:r>
          </w:p>
        </w:tc>
      </w:tr>
    </w:tbl>
    <w:p>
      <w:pPr>
        <w:spacing w:lineRule="exact" w:line="1"/>
        <w:rPr>
          <w:sz w:val="2"/>
          <w:szCs w:val="2"/>
        </w:rPr>
      </w:pPr>
      <w:r>
        <w:br w:type="page"/>
      </w:r>
    </w:p>
    <w:tbl>
      <w:tblPr>
        <w:tblOverlap w:val="never"/>
        <w:jc w:val="center"/>
        <w:tblLayout w:type="fixed"/>
      </w:tblPr>
      <w:tblGrid>
        <w:gridCol w:w="4819"/>
        <w:gridCol w:w="482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0.6174</w:t>
            </w:r>
          </w:p>
        </w:tc>
      </w:tr>
    </w:tbl>
    <w:p>
      <w:pPr>
        <w:widowControl w:val="0"/>
        <w:spacing w:after="679" w:line="1" w:lineRule="exact"/>
      </w:pPr>
    </w:p>
    <w:p>
      <w:pPr>
        <w:pStyle w:val="Style28"/>
        <w:keepNext/>
        <w:keepLines/>
        <w:widowControl w:val="0"/>
        <w:shd w:val="clear" w:color="auto" w:fill="auto"/>
        <w:tabs>
          <w:tab w:pos="526"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w:t>
        <w:tab/>
        <w:t>境内外会计准则下会计数据差异</w:t>
      </w:r>
      <w:bookmarkEnd w:id="37"/>
      <w:bookmarkEnd w:id="38"/>
      <w:bookmarkEnd w:id="40"/>
    </w:p>
    <w:p>
      <w:pPr>
        <w:pStyle w:val="Style36"/>
        <w:keepNext/>
        <w:keepLines/>
        <w:widowControl w:val="0"/>
        <w:shd w:val="clear" w:color="auto" w:fill="auto"/>
        <w:tabs>
          <w:tab w:pos="403"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3"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6"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w:t>
        <w:tab/>
        <w:t>分季度主要财务指标</w:t>
      </w:r>
      <w:bookmarkEnd w:id="49"/>
      <w:bookmarkEnd w:id="50"/>
      <w:bookmarkEnd w:id="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90,353,490.67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11,619,900,017.52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12,112,064,449.39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16,708,805,543.35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-5,919,019.93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257,755,686.68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81,988,229.93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69,970,282.40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-7,503,073.29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62,552,410.74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68,118,346.48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66,353,527.78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-20,553,275.51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203,767,420.03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784,066,275.68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-621,398,303.94</w:t>
            </w: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九</w:t>
      </w:r>
      <w:bookmarkEnd w:id="55"/>
      <w:r>
        <w:rPr>
          <w:color w:val="000000"/>
          <w:spacing w:val="0"/>
          <w:w w:val="100"/>
          <w:position w:val="0"/>
        </w:rPr>
        <w:t>、非经常性损益项目及金额</w:t>
      </w:r>
      <w:bookmarkEnd w:id="53"/>
      <w:bookmarkEnd w:id="54"/>
      <w:bookmarkEnd w:id="56"/>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93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-769,599.58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-544,246.25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50,359,266.18</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40,879,234.50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详见第十一节财务报告 </w:t>
            </w:r>
            <w:r>
              <w:rPr>
                <w:rFonts w:ascii="Times New Roman" w:eastAsia="Times New Roman" w:hAnsi="Times New Roman" w:cs="Times New Roman"/>
                <w:color w:val="000000"/>
                <w:spacing w:val="0"/>
                <w:w w:val="100"/>
                <w:position w:val="0"/>
              </w:rPr>
              <w:t>“</w:t>
            </w:r>
            <w:r>
              <w:rPr>
                <w:color w:val="000000"/>
                <w:spacing w:val="0"/>
                <w:w w:val="100"/>
                <w:position w:val="0"/>
              </w:rPr>
              <w:t>七、合并财务报表注 释</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48</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营业外收 入</w:t>
            </w:r>
            <w:r>
              <w:rPr>
                <w:rFonts w:ascii="Times New Roman" w:eastAsia="Times New Roman" w:hAnsi="Times New Roman" w:cs="Times New Roman"/>
                <w:color w:val="000000"/>
                <w:spacing w:val="0"/>
                <w:w w:val="100"/>
                <w:position w:val="0"/>
              </w:rPr>
              <w:t>”</w:t>
            </w:r>
            <w:r>
              <w:rPr>
                <w:color w:val="000000"/>
                <w:spacing w:val="0"/>
                <w:w w:val="100"/>
                <w:position w:val="0"/>
              </w:rPr>
              <w:t>，除</w:t>
            </w:r>
            <w:r>
              <w:rPr>
                <w:rFonts w:ascii="Times New Roman" w:eastAsia="Times New Roman" w:hAnsi="Times New Roman" w:cs="Times New Roman"/>
                <w:color w:val="000000"/>
                <w:spacing w:val="0"/>
                <w:w w:val="100"/>
                <w:position w:val="0"/>
              </w:rPr>
              <w:t>“</w:t>
            </w:r>
            <w:r>
              <w:rPr>
                <w:color w:val="000000"/>
                <w:spacing w:val="0"/>
                <w:w w:val="100"/>
                <w:position w:val="0"/>
              </w:rPr>
              <w:t>软件退税、上 海市长宁财政局奖励</w:t>
            </w:r>
            <w:r>
              <w:rPr>
                <w:rFonts w:ascii="Times New Roman" w:eastAsia="Times New Roman" w:hAnsi="Times New Roman" w:cs="Times New Roman"/>
                <w:color w:val="000000"/>
                <w:spacing w:val="0"/>
                <w:w w:val="100"/>
                <w:position w:val="0"/>
              </w:rPr>
              <w:t xml:space="preserve">” </w:t>
            </w:r>
            <w:r>
              <w:rPr>
                <w:color w:val="000000"/>
                <w:spacing w:val="0"/>
                <w:w w:val="100"/>
                <w:position w:val="0"/>
              </w:rPr>
              <w:t>外，均为非经常性损</w:t>
            </w: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93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5,239,195.51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6,889,834.64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15,001,000.24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14,444,717.52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-9,653,356.47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主要为公司在报告期内 处置子公司安置员工给 予的经济补偿及整合费 用</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1,422,478.80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-16,414,124.10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61,531.87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32,077,120.00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股份增发项目相关费用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解除劳动合同给予员工补偿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-1,329,725.16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200,312,867.75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为公司报告期内处置五 家子公司获取的收益。</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11,632,112.69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11,741,029.19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214,273,967.37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34,874,376.67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64,666,568.41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146" w:right="1010" w:bottom="1471" w:left="104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 益项目界定为经常性损益的项目的情形。</w:t>
      </w:r>
    </w:p>
    <w:p>
      <w:pPr>
        <w:pStyle w:val="Style12"/>
        <w:keepNext/>
        <w:keepLines/>
        <w:widowControl w:val="0"/>
        <w:shd w:val="clear" w:color="auto" w:fill="auto"/>
        <w:bidi w:val="0"/>
        <w:spacing w:before="540" w:after="58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8"/>
        <w:keepNext/>
        <w:keepLines/>
        <w:widowControl w:val="0"/>
        <w:shd w:val="clear" w:color="auto" w:fill="auto"/>
        <w:bidi w:val="0"/>
        <w:spacing w:before="0" w:after="24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、报告期内公司从事的主要业务</w:t>
      </w:r>
      <w:bookmarkEnd w:id="61"/>
      <w:bookmarkEnd w:id="62"/>
      <w:bookmarkEnd w:id="64"/>
      <w:bookmarkEnd w:id="60"/>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300" w:line="316"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年，公司顺利完成重大资产重组，收购神州控股</w:t>
      </w:r>
      <w:r>
        <w:rPr>
          <w:rFonts w:ascii="Times New Roman" w:eastAsia="Times New Roman" w:hAnsi="Times New Roman" w:cs="Times New Roman"/>
          <w:color w:val="000000"/>
          <w:spacing w:val="0"/>
          <w:w w:val="100"/>
          <w:position w:val="0"/>
        </w:rPr>
        <w:t>IT</w:t>
      </w:r>
      <w:r>
        <w:rPr>
          <w:color w:val="000000"/>
          <w:spacing w:val="0"/>
          <w:w w:val="100"/>
          <w:position w:val="0"/>
        </w:rPr>
        <w:t>分销资产，出售原公司盈利较弱业务，公司新增</w:t>
      </w:r>
      <w:r>
        <w:rPr>
          <w:rFonts w:ascii="Times New Roman" w:eastAsia="Times New Roman" w:hAnsi="Times New Roman" w:cs="Times New Roman"/>
          <w:color w:val="000000"/>
          <w:spacing w:val="0"/>
          <w:w w:val="100"/>
          <w:position w:val="0"/>
        </w:rPr>
        <w:t>IT</w:t>
      </w:r>
      <w:r>
        <w:rPr>
          <w:color w:val="000000"/>
          <w:spacing w:val="0"/>
          <w:w w:val="100"/>
          <w:position w:val="0"/>
        </w:rPr>
        <w:t>分销主营业务， 成为中国最大的、涉及领域最广的</w:t>
      </w:r>
      <w:r>
        <w:rPr>
          <w:rFonts w:ascii="Times New Roman" w:eastAsia="Times New Roman" w:hAnsi="Times New Roman" w:cs="Times New Roman"/>
          <w:color w:val="000000"/>
          <w:spacing w:val="0"/>
          <w:w w:val="100"/>
          <w:position w:val="0"/>
        </w:rPr>
        <w:t>IT</w:t>
      </w:r>
      <w:r>
        <w:rPr>
          <w:color w:val="000000"/>
          <w:spacing w:val="0"/>
          <w:w w:val="100"/>
          <w:position w:val="0"/>
        </w:rPr>
        <w:t>领域分销商。公司具有广泛的渠道覆盖网络，是国际厂商进入中国的首选合作伙伴，经 营的产品包括移动办公设备、笔记本电脑、显示设备、服务器、存储设备、网络设备、计算机配件等上万种</w:t>
      </w:r>
      <w:r>
        <w:rPr>
          <w:rFonts w:ascii="Times New Roman" w:eastAsia="Times New Roman" w:hAnsi="Times New Roman" w:cs="Times New Roman"/>
          <w:color w:val="000000"/>
          <w:spacing w:val="0"/>
          <w:w w:val="100"/>
          <w:position w:val="0"/>
        </w:rPr>
        <w:t>IT</w:t>
      </w:r>
      <w:r>
        <w:rPr>
          <w:color w:val="000000"/>
          <w:spacing w:val="0"/>
          <w:w w:val="100"/>
          <w:position w:val="0"/>
        </w:rPr>
        <w:t>产品，并且连 续</w:t>
      </w:r>
      <w:r>
        <w:rPr>
          <w:rFonts w:ascii="Times New Roman" w:eastAsia="Times New Roman" w:hAnsi="Times New Roman" w:cs="Times New Roman"/>
          <w:color w:val="000000"/>
          <w:spacing w:val="0"/>
          <w:w w:val="100"/>
          <w:position w:val="0"/>
        </w:rPr>
        <w:t>10</w:t>
      </w:r>
      <w:r>
        <w:rPr>
          <w:color w:val="000000"/>
          <w:spacing w:val="0"/>
          <w:w w:val="100"/>
          <w:position w:val="0"/>
        </w:rPr>
        <w:t>年蝉联</w:t>
      </w:r>
      <w:r>
        <w:rPr>
          <w:rFonts w:ascii="Times New Roman" w:eastAsia="Times New Roman" w:hAnsi="Times New Roman" w:cs="Times New Roman"/>
          <w:color w:val="000000"/>
          <w:spacing w:val="0"/>
          <w:w w:val="100"/>
          <w:position w:val="0"/>
        </w:rPr>
        <w:t>IT</w:t>
      </w:r>
      <w:r>
        <w:rPr>
          <w:color w:val="000000"/>
          <w:spacing w:val="0"/>
          <w:w w:val="100"/>
          <w:position w:val="0"/>
        </w:rPr>
        <w:t>分销领域国内市场第一。与公司合作的供应商包括</w:t>
      </w:r>
      <w:r>
        <w:rPr>
          <w:rFonts w:ascii="Times New Roman" w:eastAsia="Times New Roman" w:hAnsi="Times New Roman" w:cs="Times New Roman"/>
          <w:color w:val="000000"/>
          <w:spacing w:val="0"/>
          <w:w w:val="100"/>
          <w:position w:val="0"/>
        </w:rPr>
        <w:t>IBM</w:t>
      </w:r>
      <w:r>
        <w:rPr>
          <w:color w:val="000000"/>
          <w:spacing w:val="0"/>
          <w:w w:val="100"/>
          <w:position w:val="0"/>
        </w:rPr>
        <w:t>、</w:t>
      </w:r>
      <w:r>
        <w:rPr>
          <w:rFonts w:ascii="Times New Roman" w:eastAsia="Times New Roman" w:hAnsi="Times New Roman" w:cs="Times New Roman"/>
          <w:color w:val="000000"/>
          <w:spacing w:val="0"/>
          <w:w w:val="100"/>
          <w:position w:val="0"/>
        </w:rPr>
        <w:t>EMC</w:t>
      </w:r>
      <w:r>
        <w:rPr>
          <w:color w:val="000000"/>
          <w:spacing w:val="0"/>
          <w:w w:val="100"/>
          <w:position w:val="0"/>
        </w:rPr>
        <w:t>、</w:t>
      </w:r>
      <w:r>
        <w:rPr>
          <w:color w:val="000000"/>
          <w:spacing w:val="0"/>
          <w:w w:val="100"/>
          <w:position w:val="0"/>
        </w:rPr>
        <w:t>甲骨文、联想、华为等国内外主流的</w:t>
      </w:r>
      <w:r>
        <w:rPr>
          <w:rFonts w:ascii="Times New Roman" w:eastAsia="Times New Roman" w:hAnsi="Times New Roman" w:cs="Times New Roman"/>
          <w:color w:val="000000"/>
          <w:spacing w:val="0"/>
          <w:w w:val="100"/>
          <w:position w:val="0"/>
        </w:rPr>
        <w:t>IT</w:t>
      </w:r>
      <w:r>
        <w:rPr>
          <w:color w:val="000000"/>
          <w:spacing w:val="0"/>
          <w:w w:val="100"/>
          <w:position w:val="0"/>
        </w:rPr>
        <w:t>厂商， 客户囊括了国美、苏宁、京东等国内知名的零售商和电商平台以及众多领域的企业级客户。</w:t>
      </w:r>
    </w:p>
    <w:p>
      <w:pPr>
        <w:pStyle w:val="Style32"/>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报告期内，公司进一步完善渠道覆盖、加强与国内外知名厂商的合作，维持和巩固公司在</w:t>
      </w:r>
      <w:r>
        <w:rPr>
          <w:color w:val="000000"/>
          <w:spacing w:val="0"/>
          <w:w w:val="100"/>
          <w:position w:val="0"/>
          <w:sz w:val="17"/>
          <w:szCs w:val="17"/>
        </w:rPr>
        <w:t>IT</w:t>
      </w:r>
      <w:r>
        <w:rPr>
          <w:color w:val="000000"/>
          <w:spacing w:val="0"/>
          <w:w w:val="100"/>
          <w:position w:val="0"/>
        </w:rPr>
        <w:t>分销领域国内市场领先的地 位。首先，公司在合作厂商的份额管理中，保持戴尔、英特尔、</w:t>
      </w:r>
      <w:r>
        <w:rPr>
          <w:color w:val="000000"/>
          <w:spacing w:val="0"/>
          <w:w w:val="100"/>
          <w:position w:val="0"/>
          <w:sz w:val="17"/>
          <w:szCs w:val="17"/>
        </w:rPr>
        <w:t>IBM</w:t>
      </w:r>
      <w:r>
        <w:rPr>
          <w:color w:val="000000"/>
          <w:spacing w:val="0"/>
          <w:w w:val="100"/>
          <w:position w:val="0"/>
        </w:rPr>
        <w:t>、</w:t>
      </w:r>
      <w:r>
        <w:rPr>
          <w:color w:val="000000"/>
          <w:spacing w:val="0"/>
          <w:w w:val="100"/>
          <w:position w:val="0"/>
        </w:rPr>
        <w:t>思科、联想、</w:t>
      </w:r>
      <w:r>
        <w:rPr>
          <w:color w:val="000000"/>
          <w:spacing w:val="0"/>
          <w:w w:val="100"/>
          <w:position w:val="0"/>
          <w:sz w:val="17"/>
          <w:szCs w:val="17"/>
        </w:rPr>
        <w:t>EMC</w:t>
      </w:r>
      <w:r>
        <w:rPr>
          <w:color w:val="000000"/>
          <w:spacing w:val="0"/>
          <w:w w:val="100"/>
          <w:position w:val="0"/>
        </w:rPr>
        <w:t>、</w:t>
      </w:r>
      <w:r>
        <w:rPr>
          <w:color w:val="000000"/>
          <w:spacing w:val="0"/>
          <w:w w:val="100"/>
          <w:position w:val="0"/>
        </w:rPr>
        <w:t>甲骨文、</w:t>
      </w:r>
      <w:r>
        <w:rPr>
          <w:color w:val="000000"/>
          <w:spacing w:val="0"/>
          <w:w w:val="100"/>
          <w:position w:val="0"/>
          <w:sz w:val="17"/>
          <w:szCs w:val="17"/>
        </w:rPr>
        <w:t>Vmware</w:t>
      </w:r>
      <w:r>
        <w:rPr>
          <w:color w:val="000000"/>
          <w:spacing w:val="0"/>
          <w:w w:val="100"/>
          <w:position w:val="0"/>
        </w:rPr>
        <w:t>、</w:t>
      </w:r>
      <w:r>
        <w:rPr>
          <w:color w:val="000000"/>
          <w:spacing w:val="0"/>
          <w:w w:val="100"/>
          <w:position w:val="0"/>
          <w:sz w:val="17"/>
          <w:szCs w:val="17"/>
        </w:rPr>
        <w:t>Veritas</w:t>
      </w:r>
      <w:r>
        <w:rPr>
          <w:color w:val="000000"/>
          <w:spacing w:val="0"/>
          <w:w w:val="100"/>
          <w:position w:val="0"/>
        </w:rPr>
        <w:t>、</w:t>
      </w:r>
      <w:r>
        <w:rPr>
          <w:color w:val="000000"/>
          <w:spacing w:val="0"/>
          <w:w w:val="100"/>
          <w:position w:val="0"/>
          <w:sz w:val="17"/>
          <w:szCs w:val="17"/>
        </w:rPr>
        <w:t xml:space="preserve">Avaya </w:t>
      </w:r>
      <w:r>
        <w:rPr>
          <w:color w:val="000000"/>
          <w:spacing w:val="0"/>
          <w:w w:val="100"/>
          <w:position w:val="0"/>
        </w:rPr>
        <w:t>等多家主力厂商在所处领域份额排名领先，同时不断扩大市场份额，其中英特尔、惠普、甲骨文、戴尔、</w:t>
      </w:r>
      <w:r>
        <w:rPr>
          <w:color w:val="000000"/>
          <w:spacing w:val="0"/>
          <w:w w:val="100"/>
          <w:position w:val="0"/>
          <w:sz w:val="17"/>
          <w:szCs w:val="17"/>
        </w:rPr>
        <w:t>IBM</w:t>
      </w:r>
      <w:r>
        <w:rPr>
          <w:color w:val="000000"/>
          <w:spacing w:val="0"/>
          <w:w w:val="100"/>
          <w:position w:val="0"/>
        </w:rPr>
        <w:t>厂商份额较同 期均实现显著提升。此外，公司在资金使用、汇率风险管理方面表现突出，保障公司整体</w:t>
      </w:r>
      <w:r>
        <w:rPr>
          <w:color w:val="000000"/>
          <w:spacing w:val="0"/>
          <w:w w:val="100"/>
          <w:position w:val="0"/>
          <w:sz w:val="17"/>
          <w:szCs w:val="17"/>
        </w:rPr>
        <w:t>IT</w:t>
      </w:r>
      <w:r>
        <w:rPr>
          <w:color w:val="000000"/>
          <w:spacing w:val="0"/>
          <w:w w:val="100"/>
          <w:position w:val="0"/>
        </w:rPr>
        <w:t>分销主营业务的销售规模与毛利 水平。最后，公司进一步促进自身业务优化，不断寻求新的业务增长点，增强企业盈利能力与竞争力，为公司的战略发展奠 定了坚实的基础，具体经营情况如下：</w:t>
      </w:r>
    </w:p>
    <w:p>
      <w:pPr>
        <w:pStyle w:val="Style32"/>
        <w:keepNext w:val="0"/>
        <w:keepLines w:val="0"/>
        <w:widowControl w:val="0"/>
        <w:numPr>
          <w:ilvl w:val="0"/>
          <w:numId w:val="1"/>
        </w:numPr>
        <w:shd w:val="clear" w:color="auto" w:fill="auto"/>
        <w:tabs>
          <w:tab w:pos="246" w:val="left"/>
        </w:tabs>
        <w:bidi w:val="0"/>
        <w:spacing w:before="0" w:after="0" w:line="314" w:lineRule="exact"/>
        <w:ind w:left="0" w:right="0" w:firstLine="0"/>
        <w:jc w:val="left"/>
      </w:pPr>
      <w:bookmarkStart w:id="65" w:name="bookmark65"/>
      <w:bookmarkEnd w:id="65"/>
      <w:r>
        <w:rPr>
          <w:b/>
          <w:bCs/>
          <w:color w:val="000000"/>
          <w:spacing w:val="0"/>
          <w:w w:val="100"/>
          <w:position w:val="0"/>
        </w:rPr>
        <w:t>消费电子产品分销</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报告期内，消费电子产品分销业务实现营业收入</w:t>
      </w:r>
      <w:r>
        <w:rPr>
          <w:rFonts w:ascii="Times New Roman" w:eastAsia="Times New Roman" w:hAnsi="Times New Roman" w:cs="Times New Roman"/>
          <w:color w:val="000000"/>
          <w:spacing w:val="0"/>
          <w:w w:val="100"/>
          <w:position w:val="0"/>
        </w:rPr>
        <w:t>247.18</w:t>
      </w:r>
      <w:r>
        <w:rPr>
          <w:color w:val="000000"/>
          <w:spacing w:val="0"/>
          <w:w w:val="100"/>
          <w:position w:val="0"/>
        </w:rPr>
        <w:t>亿元，毛利率</w:t>
      </w:r>
      <w:r>
        <w:rPr>
          <w:rFonts w:ascii="Times New Roman" w:eastAsia="Times New Roman" w:hAnsi="Times New Roman" w:cs="Times New Roman"/>
          <w:color w:val="000000"/>
          <w:spacing w:val="0"/>
          <w:w w:val="100"/>
          <w:position w:val="0"/>
        </w:rPr>
        <w:t>3.18%</w:t>
      </w:r>
      <w:r>
        <w:rPr>
          <w:color w:val="000000"/>
          <w:spacing w:val="0"/>
          <w:w w:val="100"/>
          <w:position w:val="0"/>
        </w:rPr>
        <w:t>。公司敏锐感知市场环境，不断创新营销理 念，拓展分销商价值链，引领行业潮流，并充分利用多年积累的全渠道营销、物流、资金管理等供应链优势，有效化解渠道 扁平化、部分传统业务下降的趋势，保障公司在消费电子分销领域的销售规模和毛利率水平。主要表现如下：</w:t>
      </w:r>
    </w:p>
    <w:p>
      <w:pPr>
        <w:pStyle w:val="Style32"/>
        <w:keepNext w:val="0"/>
        <w:keepLines w:val="0"/>
        <w:widowControl w:val="0"/>
        <w:shd w:val="clear" w:color="auto" w:fill="auto"/>
        <w:tabs>
          <w:tab w:pos="841" w:val="left"/>
        </w:tabs>
        <w:bidi w:val="0"/>
        <w:spacing w:before="0" w:after="0" w:line="314" w:lineRule="exact"/>
        <w:ind w:left="0" w:right="0" w:firstLine="380"/>
        <w:jc w:val="both"/>
      </w:pPr>
      <w:bookmarkStart w:id="66" w:name="bookmark66"/>
      <w:r>
        <w:rPr>
          <w:color w:val="000000"/>
          <w:spacing w:val="0"/>
          <w:w w:val="100"/>
          <w:position w:val="0"/>
          <w:sz w:val="17"/>
          <w:szCs w:val="17"/>
        </w:rPr>
        <w:t>（</w:t>
      </w:r>
      <w:bookmarkEnd w:id="66"/>
      <w:r>
        <w:rPr>
          <w:color w:val="000000"/>
          <w:spacing w:val="0"/>
          <w:w w:val="100"/>
          <w:position w:val="0"/>
          <w:sz w:val="17"/>
          <w:szCs w:val="17"/>
        </w:rPr>
        <w:t>1）</w:t>
        <w:tab/>
      </w:r>
      <w:r>
        <w:rPr>
          <w:color w:val="000000"/>
          <w:spacing w:val="0"/>
          <w:w w:val="100"/>
          <w:position w:val="0"/>
        </w:rPr>
        <w:t>公司与多家国际知名厂商的合作稳定发展，主要合作领域包括：笔记本电脑、配件、移动办公等，厂商份额均保 持领先。在营收规模方面，英特尔业务保持高速增长，增幅超过</w:t>
      </w:r>
      <w:r>
        <w:rPr>
          <w:color w:val="000000"/>
          <w:spacing w:val="0"/>
          <w:w w:val="100"/>
          <w:position w:val="0"/>
          <w:sz w:val="17"/>
          <w:szCs w:val="17"/>
        </w:rPr>
        <w:t>40%</w:t>
      </w:r>
      <w:r>
        <w:rPr>
          <w:color w:val="000000"/>
          <w:spacing w:val="0"/>
          <w:w w:val="100"/>
          <w:position w:val="0"/>
        </w:rPr>
        <w:t>。公司已成为英特尔全球最大的分销商，带动了整体消 费电子分销的业绩增长。另外，公司积极与传统厂商探索新的业务模式，大力拓展新智能产品业务，都为消费电子分销业务 带来新增长点，主要包括：公司与英特尔新签</w:t>
      </w:r>
      <w:r>
        <w:rPr>
          <w:color w:val="000000"/>
          <w:spacing w:val="0"/>
          <w:w w:val="100"/>
          <w:position w:val="0"/>
          <w:sz w:val="17"/>
          <w:szCs w:val="17"/>
        </w:rPr>
        <w:t>I</w:t>
      </w:r>
      <w:r>
        <w:rPr>
          <w:color w:val="000000"/>
          <w:spacing w:val="0"/>
          <w:w w:val="100"/>
          <w:position w:val="0"/>
        </w:rPr>
        <w:t>。</w:t>
      </w:r>
      <w:r>
        <w:rPr>
          <w:color w:val="000000"/>
          <w:spacing w:val="0"/>
          <w:w w:val="100"/>
          <w:position w:val="0"/>
          <w:sz w:val="17"/>
          <w:szCs w:val="17"/>
        </w:rPr>
        <w:t>T</w:t>
      </w:r>
      <w:r>
        <w:rPr>
          <w:color w:val="000000"/>
          <w:spacing w:val="0"/>
          <w:w w:val="100"/>
          <w:position w:val="0"/>
        </w:rPr>
        <w:t>物联网嵌入式业务，结合传统产品衍生出新的业务模式；为迎合智能硬件 领域不断的发展与更迭，公司与华为、荣耀、乐视的合作带来了平板电脑、智能手环、电视盒子、超级电视等新智能硬件产 品业务。</w:t>
      </w:r>
    </w:p>
    <w:p>
      <w:pPr>
        <w:pStyle w:val="Style32"/>
        <w:keepNext w:val="0"/>
        <w:keepLines w:val="0"/>
        <w:widowControl w:val="0"/>
        <w:shd w:val="clear" w:color="auto" w:fill="auto"/>
        <w:tabs>
          <w:tab w:pos="841" w:val="left"/>
        </w:tabs>
        <w:bidi w:val="0"/>
        <w:spacing w:before="0" w:after="300" w:line="314" w:lineRule="exact"/>
        <w:ind w:left="0" w:right="0" w:firstLine="380"/>
        <w:jc w:val="both"/>
      </w:pPr>
      <w:bookmarkStart w:id="67" w:name="bookmark67"/>
      <w:r>
        <w:rPr>
          <w:color w:val="000000"/>
          <w:spacing w:val="0"/>
          <w:w w:val="100"/>
          <w:position w:val="0"/>
          <w:sz w:val="17"/>
          <w:szCs w:val="17"/>
        </w:rPr>
        <w:t>（</w:t>
      </w:r>
      <w:bookmarkEnd w:id="67"/>
      <w:r>
        <w:rPr>
          <w:color w:val="000000"/>
          <w:spacing w:val="0"/>
          <w:w w:val="100"/>
          <w:position w:val="0"/>
          <w:sz w:val="17"/>
          <w:szCs w:val="17"/>
        </w:rPr>
        <w:t>2）</w:t>
        <w:tab/>
      </w:r>
      <w:r>
        <w:rPr>
          <w:color w:val="000000"/>
          <w:spacing w:val="0"/>
          <w:w w:val="100"/>
          <w:position w:val="0"/>
        </w:rPr>
        <w:t>在渠道合作方面，公司积极应对，不断加大合作、扩充产品，强有力地减缓了传统</w:t>
      </w:r>
      <w:r>
        <w:rPr>
          <w:color w:val="000000"/>
          <w:spacing w:val="0"/>
          <w:w w:val="100"/>
          <w:position w:val="0"/>
          <w:sz w:val="17"/>
          <w:szCs w:val="17"/>
        </w:rPr>
        <w:t>IT</w:t>
      </w:r>
      <w:r>
        <w:rPr>
          <w:color w:val="000000"/>
          <w:spacing w:val="0"/>
          <w:w w:val="100"/>
          <w:position w:val="0"/>
        </w:rPr>
        <w:t>渠道的扁平化与电商平台大 幅增长趋势的影响。公司在下半年承接了苹果产品在京东线上电商平台的销售，增加超过</w:t>
      </w:r>
      <w:r>
        <w:rPr>
          <w:color w:val="000000"/>
          <w:spacing w:val="0"/>
          <w:w w:val="100"/>
          <w:position w:val="0"/>
          <w:sz w:val="17"/>
          <w:szCs w:val="17"/>
        </w:rPr>
        <w:t>27</w:t>
      </w:r>
      <w:r>
        <w:rPr>
          <w:color w:val="000000"/>
          <w:spacing w:val="0"/>
          <w:w w:val="100"/>
          <w:position w:val="0"/>
        </w:rPr>
        <w:t>亿元的销售收入，带动了整体线 上电商平台业务的增长。此外，公司与线下</w:t>
      </w:r>
      <w:r>
        <w:rPr>
          <w:color w:val="000000"/>
          <w:spacing w:val="0"/>
          <w:w w:val="100"/>
          <w:position w:val="0"/>
          <w:sz w:val="17"/>
          <w:szCs w:val="17"/>
        </w:rPr>
        <w:t>CES</w:t>
      </w:r>
      <w:r>
        <w:rPr>
          <w:color w:val="000000"/>
          <w:spacing w:val="0"/>
          <w:w w:val="100"/>
          <w:position w:val="0"/>
        </w:rPr>
        <w:t>加强合作，并不断提升线下零售服务与管理能力。</w:t>
      </w:r>
    </w:p>
    <w:p>
      <w:pPr>
        <w:pStyle w:val="Style32"/>
        <w:keepNext w:val="0"/>
        <w:keepLines w:val="0"/>
        <w:widowControl w:val="0"/>
        <w:numPr>
          <w:ilvl w:val="0"/>
          <w:numId w:val="1"/>
        </w:numPr>
        <w:shd w:val="clear" w:color="auto" w:fill="auto"/>
        <w:tabs>
          <w:tab w:pos="260" w:val="left"/>
        </w:tabs>
        <w:bidi w:val="0"/>
        <w:spacing w:before="0" w:after="0" w:line="314" w:lineRule="exact"/>
        <w:ind w:left="0" w:right="0" w:firstLine="0"/>
        <w:jc w:val="left"/>
      </w:pPr>
      <w:bookmarkStart w:id="68" w:name="bookmark68"/>
      <w:bookmarkEnd w:id="68"/>
      <w:r>
        <w:rPr>
          <w:b/>
          <w:bCs/>
          <w:color w:val="000000"/>
          <w:spacing w:val="0"/>
          <w:w w:val="100"/>
          <w:position w:val="0"/>
        </w:rPr>
        <w:t>企业</w:t>
      </w:r>
      <w:r>
        <w:rPr>
          <w:rFonts w:ascii="Times New Roman" w:eastAsia="Times New Roman" w:hAnsi="Times New Roman" w:cs="Times New Roman"/>
          <w:b/>
          <w:bCs/>
          <w:color w:val="000000"/>
          <w:spacing w:val="0"/>
          <w:w w:val="100"/>
          <w:position w:val="0"/>
        </w:rPr>
        <w:t>IT</w:t>
      </w:r>
      <w:r>
        <w:rPr>
          <w:b/>
          <w:bCs/>
          <w:color w:val="000000"/>
          <w:spacing w:val="0"/>
          <w:w w:val="100"/>
          <w:position w:val="0"/>
        </w:rPr>
        <w:t>产品分销</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报告期内，企业</w:t>
      </w:r>
      <w:r>
        <w:rPr>
          <w:rFonts w:ascii="Times New Roman" w:eastAsia="Times New Roman" w:hAnsi="Times New Roman" w:cs="Times New Roman"/>
          <w:color w:val="000000"/>
          <w:spacing w:val="0"/>
          <w:w w:val="100"/>
          <w:position w:val="0"/>
        </w:rPr>
        <w:t>IT</w:t>
      </w:r>
      <w:r>
        <w:rPr>
          <w:color w:val="000000"/>
          <w:spacing w:val="0"/>
          <w:w w:val="100"/>
          <w:position w:val="0"/>
        </w:rPr>
        <w:t>产品分销业务实现营业收入</w:t>
      </w:r>
      <w:r>
        <w:rPr>
          <w:rFonts w:ascii="Times New Roman" w:eastAsia="Times New Roman" w:hAnsi="Times New Roman" w:cs="Times New Roman"/>
          <w:color w:val="000000"/>
          <w:spacing w:val="0"/>
          <w:w w:val="100"/>
          <w:position w:val="0"/>
        </w:rPr>
        <w:t>156.82</w:t>
      </w:r>
      <w:r>
        <w:rPr>
          <w:color w:val="000000"/>
          <w:spacing w:val="0"/>
          <w:w w:val="100"/>
          <w:position w:val="0"/>
        </w:rPr>
        <w:t>亿元，毛利率</w:t>
      </w:r>
      <w:r>
        <w:rPr>
          <w:rFonts w:ascii="Times New Roman" w:eastAsia="Times New Roman" w:hAnsi="Times New Roman" w:cs="Times New Roman"/>
          <w:color w:val="000000"/>
          <w:spacing w:val="0"/>
          <w:w w:val="100"/>
          <w:position w:val="0"/>
        </w:rPr>
        <w:t>7.50%</w:t>
      </w:r>
      <w:r>
        <w:rPr>
          <w:color w:val="000000"/>
          <w:spacing w:val="0"/>
          <w:w w:val="100"/>
          <w:position w:val="0"/>
        </w:rPr>
        <w:t>。在国家强调自主可控与国产化浪潮的背景下， 公司不断强化自身技术支持的核心能力，保持全面、多元化的产品布局。同时，公司与国产品牌的合作带来大幅业务增量， 带动了整体企业</w:t>
      </w:r>
      <w:r>
        <w:rPr>
          <w:rFonts w:ascii="Times New Roman" w:eastAsia="Times New Roman" w:hAnsi="Times New Roman" w:cs="Times New Roman"/>
          <w:color w:val="000000"/>
          <w:spacing w:val="0"/>
          <w:w w:val="100"/>
          <w:position w:val="0"/>
        </w:rPr>
        <w:t>IT</w:t>
      </w:r>
      <w:r>
        <w:rPr>
          <w:color w:val="000000"/>
          <w:spacing w:val="0"/>
          <w:w w:val="100"/>
          <w:position w:val="0"/>
        </w:rPr>
        <w:t>分销业务的增长，保证了营收规模与毛利率水平的稳定。公司仍然为国内增值分销领域覆盖产品和品牌范 围最广、技术能力最全面、营收规模具有绝对优势的分销商，并荣获"</w:t>
      </w:r>
      <w:r>
        <w:rPr>
          <w:rFonts w:ascii="Times New Roman" w:eastAsia="Times New Roman" w:hAnsi="Times New Roman" w:cs="Times New Roman"/>
          <w:color w:val="000000"/>
          <w:spacing w:val="0"/>
          <w:w w:val="100"/>
          <w:position w:val="0"/>
        </w:rPr>
        <w:t>2016</w:t>
      </w:r>
      <w:r>
        <w:rPr>
          <w:color w:val="000000"/>
          <w:spacing w:val="0"/>
          <w:w w:val="100"/>
          <w:position w:val="0"/>
        </w:rPr>
        <w:t>中国</w:t>
      </w:r>
      <w:r>
        <w:rPr>
          <w:rFonts w:ascii="Times New Roman" w:eastAsia="Times New Roman" w:hAnsi="Times New Roman" w:cs="Times New Roman"/>
          <w:color w:val="000000"/>
          <w:spacing w:val="0"/>
          <w:w w:val="100"/>
          <w:position w:val="0"/>
        </w:rPr>
        <w:t>IT</w:t>
      </w:r>
      <w:r>
        <w:rPr>
          <w:color w:val="000000"/>
          <w:spacing w:val="0"/>
          <w:w w:val="100"/>
          <w:position w:val="0"/>
        </w:rPr>
        <w:t>增值分销商十强”第一名。主要表现如下：</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7"/>
          <w:szCs w:val="17"/>
        </w:rPr>
        <w:t>（1）</w:t>
      </w:r>
      <w:r>
        <w:rPr>
          <w:color w:val="000000"/>
          <w:spacing w:val="0"/>
          <w:w w:val="100"/>
          <w:position w:val="0"/>
        </w:rPr>
        <w:t>公司与多家企业级国际主流</w:t>
      </w:r>
      <w:r>
        <w:rPr>
          <w:color w:val="000000"/>
          <w:spacing w:val="0"/>
          <w:w w:val="100"/>
          <w:position w:val="0"/>
          <w:sz w:val="17"/>
          <w:szCs w:val="17"/>
        </w:rPr>
        <w:t>IT</w:t>
      </w:r>
      <w:r>
        <w:rPr>
          <w:color w:val="000000"/>
          <w:spacing w:val="0"/>
          <w:w w:val="100"/>
          <w:position w:val="0"/>
        </w:rPr>
        <w:t>厂商长期、稳定合作，在大部分厂商的中国区市场份额中均保持稳定，多年引领全 国企业级</w:t>
      </w:r>
      <w:r>
        <w:rPr>
          <w:color w:val="000000"/>
          <w:spacing w:val="0"/>
          <w:w w:val="100"/>
          <w:position w:val="0"/>
          <w:sz w:val="17"/>
          <w:szCs w:val="17"/>
        </w:rPr>
        <w:t>IT</w:t>
      </w:r>
      <w:r>
        <w:rPr>
          <w:color w:val="000000"/>
          <w:spacing w:val="0"/>
          <w:w w:val="100"/>
          <w:position w:val="0"/>
        </w:rPr>
        <w:t>增值分销市场。主要包括：在网络设备领域，合作近</w:t>
      </w:r>
      <w:r>
        <w:rPr>
          <w:color w:val="000000"/>
          <w:spacing w:val="0"/>
          <w:w w:val="100"/>
          <w:position w:val="0"/>
          <w:sz w:val="17"/>
          <w:szCs w:val="17"/>
        </w:rPr>
        <w:t>20</w:t>
      </w:r>
      <w:r>
        <w:rPr>
          <w:color w:val="000000"/>
          <w:spacing w:val="0"/>
          <w:w w:val="100"/>
          <w:position w:val="0"/>
        </w:rPr>
        <w:t>年的思科业务依然保持份额的绝对领先；在数据库领域， 甲骨文保持营收规模稳定增长，并获得全球</w:t>
      </w:r>
      <w:r>
        <w:rPr>
          <w:color w:val="000000"/>
          <w:spacing w:val="0"/>
          <w:w w:val="100"/>
          <w:position w:val="0"/>
          <w:sz w:val="17"/>
          <w:szCs w:val="17"/>
        </w:rPr>
        <w:t>VAD</w:t>
      </w:r>
      <w:r>
        <w:rPr>
          <w:color w:val="000000"/>
          <w:spacing w:val="0"/>
          <w:w w:val="100"/>
          <w:position w:val="0"/>
        </w:rPr>
        <w:t>增值分销商第五的排名。在服务器领域，</w:t>
      </w:r>
      <w:r>
        <w:rPr>
          <w:color w:val="000000"/>
          <w:spacing w:val="0"/>
          <w:w w:val="100"/>
          <w:position w:val="0"/>
          <w:sz w:val="17"/>
          <w:szCs w:val="17"/>
        </w:rPr>
        <w:t>IBM</w:t>
      </w:r>
      <w:r>
        <w:rPr>
          <w:color w:val="000000"/>
          <w:spacing w:val="0"/>
          <w:w w:val="100"/>
          <w:position w:val="0"/>
        </w:rPr>
        <w:t>业务连续</w:t>
      </w:r>
      <w:r>
        <w:rPr>
          <w:color w:val="000000"/>
          <w:spacing w:val="0"/>
          <w:w w:val="100"/>
          <w:position w:val="0"/>
          <w:sz w:val="17"/>
          <w:szCs w:val="17"/>
        </w:rPr>
        <w:t>10</w:t>
      </w:r>
      <w:r>
        <w:rPr>
          <w:color w:val="000000"/>
          <w:spacing w:val="0"/>
          <w:w w:val="100"/>
          <w:position w:val="0"/>
        </w:rPr>
        <w:t>年市场份额领跑，</w:t>
      </w:r>
      <w:r>
        <w:rPr>
          <w:color w:val="000000"/>
          <w:spacing w:val="0"/>
          <w:w w:val="100"/>
          <w:position w:val="0"/>
          <w:sz w:val="17"/>
          <w:szCs w:val="17"/>
        </w:rPr>
        <w:t xml:space="preserve">IBM </w:t>
      </w:r>
      <w:r>
        <w:rPr>
          <w:color w:val="000000"/>
          <w:spacing w:val="0"/>
          <w:w w:val="100"/>
          <w:position w:val="0"/>
        </w:rPr>
        <w:t>软件业务与原厂维保服务为传统业务锦上添花；公司在存储领域与</w:t>
      </w:r>
      <w:r>
        <w:rPr>
          <w:color w:val="000000"/>
          <w:spacing w:val="0"/>
          <w:w w:val="100"/>
          <w:position w:val="0"/>
          <w:sz w:val="17"/>
          <w:szCs w:val="17"/>
        </w:rPr>
        <w:t>HDS</w:t>
      </w:r>
      <w:r>
        <w:rPr>
          <w:color w:val="000000"/>
          <w:spacing w:val="0"/>
          <w:w w:val="100"/>
          <w:position w:val="0"/>
        </w:rPr>
        <w:t>、</w:t>
      </w:r>
      <w:r>
        <w:rPr>
          <w:color w:val="000000"/>
          <w:spacing w:val="0"/>
          <w:w w:val="100"/>
          <w:position w:val="0"/>
          <w:sz w:val="17"/>
          <w:szCs w:val="17"/>
        </w:rPr>
        <w:t>Vmware</w:t>
      </w:r>
      <w:r>
        <w:rPr>
          <w:color w:val="000000"/>
          <w:spacing w:val="0"/>
          <w:w w:val="100"/>
          <w:position w:val="0"/>
        </w:rPr>
        <w:t>、</w:t>
      </w:r>
      <w:r>
        <w:rPr>
          <w:color w:val="000000"/>
          <w:spacing w:val="0"/>
          <w:w w:val="100"/>
          <w:position w:val="0"/>
          <w:sz w:val="17"/>
          <w:szCs w:val="17"/>
        </w:rPr>
        <w:t>Netapp</w:t>
      </w:r>
      <w:r>
        <w:rPr>
          <w:color w:val="000000"/>
          <w:spacing w:val="0"/>
          <w:w w:val="100"/>
          <w:position w:val="0"/>
        </w:rPr>
        <w:t>的合作，主动扩大市场份额，保证</w:t>
        <w:br w:type="page"/>
      </w:r>
      <w:r>
        <w:rPr>
          <w:color w:val="000000"/>
          <w:spacing w:val="0"/>
          <w:w w:val="100"/>
          <w:position w:val="0"/>
        </w:rPr>
        <w:t>了市场领先地位。</w:t>
      </w:r>
    </w:p>
    <w:p>
      <w:pPr>
        <w:pStyle w:val="Style32"/>
        <w:keepNext w:val="0"/>
        <w:keepLines w:val="0"/>
        <w:widowControl w:val="0"/>
        <w:shd w:val="clear" w:color="auto" w:fill="auto"/>
        <w:bidi w:val="0"/>
        <w:spacing w:before="0" w:after="700" w:line="316" w:lineRule="exact"/>
        <w:ind w:left="0" w:right="0" w:firstLine="380"/>
        <w:jc w:val="both"/>
      </w:pPr>
      <w:r>
        <w:rPr>
          <w:color w:val="000000"/>
          <w:spacing w:val="0"/>
          <w:w w:val="100"/>
          <w:position w:val="0"/>
          <w:sz w:val="17"/>
          <w:szCs w:val="17"/>
        </w:rPr>
        <w:t>(2)</w:t>
      </w:r>
      <w:r>
        <w:rPr>
          <w:color w:val="000000"/>
          <w:spacing w:val="0"/>
          <w:w w:val="100"/>
          <w:position w:val="0"/>
        </w:rPr>
        <w:t>在与国产品牌企业级</w:t>
      </w:r>
      <w:r>
        <w:rPr>
          <w:color w:val="000000"/>
          <w:spacing w:val="0"/>
          <w:w w:val="100"/>
          <w:position w:val="0"/>
          <w:sz w:val="17"/>
          <w:szCs w:val="17"/>
        </w:rPr>
        <w:t>IT</w:t>
      </w:r>
      <w:r>
        <w:rPr>
          <w:color w:val="000000"/>
          <w:spacing w:val="0"/>
          <w:w w:val="100"/>
          <w:position w:val="0"/>
        </w:rPr>
        <w:t>的合作方面，国产化浪潮影响着中国企业级</w:t>
      </w:r>
      <w:r>
        <w:rPr>
          <w:color w:val="000000"/>
          <w:spacing w:val="0"/>
          <w:w w:val="100"/>
          <w:position w:val="0"/>
          <w:sz w:val="17"/>
          <w:szCs w:val="17"/>
        </w:rPr>
        <w:t>IT</w:t>
      </w:r>
      <w:r>
        <w:rPr>
          <w:color w:val="000000"/>
          <w:spacing w:val="0"/>
          <w:w w:val="100"/>
          <w:position w:val="0"/>
        </w:rPr>
        <w:t>市场的格局，公司主动加强与国产品牌的合 作，分别与中科曙光、华为达成重要战略合作。国产品牌在全部企业级</w:t>
      </w:r>
      <w:r>
        <w:rPr>
          <w:color w:val="000000"/>
          <w:spacing w:val="0"/>
          <w:w w:val="100"/>
          <w:position w:val="0"/>
          <w:sz w:val="17"/>
          <w:szCs w:val="17"/>
        </w:rPr>
        <w:t>IT</w:t>
      </w:r>
      <w:r>
        <w:rPr>
          <w:color w:val="000000"/>
          <w:spacing w:val="0"/>
          <w:w w:val="100"/>
          <w:position w:val="0"/>
        </w:rPr>
        <w:t>分销业务营收规模占比已达</w:t>
      </w:r>
      <w:r>
        <w:rPr>
          <w:color w:val="000000"/>
          <w:spacing w:val="0"/>
          <w:w w:val="100"/>
          <w:position w:val="0"/>
          <w:sz w:val="17"/>
          <w:szCs w:val="17"/>
        </w:rPr>
        <w:t>44%</w:t>
      </w:r>
      <w:r>
        <w:rPr>
          <w:color w:val="000000"/>
          <w:spacing w:val="0"/>
          <w:w w:val="100"/>
          <w:position w:val="0"/>
        </w:rPr>
        <w:t>，较同期提升</w:t>
      </w:r>
      <w:r>
        <w:rPr>
          <w:color w:val="000000"/>
          <w:spacing w:val="0"/>
          <w:w w:val="100"/>
          <w:position w:val="0"/>
          <w:sz w:val="17"/>
          <w:szCs w:val="17"/>
        </w:rPr>
        <w:t>7%</w:t>
      </w:r>
      <w:r>
        <w:rPr>
          <w:color w:val="000000"/>
          <w:spacing w:val="0"/>
          <w:w w:val="100"/>
          <w:position w:val="0"/>
        </w:rPr>
        <w:t>。 华为企业级网络与光伏业务营收规模增幅超过</w:t>
      </w:r>
      <w:r>
        <w:rPr>
          <w:color w:val="000000"/>
          <w:spacing w:val="0"/>
          <w:w w:val="100"/>
          <w:position w:val="0"/>
          <w:sz w:val="17"/>
          <w:szCs w:val="17"/>
        </w:rPr>
        <w:t>50%，</w:t>
      </w:r>
      <w:r>
        <w:rPr>
          <w:color w:val="000000"/>
          <w:spacing w:val="0"/>
          <w:w w:val="100"/>
          <w:position w:val="0"/>
        </w:rPr>
        <w:t>延续了近几年迅猛的增长趋势，同时，公司的华为服务业务同样获得厂 商的高度认可，并成功将</w:t>
      </w:r>
      <w:r>
        <w:rPr>
          <w:color w:val="000000"/>
          <w:spacing w:val="0"/>
          <w:w w:val="100"/>
          <w:position w:val="0"/>
          <w:sz w:val="17"/>
          <w:szCs w:val="17"/>
        </w:rPr>
        <w:t>ASP</w:t>
      </w:r>
      <w:r>
        <w:rPr>
          <w:color w:val="000000"/>
          <w:spacing w:val="0"/>
          <w:w w:val="100"/>
          <w:position w:val="0"/>
        </w:rPr>
        <w:t>(授权服务合作伙伴)业务拓展至</w:t>
      </w:r>
      <w:r>
        <w:rPr>
          <w:color w:val="000000"/>
          <w:spacing w:val="0"/>
          <w:w w:val="100"/>
          <w:position w:val="0"/>
          <w:sz w:val="17"/>
          <w:szCs w:val="17"/>
        </w:rPr>
        <w:t>6</w:t>
      </w:r>
      <w:r>
        <w:rPr>
          <w:color w:val="000000"/>
          <w:spacing w:val="0"/>
          <w:w w:val="100"/>
          <w:position w:val="0"/>
        </w:rPr>
        <w:t>个省份。在其它国产品牌的合作中，以锐捷、迈普、华三为 代表的国产品牌业务均取得超过</w:t>
      </w:r>
      <w:r>
        <w:rPr>
          <w:color w:val="000000"/>
          <w:spacing w:val="0"/>
          <w:w w:val="100"/>
          <w:position w:val="0"/>
          <w:sz w:val="17"/>
          <w:szCs w:val="17"/>
        </w:rPr>
        <w:t>60%</w:t>
      </w:r>
      <w:r>
        <w:rPr>
          <w:color w:val="000000"/>
          <w:spacing w:val="0"/>
          <w:w w:val="100"/>
          <w:position w:val="0"/>
        </w:rPr>
        <w:t>的增长，成为企业级</w:t>
      </w:r>
      <w:r>
        <w:rPr>
          <w:color w:val="000000"/>
          <w:spacing w:val="0"/>
          <w:w w:val="100"/>
          <w:position w:val="0"/>
          <w:sz w:val="17"/>
          <w:szCs w:val="17"/>
        </w:rPr>
        <w:t>IT</w:t>
      </w:r>
      <w:r>
        <w:rPr>
          <w:color w:val="000000"/>
          <w:spacing w:val="0"/>
          <w:w w:val="100"/>
          <w:position w:val="0"/>
        </w:rPr>
        <w:t>业务增长的新动力。在联想</w:t>
      </w:r>
      <w:r>
        <w:rPr>
          <w:color w:val="000000"/>
          <w:spacing w:val="0"/>
          <w:w w:val="100"/>
          <w:position w:val="0"/>
          <w:sz w:val="17"/>
          <w:szCs w:val="17"/>
        </w:rPr>
        <w:t>X86</w:t>
      </w:r>
      <w:r>
        <w:rPr>
          <w:color w:val="000000"/>
          <w:spacing w:val="0"/>
          <w:w w:val="100"/>
          <w:position w:val="0"/>
        </w:rPr>
        <w:t>服务器业务中，公司连续五年保持 市场份额领先。</w:t>
      </w:r>
    </w:p>
    <w:p>
      <w:pPr>
        <w:pStyle w:val="Style28"/>
        <w:keepNext/>
        <w:keepLines/>
        <w:widowControl w:val="0"/>
        <w:shd w:val="clear" w:color="auto" w:fill="auto"/>
        <w:bidi w:val="0"/>
        <w:spacing w:before="0" w:after="360" w:line="240" w:lineRule="auto"/>
        <w:ind w:left="0" w:right="0" w:firstLine="260"/>
        <w:jc w:val="left"/>
      </w:pPr>
      <w:bookmarkStart w:id="69" w:name="bookmark69"/>
      <w:bookmarkStart w:id="70" w:name="bookmark70"/>
      <w:bookmarkStart w:id="71" w:name="bookmark71"/>
      <w:r>
        <w:rPr>
          <w:color w:val="000000"/>
          <w:spacing w:val="0"/>
          <w:w w:val="100"/>
          <w:position w:val="0"/>
        </w:rPr>
        <w:t>、主要资产重大变化情况</w:t>
      </w:r>
      <w:bookmarkEnd w:id="69"/>
      <w:bookmarkEnd w:id="70"/>
      <w:bookmarkEnd w:id="71"/>
    </w:p>
    <w:p>
      <w:pPr>
        <w:pStyle w:val="Style36"/>
        <w:keepNext/>
        <w:keepLines/>
        <w:widowControl w:val="0"/>
        <w:shd w:val="clear" w:color="auto" w:fill="auto"/>
        <w:bidi w:val="0"/>
        <w:spacing w:before="0" w:after="32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、主要资产重大变化情况</w:t>
      </w:r>
      <w:bookmarkEnd w:id="72"/>
      <w:bookmarkEnd w:id="73"/>
      <w:bookmarkEnd w:id="75"/>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长期股权投资期初余额</w:t>
            </w:r>
            <w:r>
              <w:rPr>
                <w:rFonts w:ascii="Times New Roman" w:eastAsia="Times New Roman" w:hAnsi="Times New Roman" w:cs="Times New Roman"/>
                <w:color w:val="000000"/>
                <w:spacing w:val="0"/>
                <w:w w:val="100"/>
                <w:position w:val="0"/>
              </w:rPr>
              <w:t>0</w:t>
            </w:r>
            <w:r>
              <w:rPr>
                <w:color w:val="000000"/>
                <w:spacing w:val="0"/>
                <w:w w:val="100"/>
                <w:position w:val="0"/>
              </w:rPr>
              <w:t>元，期末余额</w:t>
            </w:r>
            <w:r>
              <w:rPr>
                <w:rFonts w:ascii="Times New Roman" w:eastAsia="Times New Roman" w:hAnsi="Times New Roman" w:cs="Times New Roman"/>
                <w:color w:val="000000"/>
                <w:spacing w:val="0"/>
                <w:w w:val="100"/>
                <w:position w:val="0"/>
              </w:rPr>
              <w:t>5643</w:t>
            </w:r>
            <w:r>
              <w:rPr>
                <w:color w:val="000000"/>
                <w:spacing w:val="0"/>
                <w:w w:val="100"/>
                <w:position w:val="0"/>
              </w:rPr>
              <w:t>万元，主要原因是被收购的神州控股 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分销业务公司对外投资的联营及合营公司，其按权益法计量的长期股权投 资金额。</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固定资产期初余额</w:t>
            </w:r>
            <w:r>
              <w:rPr>
                <w:rFonts w:ascii="Times New Roman" w:eastAsia="Times New Roman" w:hAnsi="Times New Roman" w:cs="Times New Roman"/>
                <w:color w:val="000000"/>
                <w:spacing w:val="0"/>
                <w:w w:val="100"/>
                <w:position w:val="0"/>
              </w:rPr>
              <w:t>5579</w:t>
            </w:r>
            <w:r>
              <w:rPr>
                <w:color w:val="000000"/>
                <w:spacing w:val="0"/>
                <w:w w:val="100"/>
                <w:position w:val="0"/>
              </w:rPr>
              <w:t>万元，期末余额</w:t>
            </w:r>
            <w:r>
              <w:rPr>
                <w:rFonts w:ascii="Times New Roman" w:eastAsia="Times New Roman" w:hAnsi="Times New Roman" w:cs="Times New Roman"/>
                <w:color w:val="000000"/>
                <w:spacing w:val="0"/>
                <w:w w:val="100"/>
                <w:position w:val="0"/>
              </w:rPr>
              <w:t>2.14</w:t>
            </w:r>
            <w:r>
              <w:rPr>
                <w:color w:val="000000"/>
                <w:spacing w:val="0"/>
                <w:w w:val="100"/>
                <w:position w:val="0"/>
              </w:rPr>
              <w:t>亿元，与年初余额相比增加</w:t>
            </w:r>
            <w:r>
              <w:rPr>
                <w:rFonts w:ascii="Times New Roman" w:eastAsia="Times New Roman" w:hAnsi="Times New Roman" w:cs="Times New Roman"/>
                <w:color w:val="000000"/>
                <w:spacing w:val="0"/>
                <w:w w:val="100"/>
                <w:position w:val="0"/>
              </w:rPr>
              <w:t>284%</w:t>
            </w:r>
            <w:r>
              <w:rPr>
                <w:color w:val="000000"/>
                <w:spacing w:val="0"/>
                <w:w w:val="100"/>
                <w:position w:val="0"/>
              </w:rPr>
              <w:t>， 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分销业务公司交易事项完成，本报告期 数据包含被收购公司的固定资产。</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无形资产期初余额</w:t>
            </w:r>
            <w:r>
              <w:rPr>
                <w:rFonts w:ascii="Times New Roman" w:eastAsia="Times New Roman" w:hAnsi="Times New Roman" w:cs="Times New Roman"/>
                <w:color w:val="000000"/>
                <w:spacing w:val="0"/>
                <w:w w:val="100"/>
                <w:position w:val="0"/>
              </w:rPr>
              <w:t>454</w:t>
            </w:r>
            <w:r>
              <w:rPr>
                <w:color w:val="000000"/>
                <w:spacing w:val="0"/>
                <w:w w:val="100"/>
                <w:position w:val="0"/>
              </w:rPr>
              <w:t>万元，期末余额</w:t>
            </w:r>
            <w:r>
              <w:rPr>
                <w:rFonts w:ascii="Times New Roman" w:eastAsia="Times New Roman" w:hAnsi="Times New Roman" w:cs="Times New Roman"/>
                <w:color w:val="000000"/>
                <w:spacing w:val="0"/>
                <w:w w:val="100"/>
                <w:position w:val="0"/>
              </w:rPr>
              <w:t>5262</w:t>
            </w:r>
            <w:r>
              <w:rPr>
                <w:color w:val="000000"/>
                <w:spacing w:val="0"/>
                <w:w w:val="100"/>
                <w:position w:val="0"/>
              </w:rPr>
              <w:t>万元，与年初余额相比增加</w:t>
            </w:r>
            <w:r>
              <w:rPr>
                <w:rFonts w:ascii="Times New Roman" w:eastAsia="Times New Roman" w:hAnsi="Times New Roman" w:cs="Times New Roman"/>
                <w:color w:val="000000"/>
                <w:spacing w:val="0"/>
                <w:w w:val="100"/>
                <w:position w:val="0"/>
              </w:rPr>
              <w:t>1,059%</w:t>
            </w:r>
            <w:r>
              <w:rPr>
                <w:color w:val="000000"/>
                <w:spacing w:val="0"/>
                <w:w w:val="100"/>
                <w:position w:val="0"/>
              </w:rPr>
              <w:t>， 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分销业务公司交易事项完成，本报告期 数据包含被收购公司的无形资产。</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投资性房地产期初余额</w:t>
            </w:r>
            <w:r>
              <w:rPr>
                <w:rFonts w:ascii="Times New Roman" w:eastAsia="Times New Roman" w:hAnsi="Times New Roman" w:cs="Times New Roman"/>
                <w:color w:val="000000"/>
                <w:spacing w:val="0"/>
                <w:w w:val="100"/>
                <w:position w:val="0"/>
              </w:rPr>
              <w:t>1271</w:t>
            </w:r>
            <w:r>
              <w:rPr>
                <w:color w:val="000000"/>
                <w:spacing w:val="0"/>
                <w:w w:val="100"/>
                <w:position w:val="0"/>
              </w:rPr>
              <w:t>万元，期末余额</w:t>
            </w:r>
            <w:r>
              <w:rPr>
                <w:rFonts w:ascii="Times New Roman" w:eastAsia="Times New Roman" w:hAnsi="Times New Roman" w:cs="Times New Roman"/>
                <w:color w:val="000000"/>
                <w:spacing w:val="0"/>
                <w:w w:val="100"/>
                <w:position w:val="0"/>
              </w:rPr>
              <w:t>1.85</w:t>
            </w:r>
            <w:r>
              <w:rPr>
                <w:color w:val="000000"/>
                <w:spacing w:val="0"/>
                <w:w w:val="100"/>
                <w:position w:val="0"/>
              </w:rPr>
              <w:t xml:space="preserve">亿元，与年初余额相比增加 </w:t>
            </w:r>
            <w:r>
              <w:rPr>
                <w:rFonts w:ascii="Times New Roman" w:eastAsia="Times New Roman" w:hAnsi="Times New Roman" w:cs="Times New Roman"/>
                <w:color w:val="000000"/>
                <w:spacing w:val="0"/>
                <w:w w:val="100"/>
                <w:position w:val="0"/>
              </w:rPr>
              <w:t>1,352%</w:t>
            </w: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本报告期数据包含被收购公司的投资性房地产。</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可供出售金融资产期初余额</w:t>
            </w:r>
            <w:r>
              <w:rPr>
                <w:rFonts w:ascii="Times New Roman" w:eastAsia="Times New Roman" w:hAnsi="Times New Roman" w:cs="Times New Roman"/>
                <w:color w:val="000000"/>
                <w:spacing w:val="0"/>
                <w:w w:val="100"/>
                <w:position w:val="0"/>
              </w:rPr>
              <w:t>2000</w:t>
            </w:r>
            <w:r>
              <w:rPr>
                <w:color w:val="000000"/>
                <w:spacing w:val="0"/>
                <w:w w:val="100"/>
                <w:position w:val="0"/>
              </w:rPr>
              <w:t>万元，期末余额</w:t>
            </w:r>
            <w:r>
              <w:rPr>
                <w:rFonts w:ascii="Times New Roman" w:eastAsia="Times New Roman" w:hAnsi="Times New Roman" w:cs="Times New Roman"/>
                <w:color w:val="000000"/>
                <w:spacing w:val="0"/>
                <w:w w:val="100"/>
                <w:position w:val="0"/>
              </w:rPr>
              <w:t>9325</w:t>
            </w:r>
            <w:r>
              <w:rPr>
                <w:color w:val="000000"/>
                <w:spacing w:val="0"/>
                <w:w w:val="100"/>
                <w:position w:val="0"/>
              </w:rPr>
              <w:t>万元，与年初余额相比增 加</w:t>
            </w:r>
            <w:r>
              <w:rPr>
                <w:rFonts w:ascii="Times New Roman" w:eastAsia="Times New Roman" w:hAnsi="Times New Roman" w:cs="Times New Roman"/>
                <w:color w:val="000000"/>
                <w:spacing w:val="0"/>
                <w:w w:val="100"/>
                <w:position w:val="0"/>
              </w:rPr>
              <w:t>366%</w:t>
            </w: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 成，本报告期数据包含被收购公司的可供出售金融资产。</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长期待摊费用期初余额</w:t>
            </w:r>
            <w:r>
              <w:rPr>
                <w:rFonts w:ascii="Times New Roman" w:eastAsia="Times New Roman" w:hAnsi="Times New Roman" w:cs="Times New Roman"/>
                <w:color w:val="000000"/>
                <w:spacing w:val="0"/>
                <w:w w:val="100"/>
                <w:position w:val="0"/>
              </w:rPr>
              <w:t>234</w:t>
            </w:r>
            <w:r>
              <w:rPr>
                <w:color w:val="000000"/>
                <w:spacing w:val="0"/>
                <w:w w:val="100"/>
                <w:position w:val="0"/>
              </w:rPr>
              <w:t>万元，期末余额</w:t>
            </w:r>
            <w:r>
              <w:rPr>
                <w:rFonts w:ascii="Times New Roman" w:eastAsia="Times New Roman" w:hAnsi="Times New Roman" w:cs="Times New Roman"/>
                <w:color w:val="000000"/>
                <w:spacing w:val="0"/>
                <w:w w:val="100"/>
                <w:position w:val="0"/>
              </w:rPr>
              <w:t>1035</w:t>
            </w:r>
            <w:r>
              <w:rPr>
                <w:color w:val="000000"/>
                <w:spacing w:val="0"/>
                <w:w w:val="100"/>
                <w:position w:val="0"/>
              </w:rPr>
              <w:t xml:space="preserve">万元，与年初余额相比增加 </w:t>
            </w:r>
            <w:r>
              <w:rPr>
                <w:rFonts w:ascii="Times New Roman" w:eastAsia="Times New Roman" w:hAnsi="Times New Roman" w:cs="Times New Roman"/>
                <w:color w:val="000000"/>
                <w:spacing w:val="0"/>
                <w:w w:val="100"/>
                <w:position w:val="0"/>
              </w:rPr>
              <w:t>343%</w:t>
            </w: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 报告期数据包含被收购公司的长期待摊费用。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商誉期初余额</w:t>
            </w:r>
            <w:r>
              <w:rPr>
                <w:rFonts w:ascii="Times New Roman" w:eastAsia="Times New Roman" w:hAnsi="Times New Roman" w:cs="Times New Roman"/>
                <w:color w:val="000000"/>
                <w:spacing w:val="0"/>
                <w:w w:val="100"/>
                <w:position w:val="0"/>
              </w:rPr>
              <w:t>0</w:t>
            </w:r>
            <w:r>
              <w:rPr>
                <w:color w:val="000000"/>
                <w:spacing w:val="0"/>
                <w:w w:val="100"/>
                <w:position w:val="0"/>
              </w:rPr>
              <w:t>元，期末余额</w:t>
            </w:r>
            <w:r>
              <w:rPr>
                <w:rFonts w:ascii="Times New Roman" w:eastAsia="Times New Roman" w:hAnsi="Times New Roman" w:cs="Times New Roman"/>
                <w:color w:val="000000"/>
                <w:spacing w:val="0"/>
                <w:w w:val="100"/>
                <w:position w:val="0"/>
              </w:rPr>
              <w:t>6.12</w:t>
            </w:r>
            <w:r>
              <w:rPr>
                <w:color w:val="000000"/>
                <w:spacing w:val="0"/>
                <w:w w:val="100"/>
                <w:position w:val="0"/>
              </w:rPr>
              <w:t>亿元，即上市公司收购神州控股下属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 务公司形成。</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递延所得税资产期初余额</w:t>
            </w:r>
            <w:r>
              <w:rPr>
                <w:rFonts w:ascii="Times New Roman" w:eastAsia="Times New Roman" w:hAnsi="Times New Roman" w:cs="Times New Roman"/>
                <w:color w:val="000000"/>
                <w:spacing w:val="0"/>
                <w:w w:val="100"/>
                <w:position w:val="0"/>
              </w:rPr>
              <w:t>0</w:t>
            </w:r>
            <w:r>
              <w:rPr>
                <w:color w:val="000000"/>
                <w:spacing w:val="0"/>
                <w:w w:val="100"/>
                <w:position w:val="0"/>
              </w:rPr>
              <w:t>元，期末余额</w:t>
            </w:r>
            <w:r>
              <w:rPr>
                <w:rFonts w:ascii="Times New Roman" w:eastAsia="Times New Roman" w:hAnsi="Times New Roman" w:cs="Times New Roman"/>
                <w:color w:val="000000"/>
                <w:spacing w:val="0"/>
                <w:w w:val="100"/>
                <w:position w:val="0"/>
              </w:rPr>
              <w:t>2.06</w:t>
            </w:r>
            <w:r>
              <w:rPr>
                <w:color w:val="000000"/>
                <w:spacing w:val="0"/>
                <w:w w:val="100"/>
                <w:position w:val="0"/>
              </w:rPr>
              <w:t>亿元，主要原因是上市公司收购神 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分销业务公司交易事项完成，本报告期数据包含被收购公司的递延 所得税资产。</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货币资金期初余额</w:t>
            </w:r>
            <w:r>
              <w:rPr>
                <w:rFonts w:ascii="Times New Roman" w:eastAsia="Times New Roman" w:hAnsi="Times New Roman" w:cs="Times New Roman"/>
                <w:color w:val="000000"/>
                <w:spacing w:val="0"/>
                <w:w w:val="100"/>
                <w:position w:val="0"/>
              </w:rPr>
              <w:t>1.14</w:t>
            </w:r>
            <w:r>
              <w:rPr>
                <w:color w:val="000000"/>
                <w:spacing w:val="0"/>
                <w:w w:val="100"/>
                <w:position w:val="0"/>
              </w:rPr>
              <w:t>亿元，期末余额</w:t>
            </w:r>
            <w:r>
              <w:rPr>
                <w:rFonts w:ascii="Times New Roman" w:eastAsia="Times New Roman" w:hAnsi="Times New Roman" w:cs="Times New Roman"/>
                <w:color w:val="000000"/>
                <w:spacing w:val="0"/>
                <w:w w:val="100"/>
                <w:position w:val="0"/>
              </w:rPr>
              <w:t>11.43</w:t>
            </w:r>
            <w:r>
              <w:rPr>
                <w:color w:val="000000"/>
                <w:spacing w:val="0"/>
                <w:w w:val="100"/>
                <w:position w:val="0"/>
              </w:rPr>
              <w:t>亿元，与年初余额相比增加</w:t>
            </w:r>
            <w:r>
              <w:rPr>
                <w:rFonts w:ascii="Times New Roman" w:eastAsia="Times New Roman" w:hAnsi="Times New Roman" w:cs="Times New Roman"/>
                <w:color w:val="000000"/>
                <w:spacing w:val="0"/>
                <w:w w:val="100"/>
                <w:position w:val="0"/>
              </w:rPr>
              <w:t>900%</w:t>
            </w:r>
            <w:r>
              <w:rPr>
                <w:color w:val="000000"/>
                <w:spacing w:val="0"/>
                <w:w w:val="100"/>
                <w:position w:val="0"/>
              </w:rPr>
              <w:t>， 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分销业务公司交易事项完成，本报告期 数据包含被收购公司的货币资金。</w:t>
            </w:r>
          </w:p>
        </w:tc>
      </w:tr>
    </w:tbl>
    <w:p>
      <w:pPr>
        <w:spacing w:lineRule="exact" w:line="1"/>
        <w:rPr>
          <w:sz w:val="2"/>
          <w:szCs w:val="2"/>
        </w:rPr>
      </w:pPr>
      <w:r>
        <w:br w:type="page"/>
      </w:r>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应收票据期初余额</w:t>
            </w:r>
            <w:r>
              <w:rPr>
                <w:rFonts w:ascii="Times New Roman" w:eastAsia="Times New Roman" w:hAnsi="Times New Roman" w:cs="Times New Roman"/>
                <w:color w:val="000000"/>
                <w:spacing w:val="0"/>
                <w:w w:val="100"/>
                <w:position w:val="0"/>
              </w:rPr>
              <w:t>0</w:t>
            </w:r>
            <w:r>
              <w:rPr>
                <w:color w:val="000000"/>
                <w:spacing w:val="0"/>
                <w:w w:val="100"/>
                <w:position w:val="0"/>
              </w:rPr>
              <w:t>元，期末余额</w:t>
            </w:r>
            <w:r>
              <w:rPr>
                <w:rFonts w:ascii="Times New Roman" w:eastAsia="Times New Roman" w:hAnsi="Times New Roman" w:cs="Times New Roman"/>
                <w:color w:val="000000"/>
                <w:spacing w:val="0"/>
                <w:w w:val="100"/>
                <w:position w:val="0"/>
              </w:rPr>
              <w:t>3.3</w:t>
            </w:r>
            <w:r>
              <w:rPr>
                <w:color w:val="000000"/>
                <w:spacing w:val="0"/>
                <w:w w:val="100"/>
                <w:position w:val="0"/>
              </w:rPr>
              <w:t>亿元，主要原因是上市公司收购神州控股下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分销业务公司交易事项完成，本报告期数据包含被收购公司的应收票据。</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应收账款期初余额</w:t>
            </w:r>
            <w:r>
              <w:rPr>
                <w:rFonts w:ascii="Times New Roman" w:eastAsia="Times New Roman" w:hAnsi="Times New Roman" w:cs="Times New Roman"/>
                <w:color w:val="000000"/>
                <w:spacing w:val="0"/>
                <w:w w:val="100"/>
                <w:position w:val="0"/>
              </w:rPr>
              <w:t>2316</w:t>
            </w:r>
            <w:r>
              <w:rPr>
                <w:color w:val="000000"/>
                <w:spacing w:val="0"/>
                <w:w w:val="100"/>
                <w:position w:val="0"/>
              </w:rPr>
              <w:t>万元，期末余额</w:t>
            </w:r>
            <w:r>
              <w:rPr>
                <w:rFonts w:ascii="Times New Roman" w:eastAsia="Times New Roman" w:hAnsi="Times New Roman" w:cs="Times New Roman"/>
                <w:color w:val="000000"/>
                <w:spacing w:val="0"/>
                <w:w w:val="100"/>
                <w:position w:val="0"/>
              </w:rPr>
              <w:t>66.22</w:t>
            </w:r>
            <w:r>
              <w:rPr>
                <w:color w:val="000000"/>
                <w:spacing w:val="0"/>
                <w:w w:val="100"/>
                <w:position w:val="0"/>
              </w:rPr>
              <w:t xml:space="preserve">亿元，与年初余额相比增加 </w:t>
            </w:r>
            <w:r>
              <w:rPr>
                <w:rFonts w:ascii="Times New Roman" w:eastAsia="Times New Roman" w:hAnsi="Times New Roman" w:cs="Times New Roman"/>
                <w:color w:val="000000"/>
                <w:spacing w:val="0"/>
                <w:w w:val="100"/>
                <w:position w:val="0"/>
              </w:rPr>
              <w:t>28,486%</w:t>
            </w: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 成，本报告期数据包含被收购公司的应收账款。</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预付款项期初余额</w:t>
            </w:r>
            <w:r>
              <w:rPr>
                <w:rFonts w:ascii="Times New Roman" w:eastAsia="Times New Roman" w:hAnsi="Times New Roman" w:cs="Times New Roman"/>
                <w:color w:val="000000"/>
                <w:spacing w:val="0"/>
                <w:w w:val="100"/>
                <w:position w:val="0"/>
              </w:rPr>
              <w:t>245</w:t>
            </w:r>
            <w:r>
              <w:rPr>
                <w:color w:val="000000"/>
                <w:spacing w:val="0"/>
                <w:w w:val="100"/>
                <w:position w:val="0"/>
              </w:rPr>
              <w:t>万元，期末余额</w:t>
            </w:r>
            <w:r>
              <w:rPr>
                <w:rFonts w:ascii="Times New Roman" w:eastAsia="Times New Roman" w:hAnsi="Times New Roman" w:cs="Times New Roman"/>
                <w:color w:val="000000"/>
                <w:spacing w:val="0"/>
                <w:w w:val="100"/>
                <w:position w:val="0"/>
              </w:rPr>
              <w:t>21.58</w:t>
            </w:r>
            <w:r>
              <w:rPr>
                <w:color w:val="000000"/>
                <w:spacing w:val="0"/>
                <w:w w:val="100"/>
                <w:position w:val="0"/>
              </w:rPr>
              <w:t xml:space="preserve">亿元，与年初余额相比增加 </w:t>
            </w:r>
            <w:r>
              <w:rPr>
                <w:rFonts w:ascii="Times New Roman" w:eastAsia="Times New Roman" w:hAnsi="Times New Roman" w:cs="Times New Roman"/>
                <w:color w:val="000000"/>
                <w:spacing w:val="0"/>
                <w:w w:val="100"/>
                <w:position w:val="0"/>
              </w:rPr>
              <w:t>88,028%</w:t>
            </w: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 成，本报告期数据包含被收购公司的预付款项。</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其他应收款期初余额</w:t>
            </w:r>
            <w:r>
              <w:rPr>
                <w:rFonts w:ascii="Times New Roman" w:eastAsia="Times New Roman" w:hAnsi="Times New Roman" w:cs="Times New Roman"/>
                <w:color w:val="000000"/>
                <w:spacing w:val="0"/>
                <w:w w:val="100"/>
                <w:position w:val="0"/>
              </w:rPr>
              <w:t>295</w:t>
            </w:r>
            <w:r>
              <w:rPr>
                <w:color w:val="000000"/>
                <w:spacing w:val="0"/>
                <w:w w:val="100"/>
                <w:position w:val="0"/>
              </w:rPr>
              <w:t>万元，期末余额</w:t>
            </w:r>
            <w:r>
              <w:rPr>
                <w:rFonts w:ascii="Times New Roman" w:eastAsia="Times New Roman" w:hAnsi="Times New Roman" w:cs="Times New Roman"/>
                <w:color w:val="000000"/>
                <w:spacing w:val="0"/>
                <w:w w:val="100"/>
                <w:position w:val="0"/>
              </w:rPr>
              <w:t>2.6</w:t>
            </w:r>
            <w:r>
              <w:rPr>
                <w:rFonts w:ascii="Times New Roman" w:eastAsia="Times New Roman" w:hAnsi="Times New Roman" w:cs="Times New Roman"/>
                <w:color w:val="000000"/>
                <w:spacing w:val="0"/>
                <w:w w:val="100"/>
                <w:position w:val="0"/>
              </w:rPr>
              <w:t>2</w:t>
            </w:r>
            <w:r>
              <w:rPr>
                <w:color w:val="000000"/>
                <w:spacing w:val="0"/>
                <w:w w:val="100"/>
                <w:position w:val="0"/>
              </w:rPr>
              <w:t xml:space="preserve">亿元，与年初余额相比增加 </w:t>
            </w:r>
            <w:r>
              <w:rPr>
                <w:rFonts w:ascii="Times New Roman" w:eastAsia="Times New Roman" w:hAnsi="Times New Roman" w:cs="Times New Roman"/>
                <w:color w:val="000000"/>
                <w:spacing w:val="0"/>
                <w:w w:val="100"/>
                <w:position w:val="0"/>
              </w:rPr>
              <w:t>8,775%</w:t>
            </w: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本报告期数据包含被收购公司的其他应收款。</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存货期初余额</w:t>
            </w:r>
            <w:r>
              <w:rPr>
                <w:rFonts w:ascii="Times New Roman" w:eastAsia="Times New Roman" w:hAnsi="Times New Roman" w:cs="Times New Roman"/>
                <w:color w:val="000000"/>
                <w:spacing w:val="0"/>
                <w:w w:val="100"/>
                <w:position w:val="0"/>
              </w:rPr>
              <w:t>9919</w:t>
            </w:r>
            <w:r>
              <w:rPr>
                <w:color w:val="000000"/>
                <w:spacing w:val="0"/>
                <w:w w:val="100"/>
                <w:position w:val="0"/>
              </w:rPr>
              <w:t>万元，期末余额</w:t>
            </w:r>
            <w:r>
              <w:rPr>
                <w:rFonts w:ascii="Times New Roman" w:eastAsia="Times New Roman" w:hAnsi="Times New Roman" w:cs="Times New Roman"/>
                <w:color w:val="000000"/>
                <w:spacing w:val="0"/>
                <w:w w:val="100"/>
                <w:position w:val="0"/>
              </w:rPr>
              <w:t>45.8</w:t>
            </w:r>
            <w:r>
              <w:rPr>
                <w:color w:val="000000"/>
                <w:spacing w:val="0"/>
                <w:w w:val="100"/>
                <w:position w:val="0"/>
              </w:rPr>
              <w:t>亿元，与年初余额相比增加</w:t>
            </w:r>
            <w:r>
              <w:rPr>
                <w:rFonts w:ascii="Times New Roman" w:eastAsia="Times New Roman" w:hAnsi="Times New Roman" w:cs="Times New Roman"/>
                <w:color w:val="000000"/>
                <w:spacing w:val="0"/>
                <w:w w:val="100"/>
                <w:position w:val="0"/>
              </w:rPr>
              <w:t>4,518%</w:t>
            </w:r>
            <w:r>
              <w:rPr>
                <w:color w:val="000000"/>
                <w:spacing w:val="0"/>
                <w:w w:val="100"/>
                <w:position w:val="0"/>
              </w:rPr>
              <w:t>，主 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分销业务公司交易事项完成，本报告期数 据包含被收购公司的存货。</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一年内到期的非流动资产期初余额</w:t>
            </w:r>
            <w:r>
              <w:rPr>
                <w:rFonts w:ascii="Times New Roman" w:eastAsia="Times New Roman" w:hAnsi="Times New Roman" w:cs="Times New Roman"/>
                <w:color w:val="000000"/>
                <w:spacing w:val="0"/>
                <w:w w:val="100"/>
                <w:position w:val="0"/>
              </w:rPr>
              <w:t>0</w:t>
            </w:r>
            <w:r>
              <w:rPr>
                <w:color w:val="000000"/>
                <w:spacing w:val="0"/>
                <w:w w:val="100"/>
                <w:position w:val="0"/>
              </w:rPr>
              <w:t>元，期末余额</w:t>
            </w:r>
            <w:r>
              <w:rPr>
                <w:rFonts w:ascii="Times New Roman" w:eastAsia="Times New Roman" w:hAnsi="Times New Roman" w:cs="Times New Roman"/>
                <w:color w:val="000000"/>
                <w:spacing w:val="0"/>
                <w:w w:val="100"/>
                <w:position w:val="0"/>
              </w:rPr>
              <w:t>2000</w:t>
            </w:r>
            <w:r>
              <w:rPr>
                <w:color w:val="000000"/>
                <w:spacing w:val="0"/>
                <w:w w:val="100"/>
                <w:position w:val="0"/>
              </w:rPr>
              <w:t>万，即上市公司将一年内 到期的理财产品转入一年内到期的非流动资产。</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其他流动资产期初余额</w:t>
            </w:r>
            <w:r>
              <w:rPr>
                <w:rFonts w:ascii="Times New Roman" w:eastAsia="Times New Roman" w:hAnsi="Times New Roman" w:cs="Times New Roman"/>
                <w:color w:val="000000"/>
                <w:spacing w:val="0"/>
                <w:w w:val="100"/>
                <w:position w:val="0"/>
              </w:rPr>
              <w:t>1.02</w:t>
            </w:r>
            <w:r>
              <w:rPr>
                <w:color w:val="000000"/>
                <w:spacing w:val="0"/>
                <w:w w:val="100"/>
                <w:position w:val="0"/>
              </w:rPr>
              <w:t>亿元，期末余额</w:t>
            </w:r>
            <w:r>
              <w:rPr>
                <w:rFonts w:ascii="Times New Roman" w:eastAsia="Times New Roman" w:hAnsi="Times New Roman" w:cs="Times New Roman"/>
                <w:color w:val="000000"/>
                <w:spacing w:val="0"/>
                <w:w w:val="100"/>
                <w:position w:val="0"/>
              </w:rPr>
              <w:t>4.83</w:t>
            </w:r>
            <w:r>
              <w:rPr>
                <w:color w:val="000000"/>
                <w:spacing w:val="0"/>
                <w:w w:val="100"/>
                <w:position w:val="0"/>
              </w:rPr>
              <w:t xml:space="preserve">亿元，与年初余额相比增加 </w:t>
            </w:r>
            <w:r>
              <w:rPr>
                <w:rFonts w:ascii="Times New Roman" w:eastAsia="Times New Roman" w:hAnsi="Times New Roman" w:cs="Times New Roman"/>
                <w:color w:val="000000"/>
                <w:spacing w:val="0"/>
                <w:w w:val="100"/>
                <w:position w:val="0"/>
              </w:rPr>
              <w:t>375%</w:t>
            </w: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 报告期数据包含被收购公司的其他流动资产。</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、主要境外资产情况</w:t>
      </w:r>
      <w:bookmarkEnd w:id="76"/>
      <w:bookmarkEnd w:id="77"/>
      <w:bookmarkEnd w:id="79"/>
    </w:p>
    <w:p>
      <w:pPr>
        <w:pStyle w:val="Style32"/>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、核心竞争力分析</w:t>
      </w:r>
      <w:bookmarkEnd w:id="80"/>
      <w:bookmarkEnd w:id="81"/>
      <w:bookmarkEnd w:id="83"/>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否</w:t>
      </w:r>
    </w:p>
    <w:p>
      <w:pPr>
        <w:pStyle w:val="Style32"/>
        <w:keepNext w:val="0"/>
        <w:keepLines w:val="0"/>
        <w:widowControl w:val="0"/>
        <w:shd w:val="clear" w:color="auto" w:fill="auto"/>
        <w:tabs>
          <w:tab w:pos="335" w:val="left"/>
        </w:tabs>
        <w:bidi w:val="0"/>
        <w:spacing w:before="0" w:after="0" w:line="313" w:lineRule="exact"/>
        <w:ind w:left="0" w:right="0" w:firstLine="0"/>
        <w:jc w:val="both"/>
      </w:pPr>
      <w:bookmarkStart w:id="84" w:name="bookmark84"/>
      <w:r>
        <w:rPr>
          <w:b/>
          <w:bCs/>
          <w:color w:val="000000"/>
          <w:spacing w:val="0"/>
          <w:w w:val="100"/>
          <w:position w:val="0"/>
        </w:rPr>
        <w:t>1</w:t>
      </w:r>
      <w:bookmarkEnd w:id="84"/>
      <w:r>
        <w:rPr>
          <w:b/>
          <w:bCs/>
          <w:color w:val="000000"/>
          <w:spacing w:val="0"/>
          <w:w w:val="100"/>
          <w:position w:val="0"/>
        </w:rPr>
        <w:t>、</w:t>
        <w:tab/>
        <w:t>战略优势</w:t>
      </w:r>
    </w:p>
    <w:p>
      <w:pPr>
        <w:pStyle w:val="Style32"/>
        <w:keepNext w:val="0"/>
        <w:keepLines w:val="0"/>
        <w:widowControl w:val="0"/>
        <w:shd w:val="clear" w:color="auto" w:fill="auto"/>
        <w:bidi w:val="0"/>
        <w:spacing w:before="0" w:after="300" w:line="313" w:lineRule="exact"/>
        <w:ind w:left="0" w:right="0"/>
        <w:jc w:val="both"/>
      </w:pPr>
      <w:r>
        <w:rPr>
          <w:color w:val="000000"/>
          <w:spacing w:val="0"/>
          <w:w w:val="100"/>
          <w:position w:val="0"/>
        </w:rPr>
        <w:t>战略决定公司的未来发展，公司通过重大资产重组收购神州控股优质</w:t>
      </w:r>
      <w:r>
        <w:rPr>
          <w:color w:val="000000"/>
          <w:spacing w:val="0"/>
          <w:w w:val="100"/>
          <w:position w:val="0"/>
          <w:sz w:val="17"/>
          <w:szCs w:val="17"/>
        </w:rPr>
        <w:t>IT</w:t>
      </w:r>
      <w:r>
        <w:rPr>
          <w:color w:val="000000"/>
          <w:spacing w:val="0"/>
          <w:w w:val="100"/>
          <w:position w:val="0"/>
        </w:rPr>
        <w:t>分销资产，从而实现战略与业务全面转型。新的 公司战略结合了中国</w:t>
      </w:r>
      <w:r>
        <w:rPr>
          <w:color w:val="000000"/>
          <w:spacing w:val="0"/>
          <w:w w:val="100"/>
          <w:position w:val="0"/>
          <w:sz w:val="17"/>
          <w:szCs w:val="17"/>
        </w:rPr>
        <w:t>IT</w:t>
      </w:r>
      <w:r>
        <w:rPr>
          <w:color w:val="000000"/>
          <w:spacing w:val="0"/>
          <w:w w:val="100"/>
          <w:position w:val="0"/>
        </w:rPr>
        <w:t>信息化与全球行业发展的大趋势，以及国家政策的指引，面向公司未来</w:t>
      </w:r>
      <w:r>
        <w:rPr>
          <w:color w:val="000000"/>
          <w:spacing w:val="0"/>
          <w:w w:val="100"/>
          <w:position w:val="0"/>
          <w:sz w:val="17"/>
          <w:szCs w:val="17"/>
        </w:rPr>
        <w:t>3~5</w:t>
      </w:r>
      <w:r>
        <w:rPr>
          <w:color w:val="000000"/>
          <w:spacing w:val="0"/>
          <w:w w:val="100"/>
          <w:position w:val="0"/>
        </w:rPr>
        <w:t>年的发展进行规划，制定 具有前瞻性的发展蓝图。公司将致力在国家自主可控的政策指引下，充分利用互联网、云计算、大数据等新型技术，聚合</w:t>
      </w:r>
      <w:r>
        <w:rPr>
          <w:color w:val="000000"/>
          <w:spacing w:val="0"/>
          <w:w w:val="100"/>
          <w:position w:val="0"/>
          <w:sz w:val="17"/>
          <w:szCs w:val="17"/>
        </w:rPr>
        <w:t xml:space="preserve">IT </w:t>
      </w:r>
      <w:r>
        <w:rPr>
          <w:color w:val="000000"/>
          <w:spacing w:val="0"/>
          <w:w w:val="100"/>
          <w:position w:val="0"/>
        </w:rPr>
        <w:t>产业链资源、助力生态合作伙伴转型，打造中国最大的企业信息化服务型互联网平台，实现数字化中国的理想。为此，公 司将积极在各战略业务方向规划、布局、实施，从而推进以渠道管理、产品代理、资金运作为主的分销贸易型企业向互联网 型企业信息化服务平台，并拥有自有品牌、云计算、大数据等相关技术以及研发能力的技术服务型企业转型。</w:t>
      </w:r>
    </w:p>
    <w:p>
      <w:pPr>
        <w:pStyle w:val="Style32"/>
        <w:keepNext w:val="0"/>
        <w:keepLines w:val="0"/>
        <w:widowControl w:val="0"/>
        <w:shd w:val="clear" w:color="auto" w:fill="auto"/>
        <w:tabs>
          <w:tab w:pos="345" w:val="left"/>
        </w:tabs>
        <w:bidi w:val="0"/>
        <w:spacing w:before="0" w:after="0" w:line="307" w:lineRule="exact"/>
        <w:ind w:left="0" w:right="0" w:firstLine="0"/>
        <w:jc w:val="both"/>
      </w:pPr>
      <w:bookmarkStart w:id="85" w:name="bookmark85"/>
      <w:r>
        <w:rPr>
          <w:b/>
          <w:bCs/>
          <w:color w:val="000000"/>
          <w:spacing w:val="0"/>
          <w:w w:val="100"/>
          <w:position w:val="0"/>
        </w:rPr>
        <w:t>2</w:t>
      </w:r>
      <w:bookmarkEnd w:id="85"/>
      <w:r>
        <w:rPr>
          <w:b/>
          <w:bCs/>
          <w:color w:val="000000"/>
          <w:spacing w:val="0"/>
          <w:w w:val="100"/>
          <w:position w:val="0"/>
        </w:rPr>
        <w:t>、</w:t>
        <w:tab/>
        <w:t>市场地位优势</w:t>
      </w:r>
    </w:p>
    <w:p>
      <w:pPr>
        <w:pStyle w:val="Style32"/>
        <w:keepNext w:val="0"/>
        <w:keepLines w:val="0"/>
        <w:widowControl w:val="0"/>
        <w:shd w:val="clear" w:color="auto" w:fill="auto"/>
        <w:bidi w:val="0"/>
        <w:spacing w:before="0" w:after="300" w:line="307" w:lineRule="exact"/>
        <w:ind w:left="0" w:right="0"/>
        <w:jc w:val="both"/>
      </w:pPr>
      <w:r>
        <w:rPr>
          <w:color w:val="000000"/>
          <w:spacing w:val="0"/>
          <w:w w:val="100"/>
          <w:position w:val="0"/>
        </w:rPr>
        <w:t>公司目前为中国最大的、涉及领域与品牌最广的</w:t>
      </w:r>
      <w:r>
        <w:rPr>
          <w:color w:val="000000"/>
          <w:spacing w:val="0"/>
          <w:w w:val="100"/>
          <w:position w:val="0"/>
          <w:sz w:val="17"/>
          <w:szCs w:val="17"/>
        </w:rPr>
        <w:t>IT</w:t>
      </w:r>
      <w:r>
        <w:rPr>
          <w:color w:val="000000"/>
          <w:spacing w:val="0"/>
          <w:w w:val="100"/>
          <w:position w:val="0"/>
        </w:rPr>
        <w:t xml:space="preserve">领域分销商，有着广泛的渠道覆盖网络，是国际厂商进入中国的首选 合作伙伴，经营的产品包括移动办公设备、笔记本电脑、显示设备、服务器、储存设备、网络设备、计算机配件等上万余种 </w:t>
      </w:r>
      <w:r>
        <w:rPr>
          <w:color w:val="000000"/>
          <w:spacing w:val="0"/>
          <w:w w:val="100"/>
          <w:position w:val="0"/>
          <w:sz w:val="17"/>
          <w:szCs w:val="17"/>
        </w:rPr>
        <w:t>IT</w:t>
      </w:r>
      <w:r>
        <w:rPr>
          <w:color w:val="000000"/>
          <w:spacing w:val="0"/>
          <w:w w:val="100"/>
          <w:position w:val="0"/>
        </w:rPr>
        <w:t>产品，并且连续</w:t>
      </w:r>
      <w:r>
        <w:rPr>
          <w:color w:val="000000"/>
          <w:spacing w:val="0"/>
          <w:w w:val="100"/>
          <w:position w:val="0"/>
          <w:sz w:val="17"/>
          <w:szCs w:val="17"/>
        </w:rPr>
        <w:t>10</w:t>
      </w:r>
      <w:r>
        <w:rPr>
          <w:color w:val="000000"/>
          <w:spacing w:val="0"/>
          <w:w w:val="100"/>
          <w:position w:val="0"/>
        </w:rPr>
        <w:t>年蝉联</w:t>
      </w:r>
      <w:r>
        <w:rPr>
          <w:color w:val="000000"/>
          <w:spacing w:val="0"/>
          <w:w w:val="100"/>
          <w:position w:val="0"/>
          <w:sz w:val="17"/>
          <w:szCs w:val="17"/>
        </w:rPr>
        <w:t>IT</w:t>
      </w:r>
      <w:r>
        <w:rPr>
          <w:color w:val="000000"/>
          <w:spacing w:val="0"/>
          <w:w w:val="100"/>
          <w:position w:val="0"/>
        </w:rPr>
        <w:t>分销领域国内市场第一。公司的供应商包括</w:t>
      </w:r>
      <w:r>
        <w:rPr>
          <w:color w:val="000000"/>
          <w:spacing w:val="0"/>
          <w:w w:val="100"/>
          <w:position w:val="0"/>
          <w:sz w:val="17"/>
          <w:szCs w:val="17"/>
        </w:rPr>
        <w:t>IBM</w:t>
      </w:r>
      <w:r>
        <w:rPr>
          <w:color w:val="000000"/>
          <w:spacing w:val="0"/>
          <w:w w:val="100"/>
          <w:position w:val="0"/>
        </w:rPr>
        <w:t>、</w:t>
      </w:r>
      <w:r>
        <w:rPr>
          <w:color w:val="000000"/>
          <w:spacing w:val="0"/>
          <w:w w:val="100"/>
          <w:position w:val="0"/>
          <w:sz w:val="17"/>
          <w:szCs w:val="17"/>
        </w:rPr>
        <w:t>EMC</w:t>
      </w:r>
      <w:r>
        <w:rPr>
          <w:color w:val="000000"/>
          <w:spacing w:val="0"/>
          <w:w w:val="100"/>
          <w:position w:val="0"/>
        </w:rPr>
        <w:t>、</w:t>
      </w:r>
      <w:r>
        <w:rPr>
          <w:color w:val="000000"/>
          <w:spacing w:val="0"/>
          <w:w w:val="100"/>
          <w:position w:val="0"/>
        </w:rPr>
        <w:t xml:space="preserve">联想、华为、微软、苹果等国际知名的 </w:t>
      </w:r>
      <w:r>
        <w:rPr>
          <w:color w:val="000000"/>
          <w:spacing w:val="0"/>
          <w:w w:val="100"/>
          <w:position w:val="0"/>
          <w:sz w:val="17"/>
          <w:szCs w:val="17"/>
        </w:rPr>
        <w:t>IT</w:t>
      </w:r>
      <w:r>
        <w:rPr>
          <w:color w:val="000000"/>
          <w:spacing w:val="0"/>
          <w:w w:val="100"/>
          <w:position w:val="0"/>
        </w:rPr>
        <w:t>厂商，客户囊括了国美、苏宁、京东等国内知名的零售商和电商平台以及众多企业级客户。公司在大部分厂商份额中保持 中国市场地位第一或第二的绝对领先。</w:t>
      </w:r>
    </w:p>
    <w:p>
      <w:pPr>
        <w:pStyle w:val="Style32"/>
        <w:keepNext w:val="0"/>
        <w:keepLines w:val="0"/>
        <w:widowControl w:val="0"/>
        <w:shd w:val="clear" w:color="auto" w:fill="auto"/>
        <w:tabs>
          <w:tab w:pos="298" w:val="left"/>
        </w:tabs>
        <w:bidi w:val="0"/>
        <w:spacing w:before="0" w:after="0" w:line="314" w:lineRule="exact"/>
        <w:ind w:left="0" w:right="0" w:firstLine="0"/>
        <w:jc w:val="both"/>
      </w:pPr>
      <w:bookmarkStart w:id="86" w:name="bookmark86"/>
      <w:r>
        <w:rPr>
          <w:b/>
          <w:bCs/>
          <w:color w:val="000000"/>
          <w:spacing w:val="0"/>
          <w:w w:val="100"/>
          <w:position w:val="0"/>
        </w:rPr>
        <w:t>3</w:t>
      </w:r>
      <w:bookmarkEnd w:id="86"/>
      <w:r>
        <w:rPr>
          <w:b/>
          <w:bCs/>
          <w:color w:val="000000"/>
          <w:spacing w:val="0"/>
          <w:w w:val="100"/>
          <w:position w:val="0"/>
        </w:rPr>
        <w:t>、</w:t>
        <w:tab/>
        <w:t>人才优势</w:t>
      </w:r>
    </w:p>
    <w:p>
      <w:pPr>
        <w:pStyle w:val="Style32"/>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成熟、稳定的团队是优质公司有序经营和不断发展的基石，公司新</w:t>
      </w:r>
      <w:r>
        <w:rPr>
          <w:color w:val="000000"/>
          <w:spacing w:val="0"/>
          <w:w w:val="100"/>
          <w:position w:val="0"/>
          <w:sz w:val="17"/>
          <w:szCs w:val="17"/>
        </w:rPr>
        <w:t>IT</w:t>
      </w:r>
      <w:r>
        <w:rPr>
          <w:color w:val="000000"/>
          <w:spacing w:val="0"/>
          <w:w w:val="100"/>
          <w:position w:val="0"/>
        </w:rPr>
        <w:t xml:space="preserve">分销业务核心管理团队源自早期联想时代，通过近 </w:t>
      </w:r>
      <w:r>
        <w:rPr>
          <w:color w:val="000000"/>
          <w:spacing w:val="0"/>
          <w:w w:val="100"/>
          <w:position w:val="0"/>
          <w:sz w:val="17"/>
          <w:szCs w:val="17"/>
        </w:rPr>
        <w:t>20</w:t>
      </w:r>
      <w:r>
        <w:rPr>
          <w:color w:val="000000"/>
          <w:spacing w:val="0"/>
          <w:w w:val="100"/>
          <w:position w:val="0"/>
        </w:rPr>
        <w:t>年内部的融合与外部市场的历练，在公司管理、运营、业务发展中积累了丰富的经验、并具备卓越的执行力，对中国</w:t>
      </w:r>
      <w:r>
        <w:rPr>
          <w:color w:val="000000"/>
          <w:spacing w:val="0"/>
          <w:w w:val="100"/>
          <w:position w:val="0"/>
          <w:sz w:val="17"/>
          <w:szCs w:val="17"/>
        </w:rPr>
        <w:t>IT</w:t>
      </w:r>
      <w:r>
        <w:rPr>
          <w:color w:val="000000"/>
          <w:spacing w:val="0"/>
          <w:w w:val="100"/>
          <w:position w:val="0"/>
        </w:rPr>
        <w:t>产 业链已形成一定的影响力。通过此次重组借壳认购上市公司股权形成一致行动人，以及宣布通过员工持股计划增持股份，彰 显管理层对公司长期持续的稳定发展充满信心。</w:t>
      </w:r>
    </w:p>
    <w:p>
      <w:pPr>
        <w:pStyle w:val="Style32"/>
        <w:keepNext w:val="0"/>
        <w:keepLines w:val="0"/>
        <w:widowControl w:val="0"/>
        <w:shd w:val="clear" w:color="auto" w:fill="auto"/>
        <w:tabs>
          <w:tab w:pos="303" w:val="left"/>
        </w:tabs>
        <w:bidi w:val="0"/>
        <w:spacing w:before="0" w:after="0" w:line="314" w:lineRule="exact"/>
        <w:ind w:left="0" w:right="0" w:firstLine="0"/>
        <w:jc w:val="both"/>
      </w:pPr>
      <w:bookmarkStart w:id="87" w:name="bookmark87"/>
      <w:r>
        <w:rPr>
          <w:b/>
          <w:bCs/>
          <w:color w:val="000000"/>
          <w:spacing w:val="0"/>
          <w:w w:val="100"/>
          <w:position w:val="0"/>
        </w:rPr>
        <w:t>4</w:t>
      </w:r>
      <w:bookmarkEnd w:id="87"/>
      <w:r>
        <w:rPr>
          <w:b/>
          <w:bCs/>
          <w:color w:val="000000"/>
          <w:spacing w:val="0"/>
          <w:w w:val="100"/>
          <w:position w:val="0"/>
        </w:rPr>
        <w:t>、</w:t>
        <w:tab/>
        <w:t>供应链优势</w:t>
      </w:r>
    </w:p>
    <w:p>
      <w:pPr>
        <w:pStyle w:val="Style32"/>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 xml:space="preserve">通过企业内外部信息化平台的协同运作，公司供应链管理的运营效率达到了国际先进水平。相比竞争对手，存货周转率 更高，存货周转天数更短，在存货管理上具有明显优势。公司高效的上下游供应链管理的实现主要归功于内部企业资源计划 </w:t>
      </w:r>
      <w:r>
        <w:rPr>
          <w:color w:val="000000"/>
          <w:spacing w:val="0"/>
          <w:w w:val="100"/>
          <w:position w:val="0"/>
          <w:sz w:val="17"/>
          <w:szCs w:val="17"/>
        </w:rPr>
        <w:t>(ERP)</w:t>
      </w:r>
      <w:r>
        <w:rPr>
          <w:color w:val="000000"/>
          <w:spacing w:val="0"/>
          <w:w w:val="100"/>
          <w:position w:val="0"/>
        </w:rPr>
        <w:t>系统及外部电子商务交易平台(神州商桥网)的协同运作。</w:t>
      </w:r>
      <w:r>
        <w:rPr>
          <w:color w:val="000000"/>
          <w:spacing w:val="0"/>
          <w:w w:val="100"/>
          <w:position w:val="0"/>
          <w:sz w:val="17"/>
          <w:szCs w:val="17"/>
        </w:rPr>
        <w:t>ERP</w:t>
      </w:r>
      <w:r>
        <w:rPr>
          <w:color w:val="000000"/>
          <w:spacing w:val="0"/>
          <w:w w:val="100"/>
          <w:position w:val="0"/>
        </w:rPr>
        <w:t>系统从</w:t>
      </w:r>
      <w:r>
        <w:rPr>
          <w:color w:val="000000"/>
          <w:spacing w:val="0"/>
          <w:w w:val="100"/>
          <w:position w:val="0"/>
          <w:sz w:val="17"/>
          <w:szCs w:val="17"/>
        </w:rPr>
        <w:t>2000</w:t>
      </w:r>
      <w:r>
        <w:rPr>
          <w:color w:val="000000"/>
          <w:spacing w:val="0"/>
          <w:w w:val="100"/>
          <w:position w:val="0"/>
        </w:rPr>
        <w:t>年开始搭建并逐渐完善，现已成为公司日 常业务运营的基础支持系统，并积累了大量有价值的数据资产。</w:t>
      </w:r>
    </w:p>
    <w:p>
      <w:pPr>
        <w:pStyle w:val="Style32"/>
        <w:keepNext w:val="0"/>
        <w:keepLines w:val="0"/>
        <w:widowControl w:val="0"/>
        <w:shd w:val="clear" w:color="auto" w:fill="auto"/>
        <w:tabs>
          <w:tab w:pos="303" w:val="left"/>
        </w:tabs>
        <w:bidi w:val="0"/>
        <w:spacing w:before="0" w:after="0" w:line="307" w:lineRule="exact"/>
        <w:ind w:left="0" w:right="0" w:firstLine="0"/>
        <w:jc w:val="both"/>
      </w:pPr>
      <w:bookmarkStart w:id="88" w:name="bookmark88"/>
      <w:r>
        <w:rPr>
          <w:b/>
          <w:bCs/>
          <w:color w:val="000000"/>
          <w:spacing w:val="0"/>
          <w:w w:val="100"/>
          <w:position w:val="0"/>
        </w:rPr>
        <w:t>5</w:t>
      </w:r>
      <w:bookmarkEnd w:id="88"/>
      <w:r>
        <w:rPr>
          <w:b/>
          <w:bCs/>
          <w:color w:val="000000"/>
          <w:spacing w:val="0"/>
          <w:w w:val="100"/>
          <w:position w:val="0"/>
        </w:rPr>
        <w:t>、</w:t>
        <w:tab/>
        <w:t>渠道优势</w:t>
      </w:r>
    </w:p>
    <w:p>
      <w:pPr>
        <w:pStyle w:val="Style32"/>
        <w:keepNext w:val="0"/>
        <w:keepLines w:val="0"/>
        <w:widowControl w:val="0"/>
        <w:shd w:val="clear" w:color="auto" w:fill="auto"/>
        <w:bidi w:val="0"/>
        <w:spacing w:before="0" w:after="300" w:line="307" w:lineRule="exact"/>
        <w:ind w:left="0" w:right="0" w:firstLine="380"/>
        <w:jc w:val="both"/>
      </w:pPr>
      <w:r>
        <w:rPr>
          <w:color w:val="000000"/>
          <w:spacing w:val="0"/>
          <w:w w:val="100"/>
          <w:position w:val="0"/>
        </w:rPr>
        <w:t>销售与服务网络是分销商价值创造的核心环节之一。公司强大的经销商、集成商、零售商等渠道合作伙伴网络在中国市 场形成了强大的渠道优势，经销渠道超过</w:t>
      </w:r>
      <w:r>
        <w:rPr>
          <w:color w:val="000000"/>
          <w:spacing w:val="0"/>
          <w:w w:val="100"/>
          <w:position w:val="0"/>
          <w:sz w:val="17"/>
          <w:szCs w:val="17"/>
        </w:rPr>
        <w:t>30000</w:t>
      </w:r>
      <w:r>
        <w:rPr>
          <w:color w:val="000000"/>
          <w:spacing w:val="0"/>
          <w:w w:val="100"/>
          <w:position w:val="0"/>
        </w:rPr>
        <w:t>家，覆盖全国</w:t>
      </w:r>
      <w:r>
        <w:rPr>
          <w:color w:val="000000"/>
          <w:spacing w:val="0"/>
          <w:w w:val="100"/>
          <w:position w:val="0"/>
          <w:sz w:val="17"/>
          <w:szCs w:val="17"/>
        </w:rPr>
        <w:t>860</w:t>
      </w:r>
      <w:r>
        <w:rPr>
          <w:color w:val="000000"/>
          <w:spacing w:val="0"/>
          <w:w w:val="100"/>
          <w:position w:val="0"/>
        </w:rPr>
        <w:t>个城市，打造了中国最大的</w:t>
      </w:r>
      <w:r>
        <w:rPr>
          <w:color w:val="000000"/>
          <w:spacing w:val="0"/>
          <w:w w:val="100"/>
          <w:position w:val="0"/>
          <w:sz w:val="17"/>
          <w:szCs w:val="17"/>
        </w:rPr>
        <w:t>IT</w:t>
      </w:r>
      <w:r>
        <w:rPr>
          <w:color w:val="000000"/>
          <w:spacing w:val="0"/>
          <w:w w:val="100"/>
          <w:position w:val="0"/>
        </w:rPr>
        <w:t>营销网络。另外，与</w:t>
      </w:r>
      <w:r>
        <w:rPr>
          <w:color w:val="000000"/>
          <w:spacing w:val="0"/>
          <w:w w:val="100"/>
          <w:position w:val="0"/>
          <w:sz w:val="17"/>
          <w:szCs w:val="17"/>
        </w:rPr>
        <w:t>3C</w:t>
      </w:r>
      <w:r>
        <w:rPr>
          <w:color w:val="000000"/>
          <w:spacing w:val="0"/>
          <w:w w:val="100"/>
          <w:position w:val="0"/>
        </w:rPr>
        <w:t>零售连 锁卖场和</w:t>
      </w:r>
      <w:r>
        <w:rPr>
          <w:color w:val="000000"/>
          <w:spacing w:val="0"/>
          <w:w w:val="100"/>
          <w:position w:val="0"/>
          <w:sz w:val="17"/>
          <w:szCs w:val="17"/>
        </w:rPr>
        <w:t>B2C</w:t>
      </w:r>
      <w:r>
        <w:rPr>
          <w:color w:val="000000"/>
          <w:spacing w:val="0"/>
          <w:w w:val="100"/>
          <w:position w:val="0"/>
        </w:rPr>
        <w:t>电子商务网站相比，公司在</w:t>
      </w:r>
      <w:r>
        <w:rPr>
          <w:color w:val="000000"/>
          <w:spacing w:val="0"/>
          <w:w w:val="100"/>
          <w:position w:val="0"/>
          <w:sz w:val="17"/>
          <w:szCs w:val="17"/>
        </w:rPr>
        <w:t>4-6</w:t>
      </w:r>
      <w:r>
        <w:rPr>
          <w:color w:val="000000"/>
          <w:spacing w:val="0"/>
          <w:w w:val="100"/>
          <w:position w:val="0"/>
        </w:rPr>
        <w:t>级城市的渠道渗透能力更强，优势更为突出。</w:t>
      </w:r>
    </w:p>
    <w:p>
      <w:pPr>
        <w:pStyle w:val="Style32"/>
        <w:keepNext w:val="0"/>
        <w:keepLines w:val="0"/>
        <w:widowControl w:val="0"/>
        <w:shd w:val="clear" w:color="auto" w:fill="auto"/>
        <w:tabs>
          <w:tab w:pos="303" w:val="left"/>
        </w:tabs>
        <w:bidi w:val="0"/>
        <w:spacing w:before="0" w:after="0" w:line="312" w:lineRule="exact"/>
        <w:ind w:left="0" w:right="0" w:firstLine="0"/>
        <w:jc w:val="both"/>
      </w:pPr>
      <w:bookmarkStart w:id="89" w:name="bookmark89"/>
      <w:r>
        <w:rPr>
          <w:b/>
          <w:bCs/>
          <w:color w:val="000000"/>
          <w:spacing w:val="0"/>
          <w:w w:val="100"/>
          <w:position w:val="0"/>
        </w:rPr>
        <w:t>6</w:t>
      </w:r>
      <w:bookmarkEnd w:id="89"/>
      <w:r>
        <w:rPr>
          <w:b/>
          <w:bCs/>
          <w:color w:val="000000"/>
          <w:spacing w:val="0"/>
          <w:w w:val="100"/>
          <w:position w:val="0"/>
        </w:rPr>
        <w:t>、</w:t>
        <w:tab/>
        <w:t>财务资金管理优势</w:t>
      </w:r>
    </w:p>
    <w:p>
      <w:pPr>
        <w:pStyle w:val="Style32"/>
        <w:keepNext w:val="0"/>
        <w:keepLines w:val="0"/>
        <w:widowControl w:val="0"/>
        <w:shd w:val="clear" w:color="auto" w:fill="auto"/>
        <w:bidi w:val="0"/>
        <w:spacing w:before="0" w:after="140" w:line="312" w:lineRule="exact"/>
        <w:ind w:left="0" w:right="0" w:firstLine="380"/>
        <w:jc w:val="both"/>
        <w:sectPr>
          <w:footnotePr>
            <w:pos w:val="pageBottom"/>
            <w:numFmt w:val="decimal"/>
            <w:numRestart w:val="continuous"/>
          </w:footnotePr>
          <w:pgSz w:w="11900" w:h="16840"/>
          <w:pgMar w:top="1364" w:right="1051" w:bottom="1508" w:left="1071" w:header="0" w:footer="3" w:gutter="0"/>
          <w:cols w:space="720"/>
          <w:noEndnote/>
          <w:rtlGutter w:val="0"/>
          <w:docGrid w:linePitch="360"/>
        </w:sectPr>
      </w:pPr>
      <w:r>
        <w:rPr>
          <w:color w:val="000000"/>
          <w:spacing w:val="0"/>
          <w:w w:val="100"/>
          <w:position w:val="0"/>
        </w:rPr>
        <w:t>公司财务管理的体系为分销业务发展提供了有力的支持，包括充足的资金，准确的信息和高效的流程，保证公司财产 的完整安全、实现保值增值。基于多年来积累的良好信用和持续增长的业绩表现，公司与各大银行、金融机构保持良好的 关系，具有强大的融资能力。</w:t>
      </w:r>
    </w:p>
    <w:p>
      <w:pPr>
        <w:pStyle w:val="Style12"/>
        <w:keepNext/>
        <w:keepLines/>
        <w:widowControl w:val="0"/>
        <w:shd w:val="clear" w:color="auto" w:fill="auto"/>
        <w:bidi w:val="0"/>
        <w:spacing w:before="600" w:after="560" w:line="240" w:lineRule="auto"/>
        <w:ind w:left="0" w:right="0" w:firstLine="0"/>
        <w:jc w:val="center"/>
      </w:pPr>
      <w:bookmarkStart w:id="90" w:name="bookmark90"/>
      <w:bookmarkStart w:id="91" w:name="bookmark91"/>
      <w:bookmarkStart w:id="92" w:name="bookmark92"/>
      <w:r>
        <w:rPr>
          <w:color w:val="000000"/>
          <w:spacing w:val="0"/>
          <w:w w:val="100"/>
          <w:position w:val="0"/>
        </w:rPr>
        <w:t>第四节经营情况讨论与分析</w:t>
      </w:r>
      <w:bookmarkEnd w:id="90"/>
      <w:bookmarkEnd w:id="91"/>
      <w:bookmarkEnd w:id="92"/>
    </w:p>
    <w:p>
      <w:pPr>
        <w:pStyle w:val="Style28"/>
        <w:keepNext/>
        <w:keepLines/>
        <w:widowControl w:val="0"/>
        <w:shd w:val="clear" w:color="auto" w:fill="auto"/>
        <w:bidi w:val="0"/>
        <w:spacing w:before="0" w:after="240" w:line="240" w:lineRule="auto"/>
        <w:ind w:left="0" w:right="0" w:firstLine="0"/>
        <w:jc w:val="left"/>
      </w:pPr>
      <w:bookmarkStart w:id="93" w:name="bookmark93"/>
      <w:bookmarkStart w:id="94" w:name="bookmark94"/>
      <w:bookmarkStart w:id="95" w:name="bookmark95"/>
      <w:bookmarkStart w:id="96" w:name="bookmark96"/>
      <w:bookmarkStart w:id="97" w:name="bookmark97"/>
      <w:r>
        <w:rPr>
          <w:color w:val="000000"/>
          <w:spacing w:val="0"/>
          <w:w w:val="100"/>
          <w:position w:val="0"/>
        </w:rPr>
        <w:t>一</w:t>
      </w:r>
      <w:bookmarkEnd w:id="96"/>
      <w:r>
        <w:rPr>
          <w:color w:val="000000"/>
          <w:spacing w:val="0"/>
          <w:w w:val="100"/>
          <w:position w:val="0"/>
        </w:rPr>
        <w:t>、概述</w:t>
      </w:r>
      <w:bookmarkEnd w:id="94"/>
      <w:bookmarkEnd w:id="95"/>
      <w:bookmarkEnd w:id="97"/>
      <w:bookmarkEnd w:id="93"/>
    </w:p>
    <w:p>
      <w:pPr>
        <w:pStyle w:val="Style32"/>
        <w:keepNext w:val="0"/>
        <w:keepLines w:val="0"/>
        <w:widowControl w:val="0"/>
        <w:shd w:val="clear" w:color="auto" w:fill="auto"/>
        <w:tabs>
          <w:tab w:pos="493" w:val="left"/>
        </w:tabs>
        <w:bidi w:val="0"/>
        <w:spacing w:before="0" w:after="0" w:line="361" w:lineRule="exact"/>
        <w:ind w:left="0" w:right="0" w:firstLine="0"/>
        <w:jc w:val="left"/>
      </w:pPr>
      <w:bookmarkStart w:id="98" w:name="bookmark98"/>
      <w:r>
        <w:rPr>
          <w:b/>
          <w:bCs/>
          <w:color w:val="000000"/>
          <w:spacing w:val="0"/>
          <w:w w:val="100"/>
          <w:position w:val="0"/>
        </w:rPr>
        <w:t>（</w:t>
      </w:r>
      <w:bookmarkEnd w:id="98"/>
      <w:r>
        <w:rPr>
          <w:b/>
          <w:bCs/>
          <w:color w:val="000000"/>
          <w:spacing w:val="0"/>
          <w:w w:val="100"/>
          <w:position w:val="0"/>
        </w:rPr>
        <w:t>一）</w:t>
        <w:tab/>
        <w:t>概述</w:t>
      </w:r>
    </w:p>
    <w:p>
      <w:pPr>
        <w:pStyle w:val="Style32"/>
        <w:keepNext w:val="0"/>
        <w:keepLines w:val="0"/>
        <w:widowControl w:val="0"/>
        <w:shd w:val="clear" w:color="auto" w:fill="auto"/>
        <w:bidi w:val="0"/>
        <w:spacing w:before="0" w:after="0" w:line="361" w:lineRule="exact"/>
        <w:ind w:left="0" w:right="0"/>
        <w:jc w:val="both"/>
      </w:pPr>
      <w:r>
        <w:rPr>
          <w:color w:val="000000"/>
          <w:spacing w:val="0"/>
          <w:w w:val="100"/>
          <w:position w:val="0"/>
          <w:sz w:val="17"/>
          <w:szCs w:val="17"/>
        </w:rPr>
        <w:t>2016</w:t>
      </w:r>
      <w:r>
        <w:rPr>
          <w:color w:val="000000"/>
          <w:spacing w:val="0"/>
          <w:w w:val="100"/>
          <w:position w:val="0"/>
        </w:rPr>
        <w:t>年是中国“十三五”规划的开局之年，国家进一步推动深化改革，促进经济社会发展的转型升级，信息技术产业 作为网络互联时代先进生产力的代表，也迎来了全新的发展环境和市场契机。公司看清趋势，稳抓机遇，董事会和管理层 尽职尽责、高效实施，合理规划、按照公司章程行使各项职能，贯彻落实董事会、股东大会各项决议。全体员工砥砺同 心，顺利完成重大资产重组，收购神州控股消费电子产品分销业务和企业</w:t>
      </w:r>
      <w:r>
        <w:rPr>
          <w:color w:val="000000"/>
          <w:spacing w:val="0"/>
          <w:w w:val="100"/>
          <w:position w:val="0"/>
          <w:sz w:val="17"/>
          <w:szCs w:val="17"/>
        </w:rPr>
        <w:t>IT</w:t>
      </w:r>
      <w:r>
        <w:rPr>
          <w:color w:val="000000"/>
          <w:spacing w:val="0"/>
          <w:w w:val="100"/>
          <w:position w:val="0"/>
        </w:rPr>
        <w:t>产品分销业务，出售原有的饲料和电话机业 务，更名为神州数码集团股份有限公司，新增盈利能力较强的</w:t>
      </w:r>
      <w:r>
        <w:rPr>
          <w:color w:val="000000"/>
          <w:spacing w:val="0"/>
          <w:w w:val="100"/>
          <w:position w:val="0"/>
          <w:sz w:val="17"/>
          <w:szCs w:val="17"/>
        </w:rPr>
        <w:t>IT</w:t>
      </w:r>
      <w:r>
        <w:rPr>
          <w:color w:val="000000"/>
          <w:spacing w:val="0"/>
          <w:w w:val="100"/>
          <w:position w:val="0"/>
        </w:rPr>
        <w:t>分销业务，成为中国最大的、涉及领域最广的</w:t>
      </w:r>
      <w:r>
        <w:rPr>
          <w:color w:val="000000"/>
          <w:spacing w:val="0"/>
          <w:w w:val="100"/>
          <w:position w:val="0"/>
          <w:sz w:val="17"/>
          <w:szCs w:val="17"/>
        </w:rPr>
        <w:t>IT</w:t>
      </w:r>
      <w:r>
        <w:rPr>
          <w:color w:val="000000"/>
          <w:spacing w:val="0"/>
          <w:w w:val="100"/>
          <w:position w:val="0"/>
        </w:rPr>
        <w:t>领域分销 商。公司为国内外产品技术以及服务的提供商在中国首选的合作伙伴，与</w:t>
      </w:r>
      <w:r>
        <w:rPr>
          <w:color w:val="000000"/>
          <w:spacing w:val="0"/>
          <w:w w:val="100"/>
          <w:position w:val="0"/>
          <w:sz w:val="17"/>
          <w:szCs w:val="17"/>
        </w:rPr>
        <w:t>300</w:t>
      </w:r>
      <w:r>
        <w:rPr>
          <w:color w:val="000000"/>
          <w:spacing w:val="0"/>
          <w:w w:val="100"/>
          <w:position w:val="0"/>
        </w:rPr>
        <w:t>余家国际顶尖供应商展开精诚合作，建成覆盖 全国</w:t>
      </w:r>
      <w:r>
        <w:rPr>
          <w:color w:val="000000"/>
          <w:spacing w:val="0"/>
          <w:w w:val="100"/>
          <w:position w:val="0"/>
          <w:sz w:val="17"/>
          <w:szCs w:val="17"/>
        </w:rPr>
        <w:t>860</w:t>
      </w:r>
      <w:r>
        <w:rPr>
          <w:color w:val="000000"/>
          <w:spacing w:val="0"/>
          <w:w w:val="100"/>
          <w:position w:val="0"/>
        </w:rPr>
        <w:t>多个城市、</w:t>
      </w:r>
      <w:r>
        <w:rPr>
          <w:color w:val="000000"/>
          <w:spacing w:val="0"/>
          <w:w w:val="100"/>
          <w:position w:val="0"/>
          <w:sz w:val="17"/>
          <w:szCs w:val="17"/>
        </w:rPr>
        <w:t>30000</w:t>
      </w:r>
      <w:r>
        <w:rPr>
          <w:color w:val="000000"/>
          <w:spacing w:val="0"/>
          <w:w w:val="100"/>
          <w:position w:val="0"/>
        </w:rPr>
        <w:t>余家渠道伙伴的中国最大的</w:t>
      </w:r>
      <w:r>
        <w:rPr>
          <w:color w:val="000000"/>
          <w:spacing w:val="0"/>
          <w:w w:val="100"/>
          <w:position w:val="0"/>
          <w:sz w:val="17"/>
          <w:szCs w:val="17"/>
        </w:rPr>
        <w:t>IT</w:t>
      </w:r>
      <w:r>
        <w:rPr>
          <w:color w:val="000000"/>
          <w:spacing w:val="0"/>
          <w:w w:val="100"/>
          <w:position w:val="0"/>
        </w:rPr>
        <w:t>营销网络，在为广大的消费者提供丰富的电子产品的同时，公司已 累计为超过</w:t>
      </w:r>
      <w:r>
        <w:rPr>
          <w:color w:val="000000"/>
          <w:spacing w:val="0"/>
          <w:w w:val="100"/>
          <w:position w:val="0"/>
          <w:sz w:val="17"/>
          <w:szCs w:val="17"/>
        </w:rPr>
        <w:t>10 0</w:t>
      </w:r>
      <w:r>
        <w:rPr>
          <w:color w:val="000000"/>
          <w:spacing w:val="0"/>
          <w:w w:val="100"/>
          <w:position w:val="0"/>
        </w:rPr>
        <w:t>万家中国企业提供信息化所需的产品、解决方案和服务，拥有庞大的全国</w:t>
      </w:r>
      <w:r>
        <w:rPr>
          <w:color w:val="000000"/>
          <w:spacing w:val="0"/>
          <w:w w:val="100"/>
          <w:position w:val="0"/>
          <w:sz w:val="17"/>
          <w:szCs w:val="17"/>
        </w:rPr>
        <w:t>IT</w:t>
      </w:r>
      <w:r>
        <w:rPr>
          <w:color w:val="000000"/>
          <w:spacing w:val="0"/>
          <w:w w:val="100"/>
          <w:position w:val="0"/>
        </w:rPr>
        <w:t>分销供应链体系与丰富的</w:t>
      </w:r>
      <w:r>
        <w:rPr>
          <w:color w:val="000000"/>
          <w:spacing w:val="0"/>
          <w:w w:val="100"/>
          <w:position w:val="0"/>
          <w:sz w:val="17"/>
          <w:szCs w:val="17"/>
        </w:rPr>
        <w:t>IT</w:t>
      </w:r>
      <w:r>
        <w:rPr>
          <w:color w:val="000000"/>
          <w:spacing w:val="0"/>
          <w:w w:val="100"/>
          <w:position w:val="0"/>
        </w:rPr>
        <w:t>产业 链资源。</w:t>
      </w:r>
    </w:p>
    <w:p>
      <w:pPr>
        <w:pStyle w:val="Style32"/>
        <w:keepNext w:val="0"/>
        <w:keepLines w:val="0"/>
        <w:widowControl w:val="0"/>
        <w:shd w:val="clear" w:color="auto" w:fill="auto"/>
        <w:bidi w:val="0"/>
        <w:spacing w:before="0" w:after="0" w:line="361" w:lineRule="exact"/>
        <w:ind w:left="0" w:right="0"/>
        <w:jc w:val="both"/>
      </w:pPr>
      <w:r>
        <w:rPr>
          <w:color w:val="000000"/>
          <w:spacing w:val="0"/>
          <w:w w:val="100"/>
          <w:position w:val="0"/>
        </w:rPr>
        <w:t>报告期内，公司实现营业收入</w:t>
      </w:r>
      <w:r>
        <w:rPr>
          <w:color w:val="000000"/>
          <w:spacing w:val="0"/>
          <w:w w:val="100"/>
          <w:position w:val="0"/>
          <w:sz w:val="17"/>
          <w:szCs w:val="17"/>
        </w:rPr>
        <w:t>405.31</w:t>
      </w:r>
      <w:r>
        <w:rPr>
          <w:color w:val="000000"/>
          <w:spacing w:val="0"/>
          <w:w w:val="100"/>
          <w:position w:val="0"/>
        </w:rPr>
        <w:t>亿元，同比增长</w:t>
      </w:r>
      <w:r>
        <w:rPr>
          <w:color w:val="000000"/>
          <w:spacing w:val="0"/>
          <w:w w:val="100"/>
          <w:position w:val="0"/>
          <w:sz w:val="17"/>
          <w:szCs w:val="17"/>
        </w:rPr>
        <w:t>8,748.37%</w:t>
      </w:r>
      <w:r>
        <w:rPr>
          <w:color w:val="000000"/>
          <w:spacing w:val="0"/>
          <w:w w:val="100"/>
          <w:position w:val="0"/>
        </w:rPr>
        <w:t>。实现归属于母公司股东的净利润</w:t>
      </w:r>
      <w:r>
        <w:rPr>
          <w:color w:val="000000"/>
          <w:spacing w:val="0"/>
          <w:w w:val="100"/>
          <w:position w:val="0"/>
          <w:sz w:val="17"/>
          <w:szCs w:val="17"/>
        </w:rPr>
        <w:t xml:space="preserve">4. </w:t>
      </w:r>
      <w:r>
        <w:rPr>
          <w:color w:val="000000"/>
          <w:spacing w:val="0"/>
          <w:w w:val="100"/>
          <w:position w:val="0"/>
          <w:sz w:val="17"/>
          <w:szCs w:val="17"/>
        </w:rPr>
        <w:t>04</w:t>
      </w:r>
      <w:r>
        <w:rPr>
          <w:color w:val="000000"/>
          <w:spacing w:val="0"/>
          <w:w w:val="100"/>
          <w:position w:val="0"/>
        </w:rPr>
        <w:t xml:space="preserve">亿元，同比增加 </w:t>
      </w:r>
      <w:r>
        <w:rPr>
          <w:color w:val="000000"/>
          <w:spacing w:val="0"/>
          <w:w w:val="100"/>
          <w:position w:val="0"/>
          <w:sz w:val="17"/>
          <w:szCs w:val="17"/>
        </w:rPr>
        <w:t xml:space="preserve">1, </w:t>
      </w:r>
      <w:r>
        <w:rPr>
          <w:color w:val="000000"/>
          <w:spacing w:val="0"/>
          <w:w w:val="100"/>
          <w:position w:val="0"/>
          <w:sz w:val="17"/>
          <w:szCs w:val="17"/>
        </w:rPr>
        <w:t xml:space="preserve">790. </w:t>
      </w:r>
      <w:r>
        <w:rPr>
          <w:color w:val="000000"/>
          <w:spacing w:val="0"/>
          <w:w w:val="100"/>
          <w:position w:val="0"/>
          <w:sz w:val="17"/>
          <w:szCs w:val="17"/>
        </w:rPr>
        <w:t>14% ；</w:t>
      </w:r>
      <w:r>
        <w:rPr>
          <w:color w:val="000000"/>
          <w:spacing w:val="0"/>
          <w:w w:val="100"/>
          <w:position w:val="0"/>
        </w:rPr>
        <w:t>基本每股收益</w:t>
      </w:r>
      <w:r>
        <w:rPr>
          <w:color w:val="000000"/>
          <w:spacing w:val="0"/>
          <w:w w:val="100"/>
          <w:position w:val="0"/>
          <w:sz w:val="17"/>
          <w:szCs w:val="17"/>
        </w:rPr>
        <w:t>0.67</w:t>
      </w:r>
      <w:r>
        <w:rPr>
          <w:color w:val="000000"/>
          <w:spacing w:val="0"/>
          <w:w w:val="100"/>
          <w:position w:val="0"/>
        </w:rPr>
        <w:t>元。截至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30</w:t>
      </w:r>
      <w:r>
        <w:rPr>
          <w:color w:val="000000"/>
          <w:spacing w:val="0"/>
          <w:w w:val="100"/>
          <w:position w:val="0"/>
        </w:rPr>
        <w:t>日公司资产总额</w:t>
      </w:r>
      <w:r>
        <w:rPr>
          <w:color w:val="000000"/>
          <w:spacing w:val="0"/>
          <w:w w:val="100"/>
          <w:position w:val="0"/>
          <w:sz w:val="17"/>
          <w:szCs w:val="17"/>
        </w:rPr>
        <w:t>170.37</w:t>
      </w:r>
      <w:r>
        <w:rPr>
          <w:color w:val="000000"/>
          <w:spacing w:val="0"/>
          <w:w w:val="100"/>
          <w:position w:val="0"/>
        </w:rPr>
        <w:t>亿元，较上年度末上升</w:t>
      </w:r>
      <w:r>
        <w:rPr>
          <w:color w:val="000000"/>
          <w:spacing w:val="0"/>
          <w:w w:val="100"/>
          <w:position w:val="0"/>
          <w:sz w:val="17"/>
          <w:szCs w:val="17"/>
        </w:rPr>
        <w:t>3702.87%；</w:t>
      </w:r>
      <w:r>
        <w:rPr>
          <w:color w:val="000000"/>
          <w:spacing w:val="0"/>
          <w:w w:val="100"/>
          <w:position w:val="0"/>
        </w:rPr>
        <w:t>归属于母 公司股东净资产</w:t>
      </w:r>
      <w:r>
        <w:rPr>
          <w:color w:val="000000"/>
          <w:spacing w:val="0"/>
          <w:w w:val="100"/>
          <w:position w:val="0"/>
          <w:sz w:val="17"/>
          <w:szCs w:val="17"/>
        </w:rPr>
        <w:t>26.48</w:t>
      </w:r>
      <w:r>
        <w:rPr>
          <w:color w:val="000000"/>
          <w:spacing w:val="0"/>
          <w:w w:val="100"/>
          <w:position w:val="0"/>
        </w:rPr>
        <w:t>亿，较上年度末增加</w:t>
      </w:r>
      <w:r>
        <w:rPr>
          <w:color w:val="000000"/>
          <w:spacing w:val="0"/>
          <w:w w:val="100"/>
          <w:position w:val="0"/>
          <w:sz w:val="17"/>
          <w:szCs w:val="17"/>
        </w:rPr>
        <w:t xml:space="preserve">1316. </w:t>
      </w:r>
      <w:r>
        <w:rPr>
          <w:color w:val="000000"/>
          <w:spacing w:val="0"/>
          <w:w w:val="100"/>
          <w:position w:val="0"/>
          <w:sz w:val="17"/>
          <w:szCs w:val="17"/>
        </w:rPr>
        <w:t>13%</w:t>
      </w:r>
      <w:r>
        <w:rPr>
          <w:color w:val="000000"/>
          <w:spacing w:val="0"/>
          <w:w w:val="100"/>
          <w:position w:val="0"/>
        </w:rPr>
        <w:t xml:space="preserve">。引致以上变化的原因主要是上市公司收购神州数码控股有限公司下属 </w:t>
      </w:r>
      <w:r>
        <w:rPr>
          <w:color w:val="000000"/>
          <w:spacing w:val="0"/>
          <w:w w:val="100"/>
          <w:position w:val="0"/>
          <w:sz w:val="17"/>
          <w:szCs w:val="17"/>
        </w:rPr>
        <w:t>IT</w:t>
      </w:r>
      <w:r>
        <w:rPr>
          <w:color w:val="000000"/>
          <w:spacing w:val="0"/>
          <w:w w:val="100"/>
          <w:position w:val="0"/>
        </w:rPr>
        <w:t>分销业务公司交易事项完成，本报告期包含收购公司</w:t>
      </w:r>
      <w:r>
        <w:rPr>
          <w:color w:val="000000"/>
          <w:spacing w:val="0"/>
          <w:w w:val="100"/>
          <w:position w:val="0"/>
          <w:sz w:val="17"/>
          <w:szCs w:val="17"/>
        </w:rPr>
        <w:t>4</w:t>
      </w:r>
      <w:r>
        <w:rPr>
          <w:color w:val="000000"/>
          <w:spacing w:val="0"/>
          <w:w w:val="100"/>
          <w:position w:val="0"/>
        </w:rPr>
        <w:t>月至</w:t>
      </w:r>
      <w:r>
        <w:rPr>
          <w:color w:val="000000"/>
          <w:spacing w:val="0"/>
          <w:w w:val="100"/>
          <w:position w:val="0"/>
          <w:sz w:val="17"/>
          <w:szCs w:val="17"/>
        </w:rPr>
        <w:t>12</w:t>
      </w:r>
      <w:r>
        <w:rPr>
          <w:color w:val="000000"/>
          <w:spacing w:val="0"/>
          <w:w w:val="100"/>
          <w:position w:val="0"/>
        </w:rPr>
        <w:t>月的财务数据。</w:t>
      </w:r>
    </w:p>
    <w:p>
      <w:pPr>
        <w:pStyle w:val="Style32"/>
        <w:keepNext w:val="0"/>
        <w:keepLines w:val="0"/>
        <w:widowControl w:val="0"/>
        <w:shd w:val="clear" w:color="auto" w:fill="auto"/>
        <w:bidi w:val="0"/>
        <w:spacing w:before="0" w:after="360" w:line="361" w:lineRule="exact"/>
        <w:ind w:left="0" w:right="0"/>
        <w:jc w:val="both"/>
      </w:pPr>
      <w:r>
        <w:rPr>
          <w:color w:val="000000"/>
          <w:spacing w:val="0"/>
          <w:w w:val="100"/>
          <w:position w:val="0"/>
        </w:rPr>
        <w:t>新增</w:t>
      </w:r>
      <w:r>
        <w:rPr>
          <w:color w:val="000000"/>
          <w:spacing w:val="0"/>
          <w:w w:val="100"/>
          <w:position w:val="0"/>
          <w:sz w:val="17"/>
          <w:szCs w:val="17"/>
        </w:rPr>
        <w:t>IT</w:t>
      </w:r>
      <w:r>
        <w:rPr>
          <w:color w:val="000000"/>
          <w:spacing w:val="0"/>
          <w:w w:val="100"/>
          <w:position w:val="0"/>
        </w:rPr>
        <w:t>分销主营业务经营情况良好，公司进一步完善渠道覆盖、加强与国内外知名厂商的合作，维持和巩固公司在</w:t>
      </w:r>
      <w:r>
        <w:rPr>
          <w:color w:val="000000"/>
          <w:spacing w:val="0"/>
          <w:w w:val="100"/>
          <w:position w:val="0"/>
          <w:sz w:val="17"/>
          <w:szCs w:val="17"/>
        </w:rPr>
        <w:t xml:space="preserve">IT </w:t>
      </w:r>
      <w:r>
        <w:rPr>
          <w:color w:val="000000"/>
          <w:spacing w:val="0"/>
          <w:w w:val="100"/>
          <w:position w:val="0"/>
        </w:rPr>
        <w:t>分销领域国内市场领先的地位，主要经营情况如下：</w:t>
      </w:r>
    </w:p>
    <w:p>
      <w:pPr>
        <w:pStyle w:val="Style32"/>
        <w:keepNext w:val="0"/>
        <w:keepLines w:val="0"/>
        <w:widowControl w:val="0"/>
        <w:numPr>
          <w:ilvl w:val="0"/>
          <w:numId w:val="3"/>
        </w:numPr>
        <w:shd w:val="clear" w:color="auto" w:fill="auto"/>
        <w:tabs>
          <w:tab w:pos="610" w:val="left"/>
        </w:tabs>
        <w:bidi w:val="0"/>
        <w:spacing w:before="0" w:after="0" w:line="362" w:lineRule="exact"/>
        <w:ind w:left="0" w:right="0"/>
        <w:jc w:val="both"/>
      </w:pPr>
      <w:bookmarkStart w:id="99" w:name="bookmark99"/>
      <w:bookmarkEnd w:id="99"/>
      <w:r>
        <w:rPr>
          <w:b/>
          <w:bCs/>
          <w:color w:val="000000"/>
          <w:spacing w:val="0"/>
          <w:w w:val="100"/>
          <w:position w:val="0"/>
        </w:rPr>
        <w:t>消费电子产品分销</w:t>
      </w:r>
    </w:p>
    <w:p>
      <w:pPr>
        <w:pStyle w:val="Style32"/>
        <w:keepNext w:val="0"/>
        <w:keepLines w:val="0"/>
        <w:widowControl w:val="0"/>
        <w:shd w:val="clear" w:color="auto" w:fill="auto"/>
        <w:bidi w:val="0"/>
        <w:spacing w:before="0" w:after="0" w:line="362" w:lineRule="exact"/>
        <w:ind w:left="0" w:right="0"/>
        <w:jc w:val="both"/>
      </w:pPr>
      <w:r>
        <w:rPr>
          <w:color w:val="000000"/>
          <w:spacing w:val="0"/>
          <w:w w:val="100"/>
          <w:position w:val="0"/>
        </w:rPr>
        <w:t>报告期内，消费电子产品分销业务实现营业收入</w:t>
      </w:r>
      <w:r>
        <w:rPr>
          <w:color w:val="000000"/>
          <w:spacing w:val="0"/>
          <w:w w:val="100"/>
          <w:position w:val="0"/>
          <w:sz w:val="17"/>
          <w:szCs w:val="17"/>
        </w:rPr>
        <w:t xml:space="preserve">247. </w:t>
      </w:r>
      <w:r>
        <w:rPr>
          <w:color w:val="000000"/>
          <w:spacing w:val="0"/>
          <w:w w:val="100"/>
          <w:position w:val="0"/>
          <w:sz w:val="17"/>
          <w:szCs w:val="17"/>
        </w:rPr>
        <w:t>18</w:t>
      </w:r>
      <w:r>
        <w:rPr>
          <w:color w:val="000000"/>
          <w:spacing w:val="0"/>
          <w:w w:val="100"/>
          <w:position w:val="0"/>
        </w:rPr>
        <w:t>亿元，毛利率</w:t>
      </w:r>
      <w:r>
        <w:rPr>
          <w:color w:val="000000"/>
          <w:spacing w:val="0"/>
          <w:w w:val="100"/>
          <w:position w:val="0"/>
          <w:sz w:val="17"/>
          <w:szCs w:val="17"/>
        </w:rPr>
        <w:t>3.18%</w:t>
      </w:r>
      <w:r>
        <w:rPr>
          <w:color w:val="000000"/>
          <w:spacing w:val="0"/>
          <w:w w:val="100"/>
          <w:position w:val="0"/>
        </w:rPr>
        <w:t>。公司敏锐感知市场环境，不断创新营销 理念，拓展分销商价值链，引领行业潮流，并充分利用多年积累的全渠道营销、物流、资金管理等供应链优势，有效化解 渠道扁平化、部分传统业务下降的趋势，保障公司在消费电子分销领域的销售规模和毛利率水平。</w:t>
      </w:r>
    </w:p>
    <w:p>
      <w:pPr>
        <w:pStyle w:val="Style32"/>
        <w:keepNext w:val="0"/>
        <w:keepLines w:val="0"/>
        <w:widowControl w:val="0"/>
        <w:numPr>
          <w:ilvl w:val="0"/>
          <w:numId w:val="3"/>
        </w:numPr>
        <w:shd w:val="clear" w:color="auto" w:fill="auto"/>
        <w:tabs>
          <w:tab w:pos="620" w:val="left"/>
        </w:tabs>
        <w:bidi w:val="0"/>
        <w:spacing w:before="0" w:after="0" w:line="362" w:lineRule="exact"/>
        <w:ind w:left="0" w:right="0"/>
        <w:jc w:val="both"/>
      </w:pPr>
      <w:bookmarkStart w:id="100" w:name="bookmark100"/>
      <w:bookmarkEnd w:id="100"/>
      <w:r>
        <w:rPr>
          <w:b/>
          <w:bCs/>
          <w:color w:val="000000"/>
          <w:spacing w:val="0"/>
          <w:w w:val="100"/>
          <w:position w:val="0"/>
        </w:rPr>
        <w:t>企业</w:t>
      </w:r>
      <w:r>
        <w:rPr>
          <w:b/>
          <w:bCs/>
          <w:color w:val="000000"/>
          <w:spacing w:val="0"/>
          <w:w w:val="100"/>
          <w:position w:val="0"/>
        </w:rPr>
        <w:t>IT</w:t>
      </w:r>
      <w:r>
        <w:rPr>
          <w:b/>
          <w:bCs/>
          <w:color w:val="000000"/>
          <w:spacing w:val="0"/>
          <w:w w:val="100"/>
          <w:position w:val="0"/>
        </w:rPr>
        <w:t>产品分销</w:t>
      </w:r>
    </w:p>
    <w:p>
      <w:pPr>
        <w:pStyle w:val="Style32"/>
        <w:keepNext w:val="0"/>
        <w:keepLines w:val="0"/>
        <w:widowControl w:val="0"/>
        <w:shd w:val="clear" w:color="auto" w:fill="auto"/>
        <w:bidi w:val="0"/>
        <w:spacing w:before="0" w:after="360" w:line="362" w:lineRule="exact"/>
        <w:ind w:left="0" w:right="0"/>
        <w:jc w:val="both"/>
      </w:pPr>
      <w:r>
        <w:rPr>
          <w:color w:val="000000"/>
          <w:spacing w:val="0"/>
          <w:w w:val="100"/>
          <w:position w:val="0"/>
        </w:rPr>
        <w:t>报告期内，企业</w:t>
      </w:r>
      <w:r>
        <w:rPr>
          <w:color w:val="000000"/>
          <w:spacing w:val="0"/>
          <w:w w:val="100"/>
          <w:position w:val="0"/>
          <w:sz w:val="17"/>
          <w:szCs w:val="17"/>
        </w:rPr>
        <w:t>IT</w:t>
      </w:r>
      <w:r>
        <w:rPr>
          <w:color w:val="000000"/>
          <w:spacing w:val="0"/>
          <w:w w:val="100"/>
          <w:position w:val="0"/>
        </w:rPr>
        <w:t>产品分销业务实现营业收入</w:t>
      </w:r>
      <w:r>
        <w:rPr>
          <w:color w:val="000000"/>
          <w:spacing w:val="0"/>
          <w:w w:val="100"/>
          <w:position w:val="0"/>
          <w:sz w:val="17"/>
          <w:szCs w:val="17"/>
        </w:rPr>
        <w:t>156.82</w:t>
      </w:r>
      <w:r>
        <w:rPr>
          <w:color w:val="000000"/>
          <w:spacing w:val="0"/>
          <w:w w:val="100"/>
          <w:position w:val="0"/>
        </w:rPr>
        <w:t>亿元，毛利率</w:t>
      </w:r>
      <w:r>
        <w:rPr>
          <w:color w:val="000000"/>
          <w:spacing w:val="0"/>
          <w:w w:val="100"/>
          <w:position w:val="0"/>
          <w:sz w:val="17"/>
          <w:szCs w:val="17"/>
        </w:rPr>
        <w:t>7.50%</w:t>
      </w:r>
      <w:r>
        <w:rPr>
          <w:color w:val="000000"/>
          <w:spacing w:val="0"/>
          <w:w w:val="100"/>
          <w:position w:val="0"/>
        </w:rPr>
        <w:t>。在国家强调自主可控与国产化浪潮的背景 下，公司不断强化自身技术支持的核心能力，保持全面、多元化的产品布局。同时，公司与国产品牌的合作带来大幅业务 增量，带动了整体企业</w:t>
      </w:r>
      <w:r>
        <w:rPr>
          <w:color w:val="000000"/>
          <w:spacing w:val="0"/>
          <w:w w:val="100"/>
          <w:position w:val="0"/>
          <w:sz w:val="17"/>
          <w:szCs w:val="17"/>
        </w:rPr>
        <w:t>IT</w:t>
      </w:r>
      <w:r>
        <w:rPr>
          <w:color w:val="000000"/>
          <w:spacing w:val="0"/>
          <w:w w:val="100"/>
          <w:position w:val="0"/>
        </w:rPr>
        <w:t>产品分销业务的增长，保证了营收规模与毛利率水平的稳定。公司仍然为国内增值分销领域覆盖 产品和品牌范围最广、技术能力最全面、营收规模具有绝对优势的分销商，并荣获</w:t>
      </w:r>
      <w:r>
        <w:rPr>
          <w:color w:val="000000"/>
          <w:spacing w:val="0"/>
          <w:w w:val="100"/>
          <w:position w:val="0"/>
          <w:sz w:val="17"/>
          <w:szCs w:val="17"/>
        </w:rPr>
        <w:t>”2016</w:t>
      </w:r>
      <w:r>
        <w:rPr>
          <w:color w:val="000000"/>
          <w:spacing w:val="0"/>
          <w:w w:val="100"/>
          <w:position w:val="0"/>
        </w:rPr>
        <w:t>中国</w:t>
      </w:r>
      <w:r>
        <w:rPr>
          <w:color w:val="000000"/>
          <w:spacing w:val="0"/>
          <w:w w:val="100"/>
          <w:position w:val="0"/>
          <w:sz w:val="17"/>
          <w:szCs w:val="17"/>
        </w:rPr>
        <w:t>IT</w:t>
      </w:r>
      <w:r>
        <w:rPr>
          <w:color w:val="000000"/>
          <w:spacing w:val="0"/>
          <w:w w:val="100"/>
          <w:position w:val="0"/>
        </w:rPr>
        <w:t>增值分销商十强”第一 名。</w:t>
      </w:r>
    </w:p>
    <w:p>
      <w:pPr>
        <w:pStyle w:val="Style32"/>
        <w:keepNext w:val="0"/>
        <w:keepLines w:val="0"/>
        <w:widowControl w:val="0"/>
        <w:shd w:val="clear" w:color="auto" w:fill="auto"/>
        <w:tabs>
          <w:tab w:pos="493" w:val="left"/>
        </w:tabs>
        <w:bidi w:val="0"/>
        <w:spacing w:before="0" w:after="0" w:line="365" w:lineRule="exact"/>
        <w:ind w:left="0" w:right="0" w:firstLine="0"/>
        <w:jc w:val="left"/>
      </w:pPr>
      <w:bookmarkStart w:id="101" w:name="bookmark101"/>
      <w:r>
        <w:rPr>
          <w:b/>
          <w:bCs/>
          <w:color w:val="000000"/>
          <w:spacing w:val="0"/>
          <w:w w:val="100"/>
          <w:position w:val="0"/>
        </w:rPr>
        <w:t>（</w:t>
      </w:r>
      <w:bookmarkEnd w:id="101"/>
      <w:r>
        <w:rPr>
          <w:b/>
          <w:bCs/>
          <w:color w:val="000000"/>
          <w:spacing w:val="0"/>
          <w:w w:val="100"/>
          <w:position w:val="0"/>
        </w:rPr>
        <w:t>二）</w:t>
        <w:tab/>
        <w:t>公司战略</w:t>
      </w:r>
    </w:p>
    <w:p>
      <w:pPr>
        <w:pStyle w:val="Style32"/>
        <w:keepNext w:val="0"/>
        <w:keepLines w:val="0"/>
        <w:widowControl w:val="0"/>
        <w:shd w:val="clear" w:color="auto" w:fill="auto"/>
        <w:bidi w:val="0"/>
        <w:spacing w:before="0" w:after="360" w:line="365" w:lineRule="exact"/>
        <w:ind w:left="0" w:right="0"/>
        <w:jc w:val="both"/>
      </w:pPr>
      <w:r>
        <w:rPr>
          <w:color w:val="000000"/>
          <w:spacing w:val="0"/>
          <w:w w:val="100"/>
          <w:position w:val="0"/>
          <w:sz w:val="17"/>
          <w:szCs w:val="17"/>
        </w:rPr>
        <w:t>2016</w:t>
      </w:r>
      <w:r>
        <w:rPr>
          <w:color w:val="000000"/>
          <w:spacing w:val="0"/>
          <w:w w:val="100"/>
          <w:position w:val="0"/>
        </w:rPr>
        <w:t>年，公司通过高效资产重组，迎来了全新的发展环境和市场机遇。公司新战略清晰明确，践行“数字神州”的使 命，公司将致力在国家自主可控的政策指引下，充分利用互联网、云计算、大数据等新型技术，聚合</w:t>
      </w:r>
      <w:r>
        <w:rPr>
          <w:color w:val="000000"/>
          <w:spacing w:val="0"/>
          <w:w w:val="100"/>
          <w:position w:val="0"/>
          <w:sz w:val="17"/>
          <w:szCs w:val="17"/>
        </w:rPr>
        <w:t>IT</w:t>
      </w:r>
      <w:r>
        <w:rPr>
          <w:color w:val="000000"/>
          <w:spacing w:val="0"/>
          <w:w w:val="100"/>
          <w:position w:val="0"/>
        </w:rPr>
        <w:t>产业链资源、助力 生态合作伙伴转型，打造中国最大的企业信息化服务型互联网平台，实现数字化中国的理想。为此，公司将积极在各战略 业务方向规划、布局、实施，报告期内，公司在新平台核心领域布局如下：</w:t>
      </w:r>
    </w:p>
    <w:p>
      <w:pPr>
        <w:pStyle w:val="Style32"/>
        <w:keepNext w:val="0"/>
        <w:keepLines w:val="0"/>
        <w:widowControl w:val="0"/>
        <w:shd w:val="clear" w:color="auto" w:fill="auto"/>
        <w:tabs>
          <w:tab w:pos="649" w:val="left"/>
        </w:tabs>
        <w:bidi w:val="0"/>
        <w:spacing w:before="0" w:after="0" w:line="362" w:lineRule="exact"/>
        <w:ind w:left="0" w:right="0" w:firstLine="380"/>
        <w:jc w:val="left"/>
      </w:pPr>
      <w:bookmarkStart w:id="102" w:name="bookmark102"/>
      <w:r>
        <w:rPr>
          <w:color w:val="000000"/>
          <w:spacing w:val="0"/>
          <w:w w:val="100"/>
          <w:position w:val="0"/>
          <w:sz w:val="17"/>
          <w:szCs w:val="17"/>
        </w:rPr>
        <w:t>1</w:t>
      </w:r>
      <w:bookmarkEnd w:id="102"/>
      <w:r>
        <w:rPr>
          <w:color w:val="000000"/>
          <w:spacing w:val="0"/>
          <w:w w:val="100"/>
          <w:position w:val="0"/>
        </w:rPr>
        <w:t>、</w:t>
        <w:tab/>
        <w:t>在</w:t>
      </w:r>
      <w:r>
        <w:rPr>
          <w:color w:val="000000"/>
          <w:spacing w:val="0"/>
          <w:w w:val="100"/>
          <w:position w:val="0"/>
          <w:sz w:val="17"/>
          <w:szCs w:val="17"/>
        </w:rPr>
        <w:t>B2B</w:t>
      </w:r>
      <w:r>
        <w:rPr>
          <w:color w:val="000000"/>
          <w:spacing w:val="0"/>
          <w:w w:val="100"/>
          <w:position w:val="0"/>
        </w:rPr>
        <w:t>互联网领域，公司启用互联网、大数据技术对原有线下分销体系进行升级、改造，围绕基础交易、在线交 互、营销工具、增值服务类四个方向成功建立、研发近</w:t>
      </w:r>
      <w:r>
        <w:rPr>
          <w:color w:val="000000"/>
          <w:spacing w:val="0"/>
          <w:w w:val="100"/>
          <w:position w:val="0"/>
          <w:sz w:val="17"/>
          <w:szCs w:val="17"/>
        </w:rPr>
        <w:t>20</w:t>
      </w:r>
      <w:r>
        <w:rPr>
          <w:color w:val="000000"/>
          <w:spacing w:val="0"/>
          <w:w w:val="100"/>
          <w:position w:val="0"/>
        </w:rPr>
        <w:t>个互联网功能产品，打造全新的</w:t>
      </w:r>
      <w:r>
        <w:rPr>
          <w:color w:val="000000"/>
          <w:spacing w:val="0"/>
          <w:w w:val="100"/>
          <w:position w:val="0"/>
          <w:sz w:val="17"/>
          <w:szCs w:val="17"/>
        </w:rPr>
        <w:t>ICT（Information and Communication Technology</w:t>
      </w:r>
      <w:r>
        <w:rPr>
          <w:color w:val="000000"/>
          <w:spacing w:val="0"/>
          <w:w w:val="100"/>
          <w:position w:val="0"/>
        </w:rPr>
        <w:t>即信息和通信技术）垂直领域</w:t>
      </w:r>
      <w:r>
        <w:rPr>
          <w:color w:val="000000"/>
          <w:spacing w:val="0"/>
          <w:w w:val="100"/>
          <w:position w:val="0"/>
          <w:sz w:val="17"/>
          <w:szCs w:val="17"/>
        </w:rPr>
        <w:t>B2B</w:t>
      </w:r>
      <w:r>
        <w:rPr>
          <w:color w:val="000000"/>
          <w:spacing w:val="0"/>
          <w:w w:val="100"/>
          <w:position w:val="0"/>
        </w:rPr>
        <w:t>电商平台神州商桥、致力成为中国最大的企业信息化交易和服 务平台，实现消费电子产品分销与企业</w:t>
      </w:r>
      <w:r>
        <w:rPr>
          <w:color w:val="000000"/>
          <w:spacing w:val="0"/>
          <w:w w:val="100"/>
          <w:position w:val="0"/>
          <w:sz w:val="17"/>
          <w:szCs w:val="17"/>
        </w:rPr>
        <w:t>IT</w:t>
      </w:r>
      <w:r>
        <w:rPr>
          <w:color w:val="000000"/>
          <w:spacing w:val="0"/>
          <w:w w:val="100"/>
          <w:position w:val="0"/>
        </w:rPr>
        <w:t>产品分销业务的全面升级。全新的神州商桥将建立面向企业级用户的创新业务模 式，聚合全球顶尖供应商及中国最优秀的渠道伙伴、企业，创造全新的商业价值。</w:t>
      </w:r>
    </w:p>
    <w:p>
      <w:pPr>
        <w:pStyle w:val="Style32"/>
        <w:keepNext w:val="0"/>
        <w:keepLines w:val="0"/>
        <w:widowControl w:val="0"/>
        <w:shd w:val="clear" w:color="auto" w:fill="auto"/>
        <w:tabs>
          <w:tab w:pos="644" w:val="left"/>
        </w:tabs>
        <w:bidi w:val="0"/>
        <w:spacing w:before="0" w:after="0" w:line="362" w:lineRule="exact"/>
        <w:ind w:left="0" w:right="0" w:firstLine="380"/>
        <w:jc w:val="left"/>
      </w:pPr>
      <w:bookmarkStart w:id="103" w:name="bookmark103"/>
      <w:r>
        <w:rPr>
          <w:color w:val="000000"/>
          <w:spacing w:val="0"/>
          <w:w w:val="100"/>
          <w:position w:val="0"/>
          <w:sz w:val="17"/>
          <w:szCs w:val="17"/>
        </w:rPr>
        <w:t>2</w:t>
      </w:r>
      <w:bookmarkEnd w:id="103"/>
      <w:r>
        <w:rPr>
          <w:color w:val="000000"/>
          <w:spacing w:val="0"/>
          <w:w w:val="100"/>
          <w:position w:val="0"/>
        </w:rPr>
        <w:t>、</w:t>
        <w:tab/>
        <w:t>公司积极响应国家自主可控要求，快速部署自有品牌业务，成立三家自有品牌专业公司，明确存储、系统、安全三 个子公司的业务方向及业务策略。在业务拓展方面，公司分别与</w:t>
      </w:r>
      <w:r>
        <w:rPr>
          <w:color w:val="000000"/>
          <w:spacing w:val="0"/>
          <w:w w:val="100"/>
          <w:position w:val="0"/>
          <w:sz w:val="17"/>
          <w:szCs w:val="17"/>
        </w:rPr>
        <w:t>EMC</w:t>
      </w:r>
      <w:r>
        <w:rPr>
          <w:color w:val="000000"/>
          <w:spacing w:val="0"/>
          <w:w w:val="100"/>
          <w:position w:val="0"/>
        </w:rPr>
        <w:t>、</w:t>
      </w:r>
      <w:r>
        <w:rPr>
          <w:color w:val="000000"/>
          <w:spacing w:val="0"/>
          <w:w w:val="100"/>
          <w:position w:val="0"/>
          <w:sz w:val="17"/>
          <w:szCs w:val="17"/>
        </w:rPr>
        <w:t>NetScout</w:t>
      </w:r>
      <w:r>
        <w:rPr>
          <w:color w:val="000000"/>
          <w:spacing w:val="0"/>
          <w:w w:val="100"/>
          <w:position w:val="0"/>
        </w:rPr>
        <w:t>、甲骨文三家国际主流</w:t>
      </w:r>
      <w:r>
        <w:rPr>
          <w:color w:val="000000"/>
          <w:spacing w:val="0"/>
          <w:w w:val="100"/>
          <w:position w:val="0"/>
          <w:sz w:val="17"/>
          <w:szCs w:val="17"/>
        </w:rPr>
        <w:t>IT</w:t>
      </w:r>
      <w:r>
        <w:rPr>
          <w:color w:val="000000"/>
          <w:spacing w:val="0"/>
          <w:w w:val="100"/>
          <w:position w:val="0"/>
        </w:rPr>
        <w:t>厂商不断探索新的 合作模式，实现在企业级</w:t>
      </w:r>
      <w:r>
        <w:rPr>
          <w:color w:val="000000"/>
          <w:spacing w:val="0"/>
          <w:w w:val="100"/>
          <w:position w:val="0"/>
          <w:sz w:val="17"/>
          <w:szCs w:val="17"/>
        </w:rPr>
        <w:t>IT</w:t>
      </w:r>
      <w:r>
        <w:rPr>
          <w:color w:val="000000"/>
          <w:spacing w:val="0"/>
          <w:w w:val="100"/>
          <w:position w:val="0"/>
        </w:rPr>
        <w:t>新领域的战略合作，加速公司自有品牌业务落地，主要包括：公司成功发布神州云科超融合一 体机，此款产品将服务器和存储硬件整合于一体的融合型基础设施解决方案，既保持集中存储的优势，又能实现大规模的 扩展；公司相应国产本地化需求，发布自有品牌数据库监控仪；公司发布登云数据库一体机，此款自有品牌产品是先进的 一站式数据中心数据库解决方案，首台登云数据库一体机已成功下线并实现销售，实现本地化生产。</w:t>
      </w:r>
    </w:p>
    <w:p>
      <w:pPr>
        <w:pStyle w:val="Style32"/>
        <w:keepNext w:val="0"/>
        <w:keepLines w:val="0"/>
        <w:widowControl w:val="0"/>
        <w:shd w:val="clear" w:color="auto" w:fill="auto"/>
        <w:tabs>
          <w:tab w:pos="664" w:val="left"/>
        </w:tabs>
        <w:bidi w:val="0"/>
        <w:spacing w:before="0" w:after="0" w:line="365" w:lineRule="exact"/>
        <w:ind w:left="0" w:right="0" w:firstLine="380"/>
        <w:jc w:val="left"/>
      </w:pPr>
      <w:bookmarkStart w:id="104" w:name="bookmark104"/>
      <w:r>
        <w:rPr>
          <w:color w:val="000000"/>
          <w:spacing w:val="0"/>
          <w:w w:val="100"/>
          <w:position w:val="0"/>
          <w:sz w:val="17"/>
          <w:szCs w:val="17"/>
        </w:rPr>
        <w:t>3</w:t>
      </w:r>
      <w:bookmarkEnd w:id="104"/>
      <w:r>
        <w:rPr>
          <w:color w:val="000000"/>
          <w:spacing w:val="0"/>
          <w:w w:val="100"/>
          <w:position w:val="0"/>
        </w:rPr>
        <w:t>、</w:t>
        <w:tab/>
        <w:t>在云计算方向，公司收购了具备增值电信业务全牌照资质的北京神州云科信息服务有限公司。云科信息服务已经先</w:t>
      </w:r>
    </w:p>
    <w:p>
      <w:pPr>
        <w:pStyle w:val="Style32"/>
        <w:keepNext w:val="0"/>
        <w:keepLines w:val="0"/>
        <w:widowControl w:val="0"/>
        <w:shd w:val="clear" w:color="auto" w:fill="auto"/>
        <w:tabs>
          <w:tab w:pos="9222" w:val="left"/>
        </w:tabs>
        <w:bidi w:val="0"/>
        <w:spacing w:before="0" w:after="0" w:line="365" w:lineRule="exact"/>
        <w:ind w:left="0" w:right="0" w:firstLine="0"/>
        <w:jc w:val="left"/>
      </w:pPr>
      <w:r>
        <w:rPr>
          <w:color w:val="000000"/>
          <w:spacing w:val="0"/>
          <w:w w:val="100"/>
          <w:position w:val="0"/>
        </w:rPr>
        <w:t>后与阿里云、赛门铁克、思科、微软、</w:t>
      </w:r>
      <w:r>
        <w:rPr>
          <w:color w:val="000000"/>
          <w:spacing w:val="0"/>
          <w:w w:val="100"/>
          <w:position w:val="0"/>
          <w:sz w:val="17"/>
          <w:szCs w:val="17"/>
        </w:rPr>
        <w:t>IBM</w:t>
      </w:r>
      <w:r>
        <w:rPr>
          <w:color w:val="000000"/>
          <w:spacing w:val="0"/>
          <w:w w:val="100"/>
          <w:position w:val="0"/>
        </w:rPr>
        <w:t>、</w:t>
      </w:r>
      <w:r>
        <w:rPr>
          <w:color w:val="000000"/>
          <w:spacing w:val="0"/>
          <w:w w:val="100"/>
          <w:position w:val="0"/>
          <w:sz w:val="17"/>
          <w:szCs w:val="17"/>
        </w:rPr>
        <w:t>SoftwareAG</w:t>
      </w:r>
      <w:r>
        <w:rPr>
          <w:color w:val="000000"/>
          <w:spacing w:val="0"/>
          <w:w w:val="100"/>
          <w:position w:val="0"/>
        </w:rPr>
        <w:t>等多家优质</w:t>
      </w:r>
      <w:r>
        <w:rPr>
          <w:color w:val="000000"/>
          <w:spacing w:val="0"/>
          <w:w w:val="100"/>
          <w:position w:val="0"/>
          <w:sz w:val="17"/>
          <w:szCs w:val="17"/>
        </w:rPr>
        <w:t>IT</w:t>
      </w:r>
      <w:r>
        <w:rPr>
          <w:color w:val="000000"/>
          <w:spacing w:val="0"/>
          <w:w w:val="100"/>
          <w:position w:val="0"/>
        </w:rPr>
        <w:t>厂商达成战略合作，并依托公司的资源整合优势，承 载公司的登云战略，全方位聚集全球最领先的云产业资源打造一站式企业云服务平台，聚合云的基础资源、云的专业化服 务、云应用，协助广大合作伙伴登云，为企业增值服务领域创造新的平台价值。公司已经发布了云平台</w:t>
      </w:r>
      <w:r>
        <w:rPr>
          <w:color w:val="000000"/>
          <w:spacing w:val="0"/>
          <w:w w:val="100"/>
          <w:position w:val="0"/>
          <w:sz w:val="17"/>
          <w:szCs w:val="17"/>
        </w:rPr>
        <w:t>Marketplace</w:t>
        <w:tab/>
        <w:t>1.0</w:t>
      </w:r>
      <w:r>
        <w:rPr>
          <w:color w:val="000000"/>
          <w:spacing w:val="0"/>
          <w:w w:val="100"/>
          <w:position w:val="0"/>
        </w:rPr>
        <w:t>版</w:t>
      </w:r>
    </w:p>
    <w:p>
      <w:pPr>
        <w:pStyle w:val="Style32"/>
        <w:keepNext w:val="0"/>
        <w:keepLines w:val="0"/>
        <w:widowControl w:val="0"/>
        <w:shd w:val="clear" w:color="auto" w:fill="auto"/>
        <w:bidi w:val="0"/>
        <w:spacing w:before="0" w:after="340" w:line="365" w:lineRule="exact"/>
        <w:ind w:left="0" w:right="0" w:firstLine="0"/>
        <w:jc w:val="left"/>
      </w:pPr>
      <w:r>
        <w:rPr>
          <w:color w:val="000000"/>
          <w:spacing w:val="0"/>
          <w:w w:val="100"/>
          <w:position w:val="0"/>
        </w:rPr>
        <w:t>本，此平台聚集</w:t>
      </w:r>
      <w:r>
        <w:rPr>
          <w:color w:val="000000"/>
          <w:spacing w:val="0"/>
          <w:w w:val="100"/>
          <w:position w:val="0"/>
          <w:sz w:val="17"/>
          <w:szCs w:val="17"/>
        </w:rPr>
        <w:t>14</w:t>
      </w:r>
      <w:r>
        <w:rPr>
          <w:color w:val="000000"/>
          <w:spacing w:val="0"/>
          <w:w w:val="100"/>
          <w:position w:val="0"/>
        </w:rPr>
        <w:t>大品类云应用，</w:t>
      </w:r>
      <w:r>
        <w:rPr>
          <w:color w:val="000000"/>
          <w:spacing w:val="0"/>
          <w:w w:val="100"/>
          <w:position w:val="0"/>
          <w:sz w:val="17"/>
          <w:szCs w:val="17"/>
        </w:rPr>
        <w:t>110</w:t>
      </w:r>
      <w:r>
        <w:rPr>
          <w:color w:val="000000"/>
          <w:spacing w:val="0"/>
          <w:w w:val="100"/>
          <w:position w:val="0"/>
        </w:rPr>
        <w:t>种云服务产品，并引入多家云营销合作伙伴，以及相应的</w:t>
      </w:r>
      <w:r>
        <w:rPr>
          <w:color w:val="000000"/>
          <w:spacing w:val="0"/>
          <w:w w:val="100"/>
          <w:position w:val="0"/>
          <w:sz w:val="17"/>
          <w:szCs w:val="17"/>
        </w:rPr>
        <w:t>API</w:t>
      </w:r>
      <w:r>
        <w:rPr>
          <w:color w:val="000000"/>
          <w:spacing w:val="0"/>
          <w:w w:val="100"/>
          <w:position w:val="0"/>
        </w:rPr>
        <w:t>资源，完善了云生态建 设，为平台业务模式的落地打下根基。</w:t>
      </w:r>
    </w:p>
    <w:p>
      <w:pPr>
        <w:pStyle w:val="Style32"/>
        <w:keepNext w:val="0"/>
        <w:keepLines w:val="0"/>
        <w:widowControl w:val="0"/>
        <w:shd w:val="clear" w:color="auto" w:fill="auto"/>
        <w:tabs>
          <w:tab w:pos="481" w:val="left"/>
        </w:tabs>
        <w:bidi w:val="0"/>
        <w:spacing w:before="0" w:after="0" w:line="361" w:lineRule="exact"/>
        <w:ind w:left="0" w:right="0" w:firstLine="0"/>
        <w:jc w:val="left"/>
      </w:pPr>
      <w:bookmarkStart w:id="105" w:name="bookmark105"/>
      <w:r>
        <w:rPr>
          <w:b/>
          <w:bCs/>
          <w:color w:val="000000"/>
          <w:spacing w:val="0"/>
          <w:w w:val="100"/>
          <w:position w:val="0"/>
        </w:rPr>
        <w:t>（</w:t>
      </w:r>
      <w:bookmarkEnd w:id="105"/>
      <w:r>
        <w:rPr>
          <w:b/>
          <w:bCs/>
          <w:color w:val="000000"/>
          <w:spacing w:val="0"/>
          <w:w w:val="100"/>
          <w:position w:val="0"/>
        </w:rPr>
        <w:t>三）</w:t>
        <w:tab/>
        <w:t>资本运作</w:t>
      </w:r>
    </w:p>
    <w:p>
      <w:pPr>
        <w:pStyle w:val="Style32"/>
        <w:keepNext w:val="0"/>
        <w:keepLines w:val="0"/>
        <w:widowControl w:val="0"/>
        <w:shd w:val="clear" w:color="auto" w:fill="auto"/>
        <w:bidi w:val="0"/>
        <w:spacing w:before="0" w:after="340" w:line="361" w:lineRule="exact"/>
        <w:ind w:left="0" w:right="0" w:firstLine="380"/>
        <w:jc w:val="both"/>
      </w:pPr>
      <w:r>
        <w:rPr>
          <w:color w:val="000000"/>
          <w:spacing w:val="0"/>
          <w:w w:val="100"/>
          <w:position w:val="0"/>
        </w:rPr>
        <w:t>公司推出定增方案，拟非公开发行募资不超过</w:t>
      </w:r>
      <w:r>
        <w:rPr>
          <w:color w:val="000000"/>
          <w:spacing w:val="0"/>
          <w:w w:val="100"/>
          <w:position w:val="0"/>
          <w:sz w:val="17"/>
          <w:szCs w:val="17"/>
        </w:rPr>
        <w:t>4.19</w:t>
      </w:r>
      <w:r>
        <w:rPr>
          <w:color w:val="000000"/>
          <w:spacing w:val="0"/>
          <w:w w:val="100"/>
          <w:position w:val="0"/>
        </w:rPr>
        <w:t>亿元，并启动第一期员工持股计划，参加对象包括公司全体员工及 公司全资、控股子公司中符合本次员工持股计划实施条件的员工，总人数</w:t>
      </w:r>
      <w:r>
        <w:rPr>
          <w:color w:val="000000"/>
          <w:spacing w:val="0"/>
          <w:w w:val="100"/>
          <w:position w:val="0"/>
          <w:sz w:val="17"/>
          <w:szCs w:val="17"/>
        </w:rPr>
        <w:t>1,466</w:t>
      </w:r>
      <w:r>
        <w:rPr>
          <w:color w:val="000000"/>
          <w:spacing w:val="0"/>
          <w:w w:val="100"/>
          <w:position w:val="0"/>
        </w:rPr>
        <w:t>人，其中包括公司董事、监事、高级管理人 员</w:t>
      </w:r>
      <w:r>
        <w:rPr>
          <w:color w:val="000000"/>
          <w:spacing w:val="0"/>
          <w:w w:val="100"/>
          <w:position w:val="0"/>
          <w:sz w:val="17"/>
          <w:szCs w:val="17"/>
        </w:rPr>
        <w:t>10</w:t>
      </w:r>
      <w:r>
        <w:rPr>
          <w:color w:val="000000"/>
          <w:spacing w:val="0"/>
          <w:w w:val="100"/>
          <w:position w:val="0"/>
        </w:rPr>
        <w:t>人。该事项经公司第八届董事会第十次会议审议通过，公司</w:t>
      </w:r>
      <w:r>
        <w:rPr>
          <w:color w:val="000000"/>
          <w:spacing w:val="0"/>
          <w:w w:val="100"/>
          <w:position w:val="0"/>
          <w:sz w:val="17"/>
          <w:szCs w:val="17"/>
        </w:rPr>
        <w:t>2016</w:t>
      </w:r>
      <w:r>
        <w:rPr>
          <w:color w:val="000000"/>
          <w:spacing w:val="0"/>
          <w:w w:val="100"/>
          <w:position w:val="0"/>
        </w:rPr>
        <w:t>年第六次临时股东大会通过，并于</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3</w:t>
      </w:r>
      <w:r>
        <w:rPr>
          <w:color w:val="000000"/>
          <w:spacing w:val="0"/>
          <w:w w:val="100"/>
          <w:position w:val="0"/>
        </w:rPr>
        <w:t>日获得 中国证监会发行审核委员会通过。此次定增募集资金将优化资本结构，完善公司员工与全体股东的利益共享和风险共担机 制，提高员工的凝聚力和公司竞争力，实现股东、公司和员工利益的一致，提高公司治理水平，充分调动员工的积极性和 创造性，实现公司长期持续的健康发展。</w:t>
      </w:r>
    </w:p>
    <w:p>
      <w:pPr>
        <w:pStyle w:val="Style32"/>
        <w:keepNext w:val="0"/>
        <w:keepLines w:val="0"/>
        <w:widowControl w:val="0"/>
        <w:shd w:val="clear" w:color="auto" w:fill="auto"/>
        <w:tabs>
          <w:tab w:pos="481" w:val="left"/>
        </w:tabs>
        <w:bidi w:val="0"/>
        <w:spacing w:before="0" w:after="0" w:line="360" w:lineRule="exact"/>
        <w:ind w:left="0" w:right="0" w:firstLine="0"/>
        <w:jc w:val="both"/>
      </w:pPr>
      <w:bookmarkStart w:id="106" w:name="bookmark106"/>
      <w:r>
        <w:rPr>
          <w:b/>
          <w:bCs/>
          <w:color w:val="000000"/>
          <w:spacing w:val="0"/>
          <w:w w:val="100"/>
          <w:position w:val="0"/>
        </w:rPr>
        <w:t>（</w:t>
      </w:r>
      <w:bookmarkEnd w:id="106"/>
      <w:r>
        <w:rPr>
          <w:b/>
          <w:bCs/>
          <w:color w:val="000000"/>
          <w:spacing w:val="0"/>
          <w:w w:val="100"/>
          <w:position w:val="0"/>
        </w:rPr>
        <w:t>四）</w:t>
        <w:tab/>
        <w:t>企业文化</w:t>
      </w:r>
    </w:p>
    <w:p>
      <w:pPr>
        <w:pStyle w:val="Style32"/>
        <w:keepNext w:val="0"/>
        <w:keepLines w:val="0"/>
        <w:widowControl w:val="0"/>
        <w:shd w:val="clear" w:color="auto" w:fill="auto"/>
        <w:tabs>
          <w:tab w:pos="644" w:val="left"/>
        </w:tabs>
        <w:bidi w:val="0"/>
        <w:spacing w:before="0" w:after="0" w:line="360" w:lineRule="exact"/>
        <w:ind w:left="0" w:right="0" w:firstLine="380"/>
        <w:jc w:val="left"/>
      </w:pPr>
      <w:bookmarkStart w:id="107" w:name="bookmark107"/>
      <w:r>
        <w:rPr>
          <w:color w:val="000000"/>
          <w:spacing w:val="0"/>
          <w:w w:val="100"/>
          <w:position w:val="0"/>
          <w:sz w:val="17"/>
          <w:szCs w:val="17"/>
        </w:rPr>
        <w:t>1</w:t>
      </w:r>
      <w:bookmarkEnd w:id="107"/>
      <w:r>
        <w:rPr>
          <w:color w:val="000000"/>
          <w:spacing w:val="0"/>
          <w:w w:val="100"/>
          <w:position w:val="0"/>
        </w:rPr>
        <w:t>、</w:t>
        <w:tab/>
        <w:t>公司文化。公司传承并重塑全新的文化氛围，以责任、激情、创新为核心，打造和谐、共赢、融洽的公司文化，以 吸引挽留人才，并提升团队能力，这是公司达成业务战略目标的重要基石。公司的企业文化体现了公司的核心价值观：第 一是根文化，员工的个人追求融入企业追求，与企业共同成长；第二是工作价值观，员工在工作中始终以责任、激情、创 新为价值观主线，不断鞭策自己、激励自己；第三是社会责任感，公司致力于做一家于社会有益的公司；第四是员工幸福 感，管理者与员工共同参与公司组织的活动，营造快乐的工作环境；第五是表彰奖励制度，优秀的个人和团队获得奖励受 到肯定，以打造多劳多得、贡献有回报的向上氛围。</w:t>
      </w:r>
    </w:p>
    <w:p>
      <w:pPr>
        <w:pStyle w:val="Style32"/>
        <w:keepNext w:val="0"/>
        <w:keepLines w:val="0"/>
        <w:widowControl w:val="0"/>
        <w:shd w:val="clear" w:color="auto" w:fill="auto"/>
        <w:tabs>
          <w:tab w:pos="644" w:val="left"/>
        </w:tabs>
        <w:bidi w:val="0"/>
        <w:spacing w:before="0" w:after="340" w:line="362" w:lineRule="exact"/>
        <w:ind w:left="0" w:right="0" w:firstLine="380"/>
        <w:jc w:val="left"/>
      </w:pPr>
      <w:bookmarkStart w:id="108" w:name="bookmark108"/>
      <w:r>
        <w:rPr>
          <w:color w:val="000000"/>
          <w:spacing w:val="0"/>
          <w:w w:val="100"/>
          <w:position w:val="0"/>
          <w:sz w:val="17"/>
          <w:szCs w:val="17"/>
        </w:rPr>
        <w:t>2</w:t>
      </w:r>
      <w:bookmarkEnd w:id="108"/>
      <w:r>
        <w:rPr>
          <w:color w:val="000000"/>
          <w:spacing w:val="0"/>
          <w:w w:val="100"/>
          <w:position w:val="0"/>
        </w:rPr>
        <w:t>、</w:t>
        <w:tab/>
        <w:t>生态文化。公司将基于坚定的战略方向，充分利用互联网、云计算、大数据等新型技术聚合</w:t>
      </w:r>
      <w:r>
        <w:rPr>
          <w:color w:val="000000"/>
          <w:spacing w:val="0"/>
          <w:w w:val="100"/>
          <w:position w:val="0"/>
          <w:sz w:val="17"/>
          <w:szCs w:val="17"/>
        </w:rPr>
        <w:t>IT</w:t>
      </w:r>
      <w:r>
        <w:rPr>
          <w:color w:val="000000"/>
          <w:spacing w:val="0"/>
          <w:w w:val="100"/>
          <w:position w:val="0"/>
        </w:rPr>
        <w:t>产业链资源、助力生 态合作伙伴转型，打造中国最大的企业信息化服务互联网平台，实现数字化中国的理想。在生态中，每一个参与者将不再 是传统供应链角色当中某个固定的角色，不再是单向的上下游关系。生态体系中各个参与者的关系不再是链状的而是网络 化的，各个角色之间相互依存、相互协作、共生共赢、共同发展。生态型合作将成为未来企业间合作的最重要的方式。产 业进化，适者生存。</w:t>
      </w:r>
      <w:r>
        <w:br w:type="page"/>
      </w:r>
    </w:p>
    <w:p>
      <w:pPr>
        <w:pStyle w:val="Style28"/>
        <w:keepNext/>
        <w:keepLines/>
        <w:widowControl w:val="0"/>
        <w:shd w:val="clear" w:color="auto" w:fill="auto"/>
        <w:bidi w:val="0"/>
        <w:spacing w:before="0" w:after="36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二</w:t>
      </w:r>
      <w:bookmarkEnd w:id="111"/>
      <w:r>
        <w:rPr>
          <w:color w:val="000000"/>
          <w:spacing w:val="0"/>
          <w:w w:val="100"/>
          <w:position w:val="0"/>
        </w:rPr>
        <w:t>、主营业务分析</w:t>
      </w:r>
      <w:bookmarkEnd w:id="109"/>
      <w:bookmarkEnd w:id="110"/>
      <w:bookmarkEnd w:id="112"/>
    </w:p>
    <w:p>
      <w:pPr>
        <w:pStyle w:val="Style36"/>
        <w:keepNext/>
        <w:keepLines/>
        <w:widowControl w:val="0"/>
        <w:shd w:val="clear" w:color="auto" w:fill="auto"/>
        <w:tabs>
          <w:tab w:pos="368"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w:t>
        <w:tab/>
        <w:t>概述</w:t>
      </w:r>
      <w:bookmarkEnd w:id="113"/>
      <w:bookmarkEnd w:id="114"/>
      <w:bookmarkEnd w:id="116"/>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w:t>
        <w:tab/>
        <w:t>收入与成本</w:t>
      </w:r>
      <w:bookmarkEnd w:id="117"/>
      <w:bookmarkEnd w:id="118"/>
      <w:bookmarkEnd w:id="120"/>
    </w:p>
    <w:p>
      <w:pPr>
        <w:pStyle w:val="Style36"/>
        <w:keepNext/>
        <w:keepLines/>
        <w:widowControl w:val="0"/>
        <w:shd w:val="clear" w:color="auto" w:fill="auto"/>
        <w:bidi w:val="0"/>
        <w:spacing w:before="0" w:line="240" w:lineRule="auto"/>
        <w:ind w:left="0" w:right="0" w:firstLine="0"/>
        <w:jc w:val="left"/>
      </w:pPr>
      <w:bookmarkStart w:id="117" w:name="bookmark117"/>
      <w:bookmarkStart w:id="118" w:name="bookmark118"/>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40,531,123,500.93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458,063,353.60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8,748.37%</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40,399,860,780.70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131,262,720.23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458,063,353.60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-71.34%</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消费电子分销业务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24,718,281,673.96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rPr>
              <w:t>IT</w:t>
            </w:r>
            <w:r>
              <w:rPr>
                <w:color w:val="000000"/>
                <w:spacing w:val="0"/>
                <w:w w:val="100"/>
                <w:position w:val="0"/>
              </w:rPr>
              <w:t>产品分销业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15,681,579,106.74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131,262,720.23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458,063,353.60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-71.34%</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37,773,656,197.35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446,772,527.98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8,354.78%</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2,757,467,303.58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11,290,825.62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24,322.19%</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1416"/>
        <w:gridCol w:w="1560"/>
        <w:gridCol w:w="1368"/>
        <w:gridCol w:w="1363"/>
        <w:gridCol w:w="1368"/>
        <w:gridCol w:w="115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40,399,860,780.70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38,437,972,641.23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r>
      <w:tr>
        <w:trPr>
          <w:trHeight w:val="403" w:hRule="exact"/>
        </w:trPr>
        <w:tc>
          <w:tcPr>
            <w:gridSpan w:val="7"/>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消费电子分销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24,718,281,673.96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23,932,938,747.99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bl>
    <w:p>
      <w:pPr>
        <w:spacing w:lineRule="exact" w:line="1"/>
        <w:rPr>
          <w:sz w:val="2"/>
          <w:szCs w:val="2"/>
        </w:rPr>
      </w:pPr>
      <w:r>
        <w:br w:type="page"/>
      </w:r>
    </w:p>
    <w:tbl>
      <w:tblPr>
        <w:tblOverlap w:val="never"/>
        <w:jc w:val="center"/>
        <w:tblLayout w:type="fixed"/>
      </w:tblPr>
      <w:tblGrid>
        <w:gridCol w:w="1248"/>
        <w:gridCol w:w="1416"/>
        <w:gridCol w:w="1560"/>
        <w:gridCol w:w="1368"/>
        <w:gridCol w:w="1363"/>
        <w:gridCol w:w="1368"/>
        <w:gridCol w:w="115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rPr>
              <w:t>IT</w:t>
            </w:r>
            <w:r>
              <w:rPr>
                <w:color w:val="000000"/>
                <w:spacing w:val="0"/>
                <w:w w:val="100"/>
                <w:position w:val="0"/>
              </w:rPr>
              <w:t>产品分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15,681,579,106.74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14,505,033,893.24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内销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37,773,656,197.35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35,701,679,738.82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8,354.78%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8,834.73%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r>
    </w:tbl>
    <w:p>
      <w:pPr>
        <w:pStyle w:val="Style32"/>
        <w:keepNext w:val="0"/>
        <w:keepLines w:val="0"/>
        <w:widowControl w:val="0"/>
        <w:shd w:val="clear" w:color="auto" w:fill="auto"/>
        <w:bidi w:val="0"/>
        <w:spacing w:before="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458,063,353.60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409,062,925.80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消费电子分销业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rPr>
              <w:t>IT</w:t>
            </w:r>
            <w:r>
              <w:rPr>
                <w:color w:val="000000"/>
                <w:spacing w:val="0"/>
                <w:w w:val="100"/>
                <w:position w:val="0"/>
              </w:rPr>
              <w:t>产品分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458,063,353.60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409,062,925.80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446,772,527.98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399,583,416.95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bl>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变更口径的理由</w:t>
      </w:r>
    </w:p>
    <w:p>
      <w:pPr>
        <w:pStyle w:val="Style3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本报告期内上市公司收购神州控股下属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分销业务公司交易事项完成，本集团主营业务转为</w:t>
      </w:r>
      <w:r>
        <w:rPr>
          <w:rFonts w:ascii="Times New Roman" w:eastAsia="Times New Roman" w:hAnsi="Times New Roman" w:cs="Times New Roman"/>
          <w:color w:val="000000"/>
          <w:spacing w:val="0"/>
          <w:w w:val="100"/>
          <w:position w:val="0"/>
        </w:rPr>
        <w:t>IT</w:t>
      </w:r>
      <w:r>
        <w:rPr>
          <w:color w:val="000000"/>
          <w:spacing w:val="0"/>
          <w:w w:val="100"/>
          <w:position w:val="0"/>
        </w:rPr>
        <w:t>分销业务，因此本报告期内 营业收入分行业与分产品的数据统计口径发生调整。</w:t>
      </w:r>
    </w:p>
    <w:p>
      <w:pPr>
        <w:pStyle w:val="Style36"/>
        <w:keepNext/>
        <w:keepLines/>
        <w:widowControl w:val="0"/>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7"/>
      <w:bookmarkEnd w:id="128"/>
      <w:bookmarkEnd w:id="130"/>
    </w:p>
    <w:p>
      <w:pPr>
        <w:pStyle w:val="Style3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40,399,860,780.7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121,132,844.59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446,524,204.01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w:t>
            </w:r>
          </w:p>
        </w:tc>
      </w:tr>
    </w:tbl>
    <w:p>
      <w:pPr>
        <w:pStyle w:val="Style32"/>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本报告期内上市公司收购神州控股下属</w:t>
      </w:r>
      <w:r>
        <w:rPr>
          <w:color w:val="000000"/>
          <w:spacing w:val="0"/>
          <w:w w:val="100"/>
          <w:position w:val="0"/>
          <w:sz w:val="17"/>
          <w:szCs w:val="17"/>
        </w:rPr>
        <w:t>IT</w:t>
      </w:r>
      <w:r>
        <w:rPr>
          <w:color w:val="000000"/>
          <w:spacing w:val="0"/>
          <w:w w:val="100"/>
          <w:position w:val="0"/>
        </w:rPr>
        <w:t>分销业务公司交易事项完成，本集团主营业务转为</w:t>
      </w:r>
      <w:r>
        <w:rPr>
          <w:rFonts w:ascii="Times New Roman" w:eastAsia="Times New Roman" w:hAnsi="Times New Roman" w:cs="Times New Roman"/>
          <w:color w:val="000000"/>
          <w:spacing w:val="0"/>
          <w:w w:val="100"/>
          <w:position w:val="0"/>
        </w:rPr>
        <w:t>IT</w:t>
      </w:r>
      <w:r>
        <w:rPr>
          <w:color w:val="000000"/>
          <w:spacing w:val="0"/>
          <w:w w:val="100"/>
          <w:position w:val="0"/>
        </w:rPr>
        <w:t>分销业务，实物销售收入大幅 增长。</w:t>
      </w:r>
    </w:p>
    <w:p>
      <w:pPr>
        <w:pStyle w:val="Style36"/>
        <w:keepNext/>
        <w:keepLines/>
        <w:widowControl w:val="0"/>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1"/>
      <w:bookmarkEnd w:id="132"/>
      <w:bookmarkEnd w:id="134"/>
    </w:p>
    <w:p>
      <w:pPr>
        <w:pStyle w:val="Style32"/>
        <w:keepNext w:val="0"/>
        <w:keepLines w:val="0"/>
        <w:widowControl w:val="0"/>
        <w:shd w:val="clear" w:color="auto" w:fill="auto"/>
        <w:bidi w:val="0"/>
        <w:spacing w:before="0" w:after="38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48"/>
        <w:gridCol w:w="1555"/>
        <w:gridCol w:w="1138"/>
        <w:gridCol w:w="1560"/>
        <w:gridCol w:w="989"/>
        <w:gridCol w:w="883"/>
        <w:gridCol w:w="821"/>
        <w:gridCol w:w="142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合同订立公司 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合同订立对方名称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合同标的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合同签订日期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交易价格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截至报告期末的 执行情况</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深圳前海润林供应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移动通信基 站的相关设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合同执行完毕，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已全额回款</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深圳前海润林供应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分布式基站 的相关设备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9,625.53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合同执行完毕，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已全额回款</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5"/>
      <w:bookmarkEnd w:id="136"/>
      <w:bookmarkEnd w:id="13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47"/>
        <w:gridCol w:w="1560"/>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38,437,972,641.23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116,268,687.96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409,062,925.80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47"/>
        <w:gridCol w:w="1560"/>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消费电子分销业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23,932,938,747.99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rPr>
              <w:t>IT</w:t>
            </w:r>
            <w:r>
              <w:rPr>
                <w:color w:val="000000"/>
                <w:spacing w:val="0"/>
                <w:w w:val="100"/>
                <w:position w:val="0"/>
              </w:rPr>
              <w:t>产品分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14,505,033,893.24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116,268,687.96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409,062,925.80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分销业务公司交易事项完成，本集团主营业务转为</w:t>
      </w:r>
      <w:r>
        <w:rPr>
          <w:rFonts w:ascii="Times New Roman" w:eastAsia="Times New Roman" w:hAnsi="Times New Roman" w:cs="Times New Roman"/>
          <w:color w:val="000000"/>
          <w:spacing w:val="0"/>
          <w:w w:val="100"/>
          <w:position w:val="0"/>
        </w:rPr>
        <w:t>IT</w:t>
      </w:r>
      <w:r>
        <w:rPr>
          <w:color w:val="000000"/>
          <w:spacing w:val="0"/>
          <w:w w:val="100"/>
          <w:position w:val="0"/>
        </w:rPr>
        <w:t>分销业务。</w:t>
      </w:r>
    </w:p>
    <w:p>
      <w:pPr>
        <w:pStyle w:val="Style36"/>
        <w:keepNext/>
        <w:keepLines/>
        <w:widowControl w:val="0"/>
        <w:shd w:val="clear" w:color="auto" w:fill="auto"/>
        <w:tabs>
          <w:tab w:pos="493" w:val="left"/>
        </w:tabs>
        <w:bidi w:val="0"/>
        <w:spacing w:before="0" w:after="26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9"/>
      <w:bookmarkEnd w:id="140"/>
      <w:bookmarkEnd w:id="142"/>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2"/>
        <w:keepNext w:val="0"/>
        <w:keepLines w:val="0"/>
        <w:widowControl w:val="0"/>
        <w:shd w:val="clear" w:color="auto" w:fill="auto"/>
        <w:bidi w:val="0"/>
        <w:spacing w:before="0" w:after="680" w:line="317" w:lineRule="exact"/>
        <w:ind w:left="0" w:right="0" w:firstLine="380"/>
        <w:jc w:val="left"/>
      </w:pPr>
      <w:r>
        <w:rPr>
          <w:color w:val="000000"/>
          <w:spacing w:val="0"/>
          <w:w w:val="100"/>
          <w:position w:val="0"/>
        </w:rPr>
        <w:t>本报告期内上市公司收购神州控股下属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分销业务公司交易事项完成，将被收购公司</w:t>
      </w:r>
      <w:r>
        <w:rPr>
          <w:rFonts w:ascii="Times New Roman" w:eastAsia="Times New Roman" w:hAnsi="Times New Roman" w:cs="Times New Roman"/>
          <w:color w:val="000000"/>
          <w:spacing w:val="0"/>
          <w:w w:val="100"/>
          <w:position w:val="0"/>
        </w:rPr>
        <w:t>IT</w:t>
      </w:r>
      <w:r>
        <w:rPr>
          <w:color w:val="000000"/>
          <w:spacing w:val="0"/>
          <w:w w:val="100"/>
          <w:position w:val="0"/>
        </w:rPr>
        <w:t>分销业务第二季度至第四季度 利润并入本集团财务报表，导致本报告期收入与成本变动较大。报告期内合并范围变动详见本报告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八、合并范围的变更二</w:t>
      </w:r>
    </w:p>
    <w:p>
      <w:pPr>
        <w:pStyle w:val="Style36"/>
        <w:keepNext/>
        <w:keepLines/>
        <w:widowControl w:val="0"/>
        <w:shd w:val="clear" w:color="auto" w:fill="auto"/>
        <w:tabs>
          <w:tab w:pos="493" w:val="left"/>
        </w:tabs>
        <w:bidi w:val="0"/>
        <w:spacing w:before="0" w:after="26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3"/>
      <w:bookmarkEnd w:id="144"/>
      <w:bookmarkEnd w:id="146"/>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本报告期内上市公司收购神州控股下属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分销业务公司交易事项完成，本集团主营业务转为</w:t>
      </w:r>
      <w:r>
        <w:rPr>
          <w:color w:val="000000"/>
          <w:spacing w:val="0"/>
          <w:w w:val="100"/>
          <w:position w:val="0"/>
          <w:sz w:val="17"/>
          <w:szCs w:val="17"/>
        </w:rPr>
        <w:t>IT</w:t>
      </w:r>
      <w:r>
        <w:rPr>
          <w:color w:val="000000"/>
          <w:spacing w:val="0"/>
          <w:w w:val="100"/>
          <w:position w:val="0"/>
        </w:rPr>
        <w:t>分销业务，本报告期内营业 收入与成本分行业与分产品发生重大变化。其中，</w:t>
      </w:r>
      <w:r>
        <w:rPr>
          <w:color w:val="000000"/>
          <w:spacing w:val="0"/>
          <w:w w:val="100"/>
          <w:position w:val="0"/>
          <w:sz w:val="17"/>
          <w:szCs w:val="17"/>
        </w:rPr>
        <w:t>IT</w:t>
      </w:r>
      <w:r>
        <w:rPr>
          <w:color w:val="000000"/>
          <w:spacing w:val="0"/>
          <w:w w:val="100"/>
          <w:position w:val="0"/>
        </w:rPr>
        <w:t>分销行业本报告期实现营业收入</w:t>
      </w:r>
      <w:r>
        <w:rPr>
          <w:color w:val="000000"/>
          <w:spacing w:val="0"/>
          <w:w w:val="100"/>
          <w:position w:val="0"/>
          <w:sz w:val="17"/>
          <w:szCs w:val="17"/>
        </w:rPr>
        <w:t xml:space="preserve">404. </w:t>
      </w:r>
      <w:r>
        <w:rPr>
          <w:color w:val="000000"/>
          <w:spacing w:val="0"/>
          <w:w w:val="100"/>
          <w:position w:val="0"/>
          <w:sz w:val="17"/>
          <w:szCs w:val="17"/>
        </w:rPr>
        <w:t>01</w:t>
      </w:r>
      <w:r>
        <w:rPr>
          <w:color w:val="000000"/>
          <w:spacing w:val="0"/>
          <w:w w:val="100"/>
          <w:position w:val="0"/>
        </w:rPr>
        <w:t>亿，净利润</w:t>
      </w:r>
      <w:r>
        <w:rPr>
          <w:color w:val="000000"/>
          <w:spacing w:val="0"/>
          <w:w w:val="100"/>
          <w:position w:val="0"/>
          <w:sz w:val="17"/>
          <w:szCs w:val="17"/>
        </w:rPr>
        <w:t>3.43</w:t>
      </w:r>
      <w:r>
        <w:rPr>
          <w:color w:val="000000"/>
          <w:spacing w:val="0"/>
          <w:w w:val="100"/>
          <w:position w:val="0"/>
        </w:rPr>
        <w:t>亿。</w:t>
      </w:r>
      <w:r>
        <w:br w:type="page"/>
      </w:r>
    </w:p>
    <w:p>
      <w:pPr>
        <w:pStyle w:val="Style36"/>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7"/>
      <w:bookmarkEnd w:id="148"/>
      <w:bookmarkEnd w:id="15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10,677,452,535.32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6,881,078,391.06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16.98%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1,680,481,176.86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823,837,665.46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703,187,543.87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588,867,758.07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10,677,452,535.32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26.34%</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4"/>
        <w:gridCol w:w="482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20,182,440,810.66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36"/>
        <w:gridCol w:w="3168"/>
        <w:gridCol w:w="2323"/>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5,820,811,890.98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4,593,650,993.94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12.20%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3,698,549,944.23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3,214,727,504.09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2,854,700,477.42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20,182,440,810.66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53.61%</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454"/>
        <w:gridCol w:w="1637"/>
        <w:gridCol w:w="1464"/>
        <w:gridCol w:w="367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387"/>
        <w:gridCol w:w="1454"/>
        <w:gridCol w:w="1637"/>
        <w:gridCol w:w="1464"/>
        <w:gridCol w:w="3677"/>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1,177,764,768.70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21,453,421.67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 销业务公司交易事项完成，本报告期数据包含 被收购公司的销售费用。</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292,592,064.40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45,579,568.14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 销业务公司交易事项完成，本报告期数据包含 被收购公司的管理费用。</w:t>
            </w:r>
          </w:p>
        </w:tc>
      </w:tr>
      <w:tr>
        <w:trPr>
          <w:trHeight w:val="157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416,764,225.02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-211,125.52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197,501.16%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主要原因是上市公司收购神州控股下属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 销业务公司交易事项完成，本报告期数据包含 被收购公司第二至第四季度银行借款利息支出 和汇兑亏损，以及上市公司为收购神州控股下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分销业务公司的银行借款利息支出。</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2395"/>
        <w:gridCol w:w="2390"/>
        <w:gridCol w:w="217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45,560,644,267.81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472,385,516.07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9,544.80%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45,214,762,151.55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485,887,872.62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9,205.60%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345,882,116.26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-13,502,356.55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2,661.64%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4,087,986,749.44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151,615,000.24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2,596.29%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5,766,655,688.98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49,392,058.24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11,575.27%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-1,678,668,939.54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102,222,942.00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10,892,670,585.59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8,627,772,300.83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3,577,559.04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241,063.66%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2,264,898,284.76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-3,577,559.04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63,408.48%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958,568,419.07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85,143,026.41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1,025.83%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704" w:val="left"/>
        </w:tabs>
        <w:bidi w:val="0"/>
        <w:spacing w:before="0" w:after="0" w:line="319" w:lineRule="exact"/>
        <w:ind w:left="0" w:right="0"/>
        <w:jc w:val="both"/>
      </w:pPr>
      <w:bookmarkStart w:id="163" w:name="bookmark163"/>
      <w:r>
        <w:rPr>
          <w:rFonts w:ascii="Times New Roman" w:eastAsia="Times New Roman" w:hAnsi="Times New Roman" w:cs="Times New Roman"/>
          <w:color w:val="000000"/>
          <w:spacing w:val="0"/>
          <w:w w:val="100"/>
          <w:position w:val="0"/>
        </w:rPr>
        <w:t>1</w:t>
      </w:r>
      <w:bookmarkEnd w:id="163"/>
      <w:r>
        <w:rPr>
          <w:color w:val="000000"/>
          <w:spacing w:val="0"/>
          <w:w w:val="100"/>
          <w:position w:val="0"/>
        </w:rPr>
        <w:t>、</w:t>
        <w:tab/>
        <w:t>经营活动产生的现金流量净额同比增加</w:t>
      </w:r>
      <w:r>
        <w:rPr>
          <w:rFonts w:ascii="Times New Roman" w:eastAsia="Times New Roman" w:hAnsi="Times New Roman" w:cs="Times New Roman"/>
          <w:color w:val="000000"/>
          <w:spacing w:val="0"/>
          <w:w w:val="100"/>
          <w:position w:val="0"/>
        </w:rPr>
        <w:t>2,661.64%</w:t>
      </w:r>
      <w:r>
        <w:rPr>
          <w:color w:val="000000"/>
          <w:spacing w:val="0"/>
          <w:w w:val="100"/>
          <w:position w:val="0"/>
        </w:rPr>
        <w:t>，主要是本报告期内上市公司收购神州控股下属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 交易事项完成，本集团主营业务转为</w:t>
      </w:r>
      <w:r>
        <w:rPr>
          <w:rFonts w:ascii="Times New Roman" w:eastAsia="Times New Roman" w:hAnsi="Times New Roman" w:cs="Times New Roman"/>
          <w:color w:val="000000"/>
          <w:spacing w:val="0"/>
          <w:w w:val="100"/>
          <w:position w:val="0"/>
        </w:rPr>
        <w:t>IT</w:t>
      </w:r>
      <w:r>
        <w:rPr>
          <w:color w:val="000000"/>
          <w:spacing w:val="0"/>
          <w:w w:val="100"/>
          <w:position w:val="0"/>
        </w:rPr>
        <w:t>分销业务，本报告期内经营活动产生的现金流量净额含被收购公司第二季度至第四 季度经营性现金流净额。</w:t>
      </w:r>
    </w:p>
    <w:p>
      <w:pPr>
        <w:pStyle w:val="Style32"/>
        <w:keepNext w:val="0"/>
        <w:keepLines w:val="0"/>
        <w:widowControl w:val="0"/>
        <w:shd w:val="clear" w:color="auto" w:fill="auto"/>
        <w:tabs>
          <w:tab w:pos="704" w:val="left"/>
        </w:tabs>
        <w:bidi w:val="0"/>
        <w:spacing w:before="0" w:after="0" w:line="326" w:lineRule="exact"/>
        <w:ind w:left="0" w:right="0"/>
        <w:jc w:val="both"/>
      </w:pPr>
      <w:bookmarkStart w:id="164" w:name="bookmark164"/>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投资活动产生的现金流量净额同比减少</w:t>
      </w:r>
      <w:r>
        <w:rPr>
          <w:rFonts w:ascii="Times New Roman" w:eastAsia="Times New Roman" w:hAnsi="Times New Roman" w:cs="Times New Roman"/>
          <w:color w:val="000000"/>
          <w:spacing w:val="0"/>
          <w:w w:val="100"/>
          <w:position w:val="0"/>
        </w:rPr>
        <w:t>-1,742.16%</w:t>
      </w:r>
      <w:r>
        <w:rPr>
          <w:color w:val="000000"/>
          <w:spacing w:val="0"/>
          <w:w w:val="100"/>
          <w:position w:val="0"/>
        </w:rPr>
        <w:t>，主要是本报告期内上市公司收购神州控股下属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 支付现金。</w:t>
      </w:r>
    </w:p>
    <w:p>
      <w:pPr>
        <w:pStyle w:val="Style32"/>
        <w:keepNext w:val="0"/>
        <w:keepLines w:val="0"/>
        <w:widowControl w:val="0"/>
        <w:shd w:val="clear" w:color="auto" w:fill="auto"/>
        <w:tabs>
          <w:tab w:pos="704" w:val="left"/>
        </w:tabs>
        <w:bidi w:val="0"/>
        <w:spacing w:before="0" w:after="0" w:line="326" w:lineRule="exact"/>
        <w:ind w:left="0" w:right="0"/>
        <w:jc w:val="both"/>
      </w:pPr>
      <w:bookmarkStart w:id="165" w:name="bookmark165"/>
      <w:r>
        <w:rPr>
          <w:rFonts w:ascii="Times New Roman" w:eastAsia="Times New Roman" w:hAnsi="Times New Roman" w:cs="Times New Roman"/>
          <w:color w:val="000000"/>
          <w:spacing w:val="0"/>
          <w:w w:val="100"/>
          <w:position w:val="0"/>
        </w:rPr>
        <w:t>3</w:t>
      </w:r>
      <w:bookmarkEnd w:id="165"/>
      <w:r>
        <w:rPr>
          <w:color w:val="000000"/>
          <w:spacing w:val="0"/>
          <w:w w:val="100"/>
          <w:position w:val="0"/>
        </w:rPr>
        <w:t>、</w:t>
        <w:tab/>
        <w:t>筹资活动产生的现金流量净额同比增加</w:t>
      </w:r>
      <w:r>
        <w:rPr>
          <w:rFonts w:ascii="Times New Roman" w:eastAsia="Times New Roman" w:hAnsi="Times New Roman" w:cs="Times New Roman"/>
          <w:color w:val="000000"/>
          <w:spacing w:val="0"/>
          <w:w w:val="100"/>
          <w:position w:val="0"/>
        </w:rPr>
        <w:t>63,408.48%</w:t>
      </w:r>
      <w:r>
        <w:rPr>
          <w:color w:val="000000"/>
          <w:spacing w:val="0"/>
          <w:w w:val="100"/>
          <w:position w:val="0"/>
        </w:rPr>
        <w:t>，主要是本报告期内上市公司为收购神州控股下属</w:t>
      </w:r>
      <w:r>
        <w:rPr>
          <w:color w:val="000000"/>
          <w:spacing w:val="0"/>
          <w:w w:val="100"/>
          <w:position w:val="0"/>
          <w:sz w:val="17"/>
          <w:szCs w:val="17"/>
        </w:rPr>
        <w:t>IT</w:t>
      </w:r>
      <w:r>
        <w:rPr>
          <w:color w:val="000000"/>
          <w:spacing w:val="0"/>
          <w:w w:val="100"/>
          <w:position w:val="0"/>
        </w:rPr>
        <w:t>分销业务公 司非公开发行股票收到现金。</w:t>
      </w:r>
    </w:p>
    <w:p>
      <w:pPr>
        <w:pStyle w:val="Style32"/>
        <w:keepNext w:val="0"/>
        <w:keepLines w:val="0"/>
        <w:widowControl w:val="0"/>
        <w:shd w:val="clear" w:color="auto" w:fill="auto"/>
        <w:tabs>
          <w:tab w:pos="354" w:val="left"/>
        </w:tabs>
        <w:bidi w:val="0"/>
        <w:spacing w:before="0" w:after="0" w:line="326" w:lineRule="exact"/>
        <w:ind w:left="0" w:right="0"/>
        <w:jc w:val="both"/>
      </w:pPr>
      <w:bookmarkStart w:id="166" w:name="bookmark166"/>
      <w:r>
        <w:rPr>
          <w:rFonts w:ascii="Times New Roman" w:eastAsia="Times New Roman" w:hAnsi="Times New Roman" w:cs="Times New Roman"/>
          <w:color w:val="000000"/>
          <w:spacing w:val="0"/>
          <w:w w:val="100"/>
          <w:position w:val="0"/>
        </w:rPr>
        <w:t>4</w:t>
      </w:r>
      <w:bookmarkEnd w:id="166"/>
      <w:r>
        <w:rPr>
          <w:color w:val="000000"/>
          <w:spacing w:val="0"/>
          <w:w w:val="100"/>
          <w:position w:val="0"/>
        </w:rPr>
        <w:t>、</w:t>
        <w:tab/>
        <w:t>现金及现金等价物净额增加额同比增加</w:t>
      </w:r>
      <w:r>
        <w:rPr>
          <w:rFonts w:ascii="Times New Roman" w:eastAsia="Times New Roman" w:hAnsi="Times New Roman" w:cs="Times New Roman"/>
          <w:color w:val="000000"/>
          <w:spacing w:val="0"/>
          <w:w w:val="100"/>
          <w:position w:val="0"/>
        </w:rPr>
        <w:t>1,025.83%</w:t>
      </w:r>
      <w:r>
        <w:rPr>
          <w:color w:val="000000"/>
          <w:spacing w:val="0"/>
          <w:w w:val="100"/>
          <w:position w:val="0"/>
        </w:rPr>
        <w:t>，主要原因详见以上经营、投资、筹资活动产生的现金流量净额</w:t>
        <w:br w:type="page"/>
      </w:r>
      <w:r>
        <w:rPr>
          <w:color w:val="000000"/>
          <w:spacing w:val="0"/>
          <w:w w:val="100"/>
          <w:position w:val="0"/>
        </w:rPr>
        <w:t>的变动。</w:t>
      </w:r>
    </w:p>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三</w:t>
      </w:r>
      <w:bookmarkEnd w:id="169"/>
      <w:r>
        <w:rPr>
          <w:color w:val="000000"/>
          <w:spacing w:val="0"/>
          <w:w w:val="100"/>
          <w:position w:val="0"/>
        </w:rPr>
        <w:t>、非主营业务分析</w:t>
      </w:r>
      <w:bookmarkEnd w:id="167"/>
      <w:bookmarkEnd w:id="168"/>
      <w:bookmarkEnd w:id="170"/>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597"/>
        <w:gridCol w:w="19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253,985,139.25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主要系上市公司出售子公司获得 投资收益</w:t>
            </w:r>
            <w:r>
              <w:rPr>
                <w:rFonts w:ascii="Times New Roman" w:eastAsia="Times New Roman" w:hAnsi="Times New Roman" w:cs="Times New Roman"/>
                <w:color w:val="000000"/>
                <w:spacing w:val="0"/>
                <w:w w:val="100"/>
                <w:position w:val="0"/>
              </w:rPr>
              <w:t>20,031.29</w:t>
            </w:r>
            <w:r>
              <w:rPr>
                <w:color w:val="000000"/>
                <w:spacing w:val="0"/>
                <w:w w:val="100"/>
                <w:position w:val="0"/>
              </w:rPr>
              <w:t>万元，以及 理财产品、货币基金、衍生品投 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除上市公司出售子公司 为一次性收益外，其余 具有可持续性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10,827,141.79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主要是未到期衍生品的评估收益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-174,279,544.40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 成，本期数据包含收购公司积压 存货售出所带来的存货削价转回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58,456,045.58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部分税收返还具有可持 续性</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21,686,032.34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主要是核销资产损失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四</w:t>
      </w:r>
      <w:bookmarkEnd w:id="173"/>
      <w:r>
        <w:rPr>
          <w:color w:val="000000"/>
          <w:spacing w:val="0"/>
          <w:w w:val="100"/>
          <w:position w:val="0"/>
        </w:rPr>
        <w:t>、资产及负债状况</w:t>
      </w:r>
      <w:bookmarkEnd w:id="171"/>
      <w:bookmarkEnd w:id="172"/>
      <w:bookmarkEnd w:id="174"/>
    </w:p>
    <w:p>
      <w:pPr>
        <w:pStyle w:val="Style36"/>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325"/>
        <w:gridCol w:w="941"/>
        <w:gridCol w:w="1195"/>
        <w:gridCol w:w="931"/>
        <w:gridCol w:w="994"/>
        <w:gridCol w:w="29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1,143,255,725.93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114,346,440.09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期末余额中含被收购公司货币资金。</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6,621,833,966.99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23,164,403.20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收购前后公司业务发生重大变化。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329,553,795.03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4,580,372,081.18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99,185,528.49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184,501,128.93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12,710,447.87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56,427,539.48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325"/>
        <w:gridCol w:w="941"/>
        <w:gridCol w:w="1195"/>
        <w:gridCol w:w="931"/>
        <w:gridCol w:w="994"/>
        <w:gridCol w:w="29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214,139,948.08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55,791,316.08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本报告期数据包含被收购公司的固定 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52,615,806.37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4,540,116.92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611,728,930.98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可供出售金融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93,253,233.40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10,349,696.56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2,336,173.35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206,186,253.72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261,583,360.11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2,947,467.00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482,918,206.46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101,754,407.25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本报告期数据包含被收购公司的其他 流动资产。</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4,370,926,586.94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本报告期数据包含被收购公司的短期 借款。</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主要是本报告期内上市公司为收购神 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分销业务公司向银行 借款</w:t>
            </w:r>
            <w:r>
              <w:rPr>
                <w:rFonts w:ascii="Times New Roman" w:eastAsia="Times New Roman" w:hAnsi="Times New Roman" w:cs="Times New Roman"/>
                <w:color w:val="000000"/>
                <w:spacing w:val="0"/>
                <w:w w:val="100"/>
                <w:position w:val="0"/>
              </w:rPr>
              <w:t>18.1</w:t>
            </w:r>
            <w:r>
              <w:rPr>
                <w:color w:val="000000"/>
                <w:spacing w:val="0"/>
                <w:w w:val="100"/>
                <w:position w:val="0"/>
              </w:rPr>
              <w:t>亿，其中</w:t>
            </w:r>
            <w:r>
              <w:rPr>
                <w:rFonts w:ascii="Times New Roman" w:eastAsia="Times New Roman" w:hAnsi="Times New Roman" w:cs="Times New Roman"/>
                <w:color w:val="000000"/>
                <w:spacing w:val="0"/>
                <w:w w:val="100"/>
                <w:position w:val="0"/>
              </w:rPr>
              <w:t>14.6</w:t>
            </w:r>
            <w:r>
              <w:rPr>
                <w:color w:val="000000"/>
                <w:spacing w:val="0"/>
                <w:w w:val="100"/>
                <w:position w:val="0"/>
              </w:rPr>
              <w:t>亿报表列示 于长期借款。</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2,157,674,329.58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2,448,331.51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收购前后公司业务发生重大变化。</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2,429,264,273.53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收购前后公司业务发生重大变化。</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3,770,597,215.81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30,225,580.20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主要原因是上市公司收购神州控股下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收购前后公司业务发生重大变化。</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942,515,953.31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193,391,843.67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-37.64%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主要原因是上市公司收购神州控股下</w:t>
            </w:r>
          </w:p>
        </w:tc>
      </w:tr>
    </w:tbl>
    <w:p>
      <w:pPr>
        <w:spacing w:lineRule="exact" w:line="1"/>
        <w:rPr>
          <w:sz w:val="2"/>
          <w:szCs w:val="2"/>
        </w:rPr>
      </w:pPr>
      <w:r>
        <w:br w:type="page"/>
      </w:r>
    </w:p>
    <w:tbl>
      <w:tblPr>
        <w:tblOverlap w:val="never"/>
        <w:jc w:val="center"/>
        <w:tblLayout w:type="fixed"/>
      </w:tblPr>
      <w:tblGrid>
        <w:gridCol w:w="1282"/>
        <w:gridCol w:w="1325"/>
        <w:gridCol w:w="941"/>
        <w:gridCol w:w="1195"/>
        <w:gridCol w:w="931"/>
        <w:gridCol w:w="994"/>
        <w:gridCol w:w="29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分销业务公司交易事项完成， 收购前后公司业务发生重大变化。</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352,866,983.25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7,331,856.12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286,970,010.25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7,013,386.03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216,599,406.16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19,340,782.11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2,033,503.71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33,473,705.67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1,522,094.05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递延所得税负 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131,798,035.36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0"/>
        <w:gridCol w:w="1214"/>
        <w:gridCol w:w="1214"/>
        <w:gridCol w:w="955"/>
        <w:gridCol w:w="1210"/>
        <w:gridCol w:w="1214"/>
        <w:gridCol w:w="1411"/>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 计量且其变动 计入当期损益 的金融资产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5,327,141.79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35,889,723.66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6,269,594.09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31,503,233.40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7,210,245.62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35,889,723.66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6,269,594.09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36,830,375.19</w:t>
            </w:r>
          </w:p>
        </w:tc>
      </w:tr>
      <w:tr>
        <w:trPr>
          <w:trHeight w:val="65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24"/>
        <w:gridCol w:w="1210"/>
        <w:gridCol w:w="1214"/>
        <w:gridCol w:w="1214"/>
        <w:gridCol w:w="955"/>
        <w:gridCol w:w="1210"/>
        <w:gridCol w:w="1214"/>
        <w:gridCol w:w="1411"/>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7,210,245.62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35,889,723.66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6,269,594.09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36,830,375.19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after="26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p>
      <w:pPr>
        <w:pStyle w:val="Style32"/>
        <w:keepNext w:val="0"/>
        <w:keepLines w:val="0"/>
        <w:widowControl w:val="0"/>
        <w:shd w:val="clear" w:color="auto" w:fill="auto"/>
        <w:tabs>
          <w:tab w:pos="709" w:val="left"/>
        </w:tabs>
        <w:bidi w:val="0"/>
        <w:spacing w:before="0" w:after="0" w:line="362" w:lineRule="exact"/>
        <w:ind w:left="0" w:right="0" w:firstLine="380"/>
        <w:jc w:val="left"/>
      </w:pPr>
      <w:bookmarkStart w:id="187" w:name="bookmark187"/>
      <w:r>
        <w:rPr>
          <w:color w:val="000000"/>
          <w:spacing w:val="0"/>
          <w:w w:val="100"/>
          <w:position w:val="0"/>
          <w:sz w:val="17"/>
          <w:szCs w:val="17"/>
        </w:rPr>
        <w:t>1</w:t>
      </w:r>
      <w:bookmarkEnd w:id="187"/>
      <w:r>
        <w:rPr>
          <w:color w:val="000000"/>
          <w:spacing w:val="0"/>
          <w:w w:val="100"/>
          <w:position w:val="0"/>
        </w:rPr>
        <w:t>、</w:t>
        <w:tab/>
        <w:t>因未决诉讼被冻结的货币资金及保函保证金合计</w:t>
      </w:r>
      <w:r>
        <w:rPr>
          <w:rFonts w:ascii="Times New Roman" w:eastAsia="Times New Roman" w:hAnsi="Times New Roman" w:cs="Times New Roman"/>
          <w:color w:val="000000"/>
          <w:spacing w:val="0"/>
          <w:w w:val="100"/>
          <w:position w:val="0"/>
        </w:rPr>
        <w:t>70,340,866.77</w:t>
      </w:r>
      <w:r>
        <w:rPr>
          <w:color w:val="000000"/>
          <w:spacing w:val="0"/>
          <w:w w:val="100"/>
          <w:position w:val="0"/>
        </w:rPr>
        <w:t>元。其中，与寰球实业（安徽）有限公司未决诉讼被 冻结的</w:t>
      </w:r>
      <w:r>
        <w:rPr>
          <w:rFonts w:ascii="Times New Roman" w:eastAsia="Times New Roman" w:hAnsi="Times New Roman" w:cs="Times New Roman"/>
          <w:color w:val="000000"/>
          <w:spacing w:val="0"/>
          <w:w w:val="100"/>
          <w:position w:val="0"/>
        </w:rPr>
        <w:t>6500</w:t>
      </w:r>
      <w:r>
        <w:rPr>
          <w:color w:val="000000"/>
          <w:spacing w:val="0"/>
          <w:w w:val="100"/>
          <w:position w:val="0"/>
        </w:rPr>
        <w:t>万货币资金，详情见本报告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第十一节财务报告、十四、承诺及或有事项、</w:t>
      </w:r>
      <w:r>
        <w:rPr>
          <w:rFonts w:ascii="Times New Roman" w:eastAsia="Times New Roman" w:hAnsi="Times New Roman" w:cs="Times New Roman"/>
          <w:color w:val="000000"/>
          <w:spacing w:val="0"/>
          <w:w w:val="100"/>
          <w:position w:val="0"/>
        </w:rPr>
        <w:t>2.</w:t>
      </w:r>
      <w:r>
        <w:rPr>
          <w:color w:val="000000"/>
          <w:spacing w:val="0"/>
          <w:w w:val="100"/>
          <w:position w:val="0"/>
        </w:rPr>
        <w:t>或有事项、（</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 在的重要或有事项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704" w:val="left"/>
        </w:tabs>
        <w:bidi w:val="0"/>
        <w:spacing w:before="0" w:after="380" w:line="365" w:lineRule="exact"/>
        <w:ind w:left="0" w:right="0" w:firstLine="380"/>
        <w:jc w:val="left"/>
      </w:pPr>
      <w:bookmarkStart w:id="188" w:name="bookmark188"/>
      <w:r>
        <w:rPr>
          <w:color w:val="000000"/>
          <w:spacing w:val="0"/>
          <w:w w:val="100"/>
          <w:position w:val="0"/>
          <w:sz w:val="17"/>
          <w:szCs w:val="17"/>
        </w:rPr>
        <w:t>2</w:t>
      </w:r>
      <w:bookmarkEnd w:id="188"/>
      <w:r>
        <w:rPr>
          <w:color w:val="000000"/>
          <w:spacing w:val="0"/>
          <w:w w:val="100"/>
          <w:position w:val="0"/>
        </w:rPr>
        <w:t>、</w:t>
        <w:tab/>
        <w:t>本公司为购买神州控股下属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分销业务公司，自北京银行股份有限公司中关村科技园支行借入的</w:t>
      </w:r>
      <w:r>
        <w:rPr>
          <w:rFonts w:ascii="Times New Roman" w:eastAsia="Times New Roman" w:hAnsi="Times New Roman" w:cs="Times New Roman"/>
          <w:color w:val="000000"/>
          <w:spacing w:val="0"/>
          <w:w w:val="100"/>
          <w:position w:val="0"/>
        </w:rPr>
        <w:t>5</w:t>
      </w:r>
      <w:r>
        <w:rPr>
          <w:color w:val="000000"/>
          <w:spacing w:val="0"/>
          <w:w w:val="100"/>
          <w:position w:val="0"/>
        </w:rPr>
        <w:t>年期长期借款， 本公司将持有的神码中国</w:t>
      </w:r>
      <w:r>
        <w:rPr>
          <w:rFonts w:ascii="Times New Roman" w:eastAsia="Times New Roman" w:hAnsi="Times New Roman" w:cs="Times New Roman"/>
          <w:color w:val="000000"/>
          <w:spacing w:val="0"/>
          <w:w w:val="100"/>
          <w:position w:val="0"/>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rPr>
        <w:t>100%</w:t>
      </w:r>
      <w:r>
        <w:rPr>
          <w:color w:val="000000"/>
          <w:spacing w:val="0"/>
          <w:w w:val="100"/>
          <w:position w:val="0"/>
        </w:rPr>
        <w:t>股权、神码广州</w:t>
      </w:r>
      <w:r>
        <w:rPr>
          <w:rFonts w:ascii="Times New Roman" w:eastAsia="Times New Roman" w:hAnsi="Times New Roman" w:cs="Times New Roman"/>
          <w:color w:val="000000"/>
          <w:spacing w:val="0"/>
          <w:w w:val="100"/>
          <w:position w:val="0"/>
        </w:rPr>
        <w:t>100%</w:t>
      </w:r>
      <w:r>
        <w:rPr>
          <w:color w:val="000000"/>
          <w:spacing w:val="0"/>
          <w:w w:val="100"/>
          <w:position w:val="0"/>
        </w:rPr>
        <w:t>股权进行质押。</w:t>
      </w:r>
    </w:p>
    <w:p>
      <w:pPr>
        <w:pStyle w:val="Style28"/>
        <w:keepNext/>
        <w:keepLines/>
        <w:widowControl w:val="0"/>
        <w:shd w:val="clear" w:color="auto" w:fill="auto"/>
        <w:bidi w:val="0"/>
        <w:spacing w:before="0" w:after="380" w:line="240" w:lineRule="auto"/>
        <w:ind w:left="0" w:right="0" w:firstLine="0"/>
        <w:jc w:val="both"/>
      </w:pPr>
      <w:bookmarkStart w:id="189" w:name="bookmark189"/>
      <w:bookmarkStart w:id="190" w:name="bookmark190"/>
      <w:bookmarkStart w:id="191" w:name="bookmark191"/>
      <w:bookmarkStart w:id="192" w:name="bookmark192"/>
      <w:r>
        <w:rPr>
          <w:color w:val="000000"/>
          <w:spacing w:val="0"/>
          <w:w w:val="100"/>
          <w:position w:val="0"/>
        </w:rPr>
        <w:t>五</w:t>
      </w:r>
      <w:bookmarkEnd w:id="191"/>
      <w:r>
        <w:rPr>
          <w:color w:val="000000"/>
          <w:spacing w:val="0"/>
          <w:w w:val="100"/>
          <w:position w:val="0"/>
        </w:rPr>
        <w:t>、投资状况</w:t>
      </w:r>
      <w:bookmarkEnd w:id="189"/>
      <w:bookmarkEnd w:id="190"/>
      <w:bookmarkEnd w:id="192"/>
    </w:p>
    <w:p>
      <w:pPr>
        <w:pStyle w:val="Style36"/>
        <w:keepNext/>
        <w:keepLines/>
        <w:widowControl w:val="0"/>
        <w:shd w:val="clear" w:color="auto" w:fill="auto"/>
        <w:bidi w:val="0"/>
        <w:spacing w:before="0" w:after="20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32"/>
        <w:keepNext w:val="0"/>
        <w:keepLines w:val="0"/>
        <w:widowControl w:val="0"/>
        <w:shd w:val="clear" w:color="auto" w:fill="auto"/>
        <w:bidi w:val="0"/>
        <w:spacing w:before="0" w:after="420" w:line="36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56,427,539.48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50" w:right="1109" w:bottom="1465" w:left="1105" w:header="0" w:footer="3" w:gutter="0"/>
          <w:cols w:space="720"/>
          <w:noEndnote/>
          <w:rtlGutter w:val="0"/>
          <w:docGrid w:linePitch="360"/>
        </w:sectPr>
      </w:pPr>
    </w:p>
    <w:p>
      <w:pPr>
        <w:pStyle w:val="Style36"/>
        <w:keepNext/>
        <w:keepLines/>
        <w:widowControl w:val="0"/>
        <w:shd w:val="clear" w:color="auto" w:fill="auto"/>
        <w:bidi w:val="0"/>
        <w:spacing w:before="0" w:after="30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13200" w:right="0" w:firstLine="0"/>
        <w:jc w:val="left"/>
      </w:pPr>
      <w:r>
        <w:rPr>
          <w:color w:val="000000"/>
          <w:spacing w:val="0"/>
          <w:w w:val="100"/>
          <w:position w:val="0"/>
        </w:rPr>
        <w:t>单位：元</w:t>
      </w:r>
    </w:p>
    <w:tbl>
      <w:tblPr>
        <w:tblOverlap w:val="never"/>
        <w:jc w:val="center"/>
        <w:tblLayout w:type="fixed"/>
      </w:tblPr>
      <w:tblGrid>
        <w:gridCol w:w="970"/>
        <w:gridCol w:w="989"/>
        <w:gridCol w:w="850"/>
        <w:gridCol w:w="1421"/>
        <w:gridCol w:w="989"/>
        <w:gridCol w:w="854"/>
        <w:gridCol w:w="638"/>
        <w:gridCol w:w="922"/>
        <w:gridCol w:w="850"/>
        <w:gridCol w:w="994"/>
        <w:gridCol w:w="850"/>
        <w:gridCol w:w="1416"/>
        <w:gridCol w:w="566"/>
        <w:gridCol w:w="1061"/>
        <w:gridCol w:w="792"/>
      </w:tblGrid>
      <w:tr>
        <w:trPr>
          <w:trHeight w:val="79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被投资公司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本期投资盈亏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 涉诉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披露日期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神码中国、 神码上海、 神码广州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自筹和非 公开发行 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神州控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股权产权已 全部过户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343,525,139.58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巨潮资讯 网</w:t>
            </w:r>
          </w:p>
        </w:tc>
      </w:tr>
      <w:tr>
        <w:trPr>
          <w:trHeight w:val="14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云科信息服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云计算应用 服务、互联 网信息服 务、软件开 发、系统集 成等领域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5,471,500.00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云科信 息技术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股权产权已 全部过户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-1,901,655.46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巨潮资讯 网</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4,015,471,500.00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341,623,484.12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bl>
    <w:p>
      <w:pPr>
        <w:widowControl w:val="0"/>
        <w:spacing w:after="539" w:line="1" w:lineRule="exact"/>
      </w:pPr>
    </w:p>
    <w:p>
      <w:pPr>
        <w:pStyle w:val="Style36"/>
        <w:keepNext/>
        <w:keepLines/>
        <w:widowControl w:val="0"/>
        <w:shd w:val="clear" w:color="auto" w:fill="auto"/>
        <w:bidi w:val="0"/>
        <w:spacing w:before="0" w:after="30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、报告期内正在进行的重大的非股权投资情况</w:t>
      </w:r>
      <w:bookmarkEnd w:id="201"/>
      <w:bookmarkEnd w:id="202"/>
      <w:bookmarkEnd w:id="204"/>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6"/>
        <w:keepNext/>
        <w:keepLines/>
        <w:widowControl w:val="0"/>
        <w:shd w:val="clear" w:color="auto" w:fill="auto"/>
        <w:bidi w:val="0"/>
        <w:spacing w:before="0" w:after="30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、金融资产投资</w:t>
      </w:r>
      <w:bookmarkEnd w:id="205"/>
      <w:bookmarkEnd w:id="206"/>
      <w:bookmarkEnd w:id="208"/>
    </w:p>
    <w:p>
      <w:pPr>
        <w:pStyle w:val="Style36"/>
        <w:keepNext/>
        <w:keepLines/>
        <w:widowControl w:val="0"/>
        <w:numPr>
          <w:ilvl w:val="0"/>
          <w:numId w:val="5"/>
        </w:numPr>
        <w:shd w:val="clear" w:color="auto" w:fill="auto"/>
        <w:bidi w:val="0"/>
        <w:spacing w:before="0" w:after="300" w:line="240" w:lineRule="auto"/>
        <w:ind w:left="0" w:right="0" w:firstLine="0"/>
        <w:jc w:val="left"/>
      </w:pPr>
      <w:bookmarkStart w:id="205" w:name="bookmark205"/>
      <w:bookmarkStart w:id="206" w:name="bookmark206"/>
      <w:bookmarkStart w:id="209" w:name="bookmark209"/>
      <w:bookmarkStart w:id="210" w:name="bookmark210"/>
      <w:bookmarkEnd w:id="209"/>
      <w:r>
        <w:rPr>
          <w:color w:val="000000"/>
          <w:spacing w:val="0"/>
          <w:w w:val="100"/>
          <w:position w:val="0"/>
        </w:rPr>
        <w:t>证券投资情况</w:t>
      </w:r>
      <w:bookmarkEnd w:id="205"/>
      <w:bookmarkEnd w:id="206"/>
      <w:bookmarkEnd w:id="21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13200" w:right="0" w:firstLine="0"/>
        <w:jc w:val="left"/>
      </w:pPr>
      <w:r>
        <w:rPr>
          <w:color w:val="000000"/>
          <w:spacing w:val="0"/>
          <w:w w:val="100"/>
          <w:position w:val="0"/>
        </w:rPr>
        <w:t>单位：元</w:t>
      </w:r>
    </w:p>
    <w:tbl>
      <w:tblPr>
        <w:tblOverlap w:val="never"/>
        <w:jc w:val="center"/>
        <w:tblLayout w:type="fixed"/>
      </w:tblPr>
      <w:tblGrid>
        <w:gridCol w:w="691"/>
        <w:gridCol w:w="682"/>
        <w:gridCol w:w="1013"/>
        <w:gridCol w:w="1277"/>
        <w:gridCol w:w="682"/>
        <w:gridCol w:w="682"/>
        <w:gridCol w:w="1330"/>
        <w:gridCol w:w="1416"/>
        <w:gridCol w:w="1277"/>
        <w:gridCol w:w="1133"/>
        <w:gridCol w:w="1133"/>
        <w:gridCol w:w="1133"/>
        <w:gridCol w:w="682"/>
        <w:gridCol w:w="701"/>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会计计 量模式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right"/>
            </w:pPr>
            <w:r>
              <w:rPr>
                <w:color w:val="000000"/>
                <w:spacing w:val="0"/>
                <w:w w:val="100"/>
                <w:position w:val="0"/>
              </w:rPr>
              <w:t>期初账 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期末账面价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资金来 源</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境内外 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29,220,402.41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35,889,723.66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6,269,594.09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1,422,478.80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31,503,233.40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可供出 售金融 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自有资 金</w:t>
            </w:r>
          </w:p>
        </w:tc>
      </w:tr>
      <w:tr>
        <w:trPr>
          <w:trHeight w:val="322"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期末持有的其他证券投资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322"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29,220,402.41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35,889,723.66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6,269,594.09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1,422,478.80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31,503,233.40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55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证券投资审批董事会公告披 露日期</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566"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证券投资审批股东会公告披 露日期</w:t>
            </w: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bl>
    <w:p>
      <w:pPr>
        <w:widowControl w:val="0"/>
        <w:spacing w:after="299" w:line="1" w:lineRule="exact"/>
      </w:pPr>
    </w:p>
    <w:p>
      <w:pPr>
        <w:pStyle w:val="Style36"/>
        <w:keepNext/>
        <w:keepLines/>
        <w:widowControl w:val="0"/>
        <w:numPr>
          <w:ilvl w:val="0"/>
          <w:numId w:val="5"/>
        </w:numPr>
        <w:shd w:val="clear" w:color="auto" w:fill="auto"/>
        <w:bidi w:val="0"/>
        <w:spacing w:before="0" w:after="30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衍生品投资情况</w:t>
      </w:r>
      <w:bookmarkEnd w:id="211"/>
      <w:bookmarkEnd w:id="212"/>
      <w:bookmarkEnd w:id="21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单位：万元</w:t>
      </w:r>
    </w:p>
    <w:tbl>
      <w:tblPr>
        <w:tblOverlap w:val="never"/>
        <w:jc w:val="center"/>
        <w:tblLayout w:type="fixed"/>
      </w:tblPr>
      <w:tblGrid>
        <w:gridCol w:w="970"/>
        <w:gridCol w:w="691"/>
        <w:gridCol w:w="696"/>
        <w:gridCol w:w="1162"/>
        <w:gridCol w:w="1277"/>
        <w:gridCol w:w="1133"/>
        <w:gridCol w:w="994"/>
        <w:gridCol w:w="994"/>
        <w:gridCol w:w="1133"/>
        <w:gridCol w:w="989"/>
        <w:gridCol w:w="691"/>
        <w:gridCol w:w="1013"/>
        <w:gridCol w:w="1027"/>
        <w:gridCol w:w="965"/>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160" w:right="0" w:firstLine="0"/>
              <w:jc w:val="left"/>
            </w:pPr>
            <w:r>
              <w:rPr>
                <w:color w:val="000000"/>
                <w:spacing w:val="0"/>
                <w:w w:val="100"/>
                <w:position w:val="0"/>
              </w:rPr>
              <w:t>关联 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衍生品投资类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衍生品投资初 始投资金额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购入金额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计提减 值准备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报告期实际 损益金额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高盛国际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18.37</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高盛国际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66.63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高盛国际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79.81</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高盛国际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187.01</w:t>
            </w:r>
          </w:p>
        </w:tc>
      </w:tr>
    </w:tbl>
    <w:p>
      <w:pPr>
        <w:spacing w:lineRule="exact" w:line="1"/>
        <w:rPr>
          <w:sz w:val="2"/>
          <w:szCs w:val="2"/>
        </w:rPr>
      </w:pPr>
      <w:r>
        <w:br w:type="page"/>
      </w:r>
    </w:p>
    <w:tbl>
      <w:tblPr>
        <w:tblOverlap w:val="never"/>
        <w:jc w:val="center"/>
        <w:tblLayout w:type="fixed"/>
      </w:tblPr>
      <w:tblGrid>
        <w:gridCol w:w="970"/>
        <w:gridCol w:w="691"/>
        <w:gridCol w:w="696"/>
        <w:gridCol w:w="1162"/>
        <w:gridCol w:w="1277"/>
        <w:gridCol w:w="1133"/>
        <w:gridCol w:w="994"/>
        <w:gridCol w:w="994"/>
        <w:gridCol w:w="1133"/>
        <w:gridCol w:w="989"/>
        <w:gridCol w:w="691"/>
        <w:gridCol w:w="1013"/>
        <w:gridCol w:w="1027"/>
        <w:gridCol w:w="965"/>
      </w:tblGrid>
      <w:tr>
        <w:trPr>
          <w:trHeight w:val="10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160" w:right="0" w:firstLine="0"/>
              <w:jc w:val="left"/>
            </w:pPr>
            <w:r>
              <w:rPr>
                <w:color w:val="000000"/>
                <w:spacing w:val="0"/>
                <w:w w:val="100"/>
                <w:position w:val="0"/>
              </w:rPr>
              <w:t>关联 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衍生品投资类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衍生品投资初 始投资金额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 购入金额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计提减 值准备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报告期实际 损益金额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-134.18</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506.89</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325.89</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-316.13</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74.51</w:t>
            </w:r>
          </w:p>
        </w:tc>
      </w:tr>
    </w:tbl>
    <w:p>
      <w:pPr>
        <w:spacing w:lineRule="exact" w:line="1"/>
        <w:rPr>
          <w:sz w:val="2"/>
          <w:szCs w:val="2"/>
        </w:rPr>
      </w:pPr>
      <w:r>
        <w:br w:type="page"/>
      </w:r>
    </w:p>
    <w:tbl>
      <w:tblPr>
        <w:tblOverlap w:val="never"/>
        <w:jc w:val="center"/>
        <w:tblLayout w:type="fixed"/>
      </w:tblPr>
      <w:tblGrid>
        <w:gridCol w:w="970"/>
        <w:gridCol w:w="691"/>
        <w:gridCol w:w="696"/>
        <w:gridCol w:w="1162"/>
        <w:gridCol w:w="1277"/>
        <w:gridCol w:w="1133"/>
        <w:gridCol w:w="994"/>
        <w:gridCol w:w="994"/>
        <w:gridCol w:w="1133"/>
        <w:gridCol w:w="989"/>
        <w:gridCol w:w="691"/>
        <w:gridCol w:w="1013"/>
        <w:gridCol w:w="1027"/>
        <w:gridCol w:w="965"/>
      </w:tblGrid>
      <w:tr>
        <w:trPr>
          <w:trHeight w:val="10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160" w:right="0" w:firstLine="0"/>
              <w:jc w:val="left"/>
            </w:pPr>
            <w:r>
              <w:rPr>
                <w:color w:val="000000"/>
                <w:spacing w:val="0"/>
                <w:w w:val="100"/>
                <w:position w:val="0"/>
              </w:rPr>
              <w:t>关联 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衍生品投资类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衍生品投资初 始投资金额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 购入金额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计提减 值准备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报告期实际 损益金额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9,869.25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16,442.5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486.5</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15,794.4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170.28</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170.28</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15,790.8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4,418.7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114.02</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外汇远期合约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4,418.7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w:t>
            </w:r>
          </w:p>
        </w:tc>
      </w:tr>
    </w:tbl>
    <w:p>
      <w:pPr>
        <w:spacing w:lineRule="exact" w:line="1"/>
        <w:rPr>
          <w:sz w:val="2"/>
          <w:szCs w:val="2"/>
        </w:rPr>
      </w:pPr>
      <w:r>
        <w:br w:type="page"/>
      </w:r>
    </w:p>
    <w:tbl>
      <w:tblPr>
        <w:tblOverlap w:val="never"/>
        <w:jc w:val="center"/>
        <w:tblLayout w:type="fixed"/>
      </w:tblPr>
      <w:tblGrid>
        <w:gridCol w:w="970"/>
        <w:gridCol w:w="691"/>
        <w:gridCol w:w="696"/>
        <w:gridCol w:w="1162"/>
        <w:gridCol w:w="1277"/>
        <w:gridCol w:w="1133"/>
        <w:gridCol w:w="994"/>
        <w:gridCol w:w="994"/>
        <w:gridCol w:w="1133"/>
        <w:gridCol w:w="989"/>
        <w:gridCol w:w="691"/>
        <w:gridCol w:w="1013"/>
        <w:gridCol w:w="1027"/>
        <w:gridCol w:w="965"/>
      </w:tblGrid>
      <w:tr>
        <w:trPr>
          <w:trHeight w:val="5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是否关</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衍生品投资类</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衍生品投资初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起始日期</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期初</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报告期内</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计提减 值准备 金额</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期末投资金 额占公司报</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报告期实际</w:t>
            </w:r>
          </w:p>
        </w:tc>
      </w:tr>
      <w:tr>
        <w:trPr>
          <w:trHeight w:val="51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操作方名称</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关系</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始投资金额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投资金额</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购入金额</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投资金额</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left"/>
            </w:pPr>
            <w:r>
              <w:rPr>
                <w:color w:val="000000"/>
                <w:spacing w:val="0"/>
                <w:w w:val="100"/>
                <w:position w:val="0"/>
              </w:rPr>
              <w:t>告期末净资 产比例</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损益金额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88.16</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汇丰银行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-182.18</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15,796.8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78.87</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15,789.6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84.91</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15,789.6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15,788.4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50.76</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3,380.75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137.99</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3,380.75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133.77</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野村国际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80.91</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招行创维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w:t>
            </w:r>
          </w:p>
        </w:tc>
      </w:tr>
      <w:tr>
        <w:trPr>
          <w:trHeight w:val="326"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907,920.25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507,770.03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4,881.95</w:t>
            </w:r>
          </w:p>
        </w:tc>
      </w:tr>
      <w:tr>
        <w:trPr>
          <w:trHeight w:val="3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r>
      <w:tr>
        <w:trPr>
          <w:trHeight w:val="326"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未涉诉</w:t>
            </w:r>
          </w:p>
        </w:tc>
      </w:tr>
      <w:tr>
        <w:trPr>
          <w:trHeight w:val="331"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衍生品投资审批董事会公告披露日期</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970"/>
        <w:gridCol w:w="691"/>
        <w:gridCol w:w="696"/>
        <w:gridCol w:w="1162"/>
        <w:gridCol w:w="1277"/>
        <w:gridCol w:w="1133"/>
        <w:gridCol w:w="994"/>
        <w:gridCol w:w="994"/>
        <w:gridCol w:w="1133"/>
        <w:gridCol w:w="989"/>
        <w:gridCol w:w="691"/>
        <w:gridCol w:w="1013"/>
        <w:gridCol w:w="1027"/>
        <w:gridCol w:w="965"/>
      </w:tblGrid>
      <w:tr>
        <w:trPr>
          <w:trHeight w:val="10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 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衍生品投资类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衍生品投资初 始投资金额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4" w:lineRule="exact"/>
              <w:ind w:left="200" w:right="0" w:firstLine="0"/>
              <w:jc w:val="left"/>
            </w:pPr>
            <w:r>
              <w:rPr>
                <w:color w:val="000000"/>
                <w:spacing w:val="0"/>
                <w:w w:val="100"/>
                <w:position w:val="0"/>
              </w:rPr>
              <w:t>报告期内 购入金额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计提减 值准备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报告期实际 损益金额</w:t>
            </w:r>
          </w:p>
        </w:tc>
      </w:tr>
      <w:tr>
        <w:trPr>
          <w:trHeight w:val="326"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衍生品投资审批股东会公告披露日期</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2621"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报告期衍生品持仓的风险分析及控制措施说 明（包括但不限于市场风险、流动性风险、 信用风险、操作风险、法律风险等）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年度公司开展了保值型衍生品投资，主要风险分析及控制措施如下：</w:t>
            </w:r>
          </w:p>
          <w:p>
            <w:pPr>
              <w:pStyle w:val="Style24"/>
              <w:keepNext w:val="0"/>
              <w:keepLines w:val="0"/>
              <w:widowControl w:val="0"/>
              <w:shd w:val="clear" w:color="auto" w:fill="auto"/>
              <w:tabs>
                <w:tab w:pos="278" w:val="left"/>
              </w:tabs>
              <w:bidi w:val="0"/>
              <w:spacing w:before="0" w:after="40" w:line="2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市场风险：保值衍生品投资合约汇率与到期日实际汇率的差异将产生投资损益；在衍生品的存续期内，每一会计期间将产生 重估损益，至到期日重估损益的累计值等于投资损益；</w:t>
            </w:r>
          </w:p>
          <w:p>
            <w:pPr>
              <w:pStyle w:val="Style24"/>
              <w:keepNext w:val="0"/>
              <w:keepLines w:val="0"/>
              <w:widowControl w:val="0"/>
              <w:shd w:val="clear" w:color="auto" w:fill="auto"/>
              <w:tabs>
                <w:tab w:pos="283" w:val="left"/>
              </w:tabs>
              <w:bidi w:val="0"/>
              <w:spacing w:before="0" w:after="4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流动性风险：保值衍生品以公司外汇收支预算为依据，与实际外汇收支相匹配，以保证在交割时拥有足额资金供清算，或选 择净额交割衍生品，以减少到期日现金流需求；</w:t>
            </w:r>
          </w:p>
          <w:p>
            <w:pPr>
              <w:pStyle w:val="Style24"/>
              <w:keepNext w:val="0"/>
              <w:keepLines w:val="0"/>
              <w:widowControl w:val="0"/>
              <w:shd w:val="clear" w:color="auto" w:fill="auto"/>
              <w:tabs>
                <w:tab w:pos="274" w:val="left"/>
              </w:tabs>
              <w:bidi w:val="0"/>
              <w:spacing w:before="0" w:after="40" w:line="24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信用风险：公司进行的衍生品投资交易对手均为信用良好且与公司已建立长期业务往来的银行，基本不存在履约风险；</w:t>
            </w:r>
          </w:p>
          <w:p>
            <w:pPr>
              <w:pStyle w:val="Style24"/>
              <w:keepNext w:val="0"/>
              <w:keepLines w:val="0"/>
              <w:widowControl w:val="0"/>
              <w:shd w:val="clear" w:color="auto" w:fill="auto"/>
              <w:tabs>
                <w:tab w:pos="283" w:val="left"/>
              </w:tabs>
              <w:bidi w:val="0"/>
              <w:spacing w:before="0" w:after="40" w:line="245"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其它风险：在开展业务时，如操作人员未按规定程序进行衍生品投资操作或未充分理解衍生品信息，将带来操作风险；如交 易合同条款的不明确，将可能面临法律风险。</w:t>
            </w:r>
          </w:p>
          <w:p>
            <w:pPr>
              <w:pStyle w:val="Style24"/>
              <w:keepNext w:val="0"/>
              <w:keepLines w:val="0"/>
              <w:widowControl w:val="0"/>
              <w:shd w:val="clear" w:color="auto" w:fill="auto"/>
              <w:tabs>
                <w:tab w:pos="274" w:val="left"/>
              </w:tabs>
              <w:bidi w:val="0"/>
              <w:spacing w:before="0" w:after="40" w:line="24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控制措施：公司已制定《衍生品投资风险控制及信息披露制度》，对公司进行衍生品投资的风险控制、审批程序和信息披露、 后续管理和信息披露等进行明确规定，以有效规范衍生品投资行为，控制衍生品投资风险。</w:t>
            </w:r>
          </w:p>
        </w:tc>
      </w:tr>
      <w:tr>
        <w:trPr>
          <w:trHeight w:val="1027"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已投资衍生品报告期内市场价格或产品公允 价值变动的情况，对衍生品公允价值的分析 应披露具体使用的方法及相关假设与参数的 设定</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公司对报告期内衍生品投资损益情况进行了确认，报告期内确认公允价值变动收益</w:t>
            </w:r>
            <w:r>
              <w:rPr>
                <w:rFonts w:ascii="Times New Roman" w:eastAsia="Times New Roman" w:hAnsi="Times New Roman" w:cs="Times New Roman"/>
                <w:color w:val="000000"/>
                <w:spacing w:val="0"/>
                <w:w w:val="100"/>
                <w:position w:val="0"/>
              </w:rPr>
              <w:t>1082.71</w:t>
            </w:r>
            <w:r>
              <w:rPr>
                <w:color w:val="000000"/>
                <w:spacing w:val="0"/>
                <w:w w:val="100"/>
                <w:position w:val="0"/>
              </w:rPr>
              <w:t>万元人民币，公允价值计算以上述产 品资产负债表日的市场价格为基准。</w:t>
            </w:r>
          </w:p>
        </w:tc>
      </w:tr>
      <w:tr>
        <w:trPr>
          <w:trHeight w:val="787"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报告期公司衍生品的会计政策及会计核算具 体原则与上一报告期相比是否发生重大变化 的说明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报告期内，公司衍生品的会计政策及会计核算具体原则与上一报告期比较没有重大变化。</w:t>
            </w:r>
          </w:p>
        </w:tc>
      </w:tr>
      <w:tr>
        <w:trPr>
          <w:trHeight w:val="566"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独立董事对公司衍生品投资及风险控制情况 的专项意见</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公司的独立董事认为公司开展的衍生品业务与日常经营需求紧密相关，达到保值增值目的，业务可行风险可控，符合有关法律、 法规的有关规定，同意公司及下属控股子公司开展衍生品投资业务。</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5</w:t>
      </w:r>
      <w:bookmarkEnd w:id="217"/>
      <w:r>
        <w:rPr>
          <w:color w:val="000000"/>
          <w:spacing w:val="0"/>
          <w:w w:val="100"/>
          <w:position w:val="0"/>
        </w:rPr>
        <w:t>、募集资金使用情况</w:t>
      </w:r>
      <w:bookmarkEnd w:id="215"/>
      <w:bookmarkEnd w:id="216"/>
      <w:bookmarkEnd w:id="218"/>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9"/>
      <w:bookmarkEnd w:id="220"/>
      <w:bookmarkEnd w:id="222"/>
    </w:p>
    <w:p>
      <w:pPr>
        <w:pStyle w:val="Style3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74"/>
        <w:gridCol w:w="1229"/>
        <w:gridCol w:w="1416"/>
        <w:gridCol w:w="1421"/>
        <w:gridCol w:w="1555"/>
        <w:gridCol w:w="1138"/>
        <w:gridCol w:w="1133"/>
        <w:gridCol w:w="1133"/>
        <w:gridCol w:w="994"/>
        <w:gridCol w:w="970"/>
        <w:gridCol w:w="1306"/>
      </w:tblGrid>
      <w:tr>
        <w:trPr>
          <w:trHeight w:val="8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募集资金总额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本期已使用募集 资金总额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已累计使用募集资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报告期内变 更用途的募 集资金总额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right"/>
            </w:pPr>
            <w:r>
              <w:rPr>
                <w:color w:val="000000"/>
                <w:spacing w:val="0"/>
                <w:w w:val="100"/>
                <w:position w:val="0"/>
              </w:rPr>
              <w:t>尚未使用募 集资金总额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尚未使用募 集资金用途 及去向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闲置两年以上 募集资金金额</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向特定对象非 公开发行股份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71"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本公司本报告期募集资金总额为</w:t>
            </w:r>
            <w:r>
              <w:rPr>
                <w:rFonts w:ascii="Times New Roman" w:eastAsia="Times New Roman" w:hAnsi="Times New Roman" w:cs="Times New Roman"/>
                <w:color w:val="000000"/>
                <w:spacing w:val="0"/>
                <w:w w:val="100"/>
                <w:position w:val="0"/>
              </w:rPr>
              <w:t>2,199,999,989.29</w:t>
            </w:r>
            <w:r>
              <w:rPr>
                <w:color w:val="000000"/>
                <w:spacing w:val="0"/>
                <w:w w:val="100"/>
                <w:position w:val="0"/>
              </w:rPr>
              <w:t>元，累计投入</w:t>
            </w:r>
            <w:r>
              <w:rPr>
                <w:rFonts w:ascii="Times New Roman" w:eastAsia="Times New Roman" w:hAnsi="Times New Roman" w:cs="Times New Roman"/>
                <w:color w:val="000000"/>
                <w:spacing w:val="0"/>
                <w:w w:val="100"/>
                <w:position w:val="0"/>
              </w:rPr>
              <w:t>2,199,999,989.29</w:t>
            </w:r>
            <w:r>
              <w:rPr>
                <w:color w:val="000000"/>
                <w:spacing w:val="0"/>
                <w:w w:val="100"/>
                <w:position w:val="0"/>
              </w:rPr>
              <w:t>元，本报告期投入</w:t>
            </w:r>
            <w:r>
              <w:rPr>
                <w:rFonts w:ascii="Times New Roman" w:eastAsia="Times New Roman" w:hAnsi="Times New Roman" w:cs="Times New Roman"/>
                <w:color w:val="000000"/>
                <w:spacing w:val="0"/>
                <w:w w:val="100"/>
                <w:position w:val="0"/>
              </w:rPr>
              <w:t>2,199,999,989.29</w:t>
            </w:r>
            <w:r>
              <w:rPr>
                <w:color w:val="000000"/>
                <w:spacing w:val="0"/>
                <w:w w:val="100"/>
                <w:position w:val="0"/>
              </w:rPr>
              <w:t>元，其中支付中介机构费用</w:t>
            </w:r>
            <w:r>
              <w:rPr>
                <w:rFonts w:ascii="Times New Roman" w:eastAsia="Times New Roman" w:hAnsi="Times New Roman" w:cs="Times New Roman"/>
                <w:color w:val="000000"/>
                <w:spacing w:val="0"/>
                <w:w w:val="100"/>
                <w:position w:val="0"/>
              </w:rPr>
              <w:t>2020</w:t>
            </w:r>
            <w:r>
              <w:rPr>
                <w:color w:val="000000"/>
                <w:spacing w:val="0"/>
                <w:w w:val="100"/>
                <w:position w:val="0"/>
              </w:rPr>
              <w:t>万元。募集资金 专用账户已于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月注销。</w:t>
            </w:r>
          </w:p>
        </w:tc>
      </w:tr>
    </w:tbl>
    <w:p>
      <w:pPr>
        <w:widowControl w:val="0"/>
        <w:spacing w:after="299" w:line="1" w:lineRule="exact"/>
      </w:pPr>
    </w:p>
    <w:p>
      <w:pPr>
        <w:pStyle w:val="Style36"/>
        <w:keepNext/>
        <w:keepLines/>
        <w:widowControl w:val="0"/>
        <w:numPr>
          <w:ilvl w:val="0"/>
          <w:numId w:val="7"/>
        </w:numPr>
        <w:shd w:val="clear" w:color="auto" w:fill="auto"/>
        <w:bidi w:val="0"/>
        <w:spacing w:before="0" w:after="300" w:line="240" w:lineRule="auto"/>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募集资金承诺项目情况</w:t>
      </w:r>
      <w:bookmarkEnd w:id="223"/>
      <w:bookmarkEnd w:id="224"/>
      <w:bookmarkEnd w:id="22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单位：万元</w:t>
      </w:r>
    </w:p>
    <w:tbl>
      <w:tblPr>
        <w:tblOverlap w:val="never"/>
        <w:jc w:val="center"/>
        <w:tblLayout w:type="fixed"/>
      </w:tblPr>
      <w:tblGrid>
        <w:gridCol w:w="2242"/>
        <w:gridCol w:w="994"/>
        <w:gridCol w:w="1560"/>
        <w:gridCol w:w="1699"/>
        <w:gridCol w:w="1560"/>
        <w:gridCol w:w="1416"/>
        <w:gridCol w:w="1138"/>
        <w:gridCol w:w="778"/>
        <w:gridCol w:w="922"/>
        <w:gridCol w:w="782"/>
        <w:gridCol w:w="787"/>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承诺投资项目和超募资金投 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是否已变更 项目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 承诺投资总额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调整后投资总额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截至期末累计投 入金额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截至期末投 资进度</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262"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项目达到 预定可使 用状态日</w:t>
            </w:r>
          </w:p>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3"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项目可行 性是否发 生重大变</w:t>
            </w:r>
          </w:p>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化</w:t>
            </w:r>
          </w:p>
        </w:tc>
      </w:tr>
      <w:tr>
        <w:trPr>
          <w:trHeight w:val="322"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用于购买神码中国</w:t>
            </w:r>
            <w:r>
              <w:rPr>
                <w:rFonts w:ascii="Times New Roman" w:eastAsia="Times New Roman" w:hAnsi="Times New Roman" w:cs="Times New Roman"/>
                <w:color w:val="000000"/>
                <w:spacing w:val="0"/>
                <w:w w:val="100"/>
                <w:position w:val="0"/>
              </w:rPr>
              <w:t>100%</w:t>
            </w:r>
            <w:r>
              <w:rPr>
                <w:color w:val="000000"/>
                <w:spacing w:val="0"/>
                <w:w w:val="100"/>
                <w:position w:val="0"/>
              </w:rPr>
              <w:t>股 权、神码广州</w:t>
            </w:r>
            <w:r>
              <w:rPr>
                <w:rFonts w:ascii="Times New Roman" w:eastAsia="Times New Roman" w:hAnsi="Times New Roman" w:cs="Times New Roman"/>
                <w:color w:val="000000"/>
                <w:spacing w:val="0"/>
                <w:w w:val="100"/>
                <w:position w:val="0"/>
              </w:rPr>
              <w:t>100%</w:t>
            </w:r>
            <w:r>
              <w:rPr>
                <w:color w:val="000000"/>
                <w:spacing w:val="0"/>
                <w:w w:val="100"/>
                <w:position w:val="0"/>
              </w:rPr>
              <w:t>股权、 神码上海</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39,394.33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39,394.33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326"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39,394.33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未达到计划进度或预计收益 的情况和原因(分具体项 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项目可行性发生重大变化的 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0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超募资金的金额、用途及使 用进展情况</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242"/>
        <w:gridCol w:w="11635"/>
      </w:tblGrid>
      <w:tr>
        <w:trPr>
          <w:trHeight w:val="62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募集资金投资项目实施地点 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募集资金投资项目实施方式 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募集资金投资项目先期投入 及置换情况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8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用闲置募集资金暂时补充流 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项目实施出现募集资金结余 的金额及原因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尚未使用的募集资金用途及 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7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募集资金使用及披露中存在 的问题或其他情况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14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7"/>
      <w:bookmarkEnd w:id="228"/>
      <w:bookmarkEnd w:id="230"/>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after="34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六</w:t>
      </w:r>
      <w:bookmarkEnd w:id="233"/>
      <w:r>
        <w:rPr>
          <w:color w:val="000000"/>
          <w:spacing w:val="0"/>
          <w:w w:val="100"/>
          <w:position w:val="0"/>
        </w:rPr>
        <w:t>、重大资产和股权出售</w:t>
      </w:r>
      <w:bookmarkEnd w:id="231"/>
      <w:bookmarkEnd w:id="232"/>
      <w:bookmarkEnd w:id="234"/>
    </w:p>
    <w:p>
      <w:pPr>
        <w:pStyle w:val="Style36"/>
        <w:keepNext/>
        <w:keepLines/>
        <w:widowControl w:val="0"/>
        <w:shd w:val="clear" w:color="auto" w:fill="auto"/>
        <w:bidi w:val="0"/>
        <w:spacing w:before="0" w:after="30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、出售重大资产情况</w:t>
      </w:r>
      <w:bookmarkEnd w:id="235"/>
      <w:bookmarkEnd w:id="236"/>
      <w:bookmarkEnd w:id="238"/>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bidi w:val="0"/>
        <w:spacing w:before="0" w:after="32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、出售重大股权情况</w:t>
      </w:r>
      <w:bookmarkEnd w:id="239"/>
      <w:bookmarkEnd w:id="240"/>
      <w:bookmarkEnd w:id="24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09"/>
        <w:gridCol w:w="994"/>
        <w:gridCol w:w="994"/>
        <w:gridCol w:w="1133"/>
        <w:gridCol w:w="1277"/>
        <w:gridCol w:w="1555"/>
        <w:gridCol w:w="1277"/>
        <w:gridCol w:w="1138"/>
        <w:gridCol w:w="682"/>
        <w:gridCol w:w="1157"/>
        <w:gridCol w:w="686"/>
        <w:gridCol w:w="1157"/>
        <w:gridCol w:w="710"/>
        <w:gridCol w:w="691"/>
      </w:tblGrid>
      <w:tr>
        <w:trPr>
          <w:trHeight w:val="14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被出售股权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200" w:firstLine="0"/>
              <w:jc w:val="right"/>
            </w:pPr>
            <w:r>
              <w:rPr>
                <w:color w:val="000000"/>
                <w:spacing w:val="0"/>
                <w:w w:val="100"/>
                <w:position w:val="0"/>
              </w:rPr>
              <w:t>交易价格 （万元）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本期初起至出 售日该股权为 上市公司贡献 的净利润（万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出售对公司的影响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股权出售为上 市公司贡献的 净利润占净利 润总额的比例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股权出售定 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与交易对方的 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是否按计划如 期实施，如未 按计划实施，</w:t>
            </w:r>
          </w:p>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应当说明原因 及公司已采取 的措施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披露索 引</w:t>
            </w:r>
          </w:p>
        </w:tc>
      </w:tr>
      <w:tr>
        <w:trPr>
          <w:trHeight w:val="3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中国希格玛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重大资产出 售之标的公 司股权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16,080.09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本次交易有利于增 强公司的持续经营 能力，有利于公司 的长远发展，符合 公司和全体股东的 利益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以北京京都 中新资产评 估有限公司 出具的以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日为基准 日的《资产 评估报告》 中标的股权 评估值为定 价依据，并 经双方协议 一致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中国希格玛有 限公司持有神 州数码 </w:t>
            </w:r>
            <w:r>
              <w:rPr>
                <w:rFonts w:ascii="Times New Roman" w:eastAsia="Times New Roman" w:hAnsi="Times New Roman" w:cs="Times New Roman"/>
                <w:color w:val="000000"/>
                <w:spacing w:val="0"/>
                <w:w w:val="100"/>
                <w:position w:val="0"/>
              </w:rPr>
              <w:t xml:space="preserve">12.26% </w:t>
            </w:r>
            <w:r>
              <w:rPr>
                <w:color w:val="000000"/>
                <w:spacing w:val="0"/>
                <w:w w:val="100"/>
                <w:position w:val="0"/>
              </w:rPr>
              <w:t>股份， 其实际控制人 为王晓岩，王 晓岩任神州数 码董事并持有 公司</w:t>
            </w:r>
            <w:r>
              <w:rPr>
                <w:rFonts w:ascii="Times New Roman" w:eastAsia="Times New Roman" w:hAnsi="Times New Roman" w:cs="Times New Roman"/>
                <w:color w:val="000000"/>
                <w:spacing w:val="0"/>
                <w:w w:val="100"/>
                <w:position w:val="0"/>
              </w:rPr>
              <w:t>9.88%</w:t>
            </w:r>
            <w:r>
              <w:rPr>
                <w:color w:val="000000"/>
                <w:spacing w:val="0"/>
                <w:w w:val="100"/>
                <w:position w:val="0"/>
              </w:rPr>
              <w:t xml:space="preserve">股 份；且在过去 </w:t>
            </w:r>
            <w:r>
              <w:rPr>
                <w:rFonts w:ascii="Times New Roman" w:eastAsia="Times New Roman" w:hAnsi="Times New Roman" w:cs="Times New Roman"/>
                <w:color w:val="000000"/>
                <w:spacing w:val="0"/>
                <w:w w:val="100"/>
                <w:position w:val="0"/>
              </w:rPr>
              <w:t>12</w:t>
            </w:r>
            <w:r>
              <w:rPr>
                <w:color w:val="000000"/>
                <w:spacing w:val="0"/>
                <w:w w:val="100"/>
                <w:position w:val="0"/>
              </w:rPr>
              <w:t>个月内， 希格玛公司与 王晓岩曾分别 为上市公司的 控股股东和实 际控制人。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巨潮资 讯网</w:t>
            </w:r>
          </w:p>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《重大 资产出 售暨关 联交易 报告 书》</w:t>
            </w:r>
          </w:p>
        </w:tc>
      </w:tr>
    </w:tbl>
    <w:p>
      <w:pPr>
        <w:sectPr>
          <w:headerReference w:type="default" r:id="rId11"/>
          <w:footerReference w:type="default" r:id="rId12"/>
          <w:footnotePr>
            <w:pos w:val="pageBottom"/>
            <w:numFmt w:val="decimal"/>
            <w:numRestart w:val="continuous"/>
          </w:footnotePr>
          <w:pgSz w:w="16840" w:h="11900" w:orient="landscape"/>
          <w:pgMar w:top="1096" w:right="1080" w:bottom="1204" w:left="1153" w:header="0" w:footer="3" w:gutter="0"/>
          <w:cols w:space="720"/>
          <w:noEndnote/>
          <w:rtlGutter w:val="0"/>
          <w:docGrid w:linePitch="360"/>
        </w:sectPr>
      </w:pPr>
    </w:p>
    <w:p>
      <w:pPr>
        <w:pStyle w:val="Style28"/>
        <w:keepNext/>
        <w:keepLines/>
        <w:widowControl w:val="0"/>
        <w:shd w:val="clear" w:color="auto" w:fill="auto"/>
        <w:bidi w:val="0"/>
        <w:spacing w:before="480" w:after="320" w:line="240" w:lineRule="auto"/>
        <w:ind w:left="0" w:right="0" w:firstLine="280"/>
        <w:jc w:val="left"/>
      </w:pPr>
      <w:bookmarkStart w:id="243" w:name="bookmark243"/>
      <w:bookmarkStart w:id="244" w:name="bookmark244"/>
      <w:bookmarkStart w:id="245" w:name="bookmark245"/>
      <w:bookmarkStart w:id="246" w:name="bookmark246"/>
      <w:r>
        <w:rPr>
          <w:color w:val="000000"/>
          <w:spacing w:val="0"/>
          <w:w w:val="100"/>
          <w:position w:val="0"/>
        </w:rPr>
        <w:t>七</w:t>
      </w:r>
      <w:bookmarkEnd w:id="245"/>
      <w:r>
        <w:rPr>
          <w:color w:val="000000"/>
          <w:spacing w:val="0"/>
          <w:w w:val="100"/>
          <w:position w:val="0"/>
        </w:rPr>
        <w:t>、主要控股参股公司分析</w:t>
      </w:r>
      <w:bookmarkEnd w:id="243"/>
      <w:bookmarkEnd w:id="244"/>
      <w:bookmarkEnd w:id="246"/>
    </w:p>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4"/>
        <w:gridCol w:w="854"/>
        <w:gridCol w:w="739"/>
        <w:gridCol w:w="1104"/>
        <w:gridCol w:w="1416"/>
        <w:gridCol w:w="1416"/>
        <w:gridCol w:w="1416"/>
        <w:gridCol w:w="1190"/>
        <w:gridCol w:w="1282"/>
      </w:tblGrid>
      <w:tr>
        <w:trPr>
          <w:trHeight w:val="60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1,042,722,250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16,571,674,909.00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2,716,570,007.69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37,631,277,412.51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374,031,249.91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300,806,144.96</w:t>
            </w:r>
          </w:p>
        </w:tc>
      </w:tr>
    </w:tbl>
    <w:p>
      <w:pPr>
        <w:pStyle w:val="Style30"/>
        <w:keepNext w:val="0"/>
        <w:keepLines w:val="0"/>
        <w:widowControl w:val="0"/>
        <w:shd w:val="clear" w:color="auto" w:fill="auto"/>
        <w:bidi w:val="0"/>
        <w:spacing w:before="0" w:after="60" w:line="240" w:lineRule="auto"/>
        <w:ind w:left="269"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54"/>
        <w:gridCol w:w="2976"/>
        <w:gridCol w:w="4834"/>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本次收购实现上市公司主营业务的转型，从根本上改善公司 的经营状况，提供公司的资产质量，增强公司的持续盈利能 力和长期发展潜力，提升公司价值和股东回报，以维护上市 公司和股东利益。本报告期末收购资产实现净利润</w:t>
            </w:r>
            <w:r>
              <w:rPr>
                <w:rFonts w:ascii="Times New Roman" w:eastAsia="Times New Roman" w:hAnsi="Times New Roman" w:cs="Times New Roman"/>
                <w:color w:val="000000"/>
                <w:spacing w:val="0"/>
                <w:w w:val="100"/>
                <w:position w:val="0"/>
              </w:rPr>
              <w:t>3.43</w:t>
            </w:r>
            <w:r>
              <w:rPr>
                <w:color w:val="000000"/>
                <w:spacing w:val="0"/>
                <w:w w:val="100"/>
                <w:position w:val="0"/>
              </w:rPr>
              <w:t xml:space="preserve">亿 </w:t>
            </w:r>
            <w:r>
              <w:rPr>
                <w:rFonts w:ascii="Times New Roman" w:eastAsia="Times New Roman" w:hAnsi="Times New Roman" w:cs="Times New Roman"/>
                <w:color w:val="000000"/>
                <w:spacing w:val="0"/>
                <w:w w:val="100"/>
                <w:position w:val="0"/>
              </w:rPr>
              <w:t>7</w:t>
            </w:r>
            <w:r>
              <w:rPr>
                <w:color w:val="000000"/>
                <w:spacing w:val="0"/>
                <w:w w:val="100"/>
                <w:position w:val="0"/>
              </w:rPr>
              <w:t>元。</w:t>
            </w:r>
          </w:p>
        </w:tc>
      </w:tr>
      <w:tr>
        <w:trPr>
          <w:trHeight w:val="8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重大资产出售之标的公司股权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重大资产出售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left"/>
            </w:pPr>
            <w:r>
              <w:rPr>
                <w:color w:val="000000"/>
                <w:spacing w:val="0"/>
                <w:w w:val="100"/>
                <w:position w:val="0"/>
              </w:rPr>
              <w:t>本次出售有利于增强公司的持续经营能力，有利于公司的长 远发展，符合公司和全体股东的利益。本报告期初至出售时 出售资产实现净利润</w:t>
            </w:r>
            <w:r>
              <w:rPr>
                <w:rFonts w:ascii="Times New Roman" w:eastAsia="Times New Roman" w:hAnsi="Times New Roman" w:cs="Times New Roman"/>
                <w:color w:val="000000"/>
                <w:spacing w:val="0"/>
                <w:w w:val="100"/>
                <w:position w:val="0"/>
              </w:rPr>
              <w:t>45.45</w:t>
            </w:r>
            <w:r>
              <w:rPr>
                <w:color w:val="000000"/>
                <w:spacing w:val="0"/>
                <w:w w:val="100"/>
                <w:position w:val="0"/>
              </w:rPr>
              <w:t>万元。</w:t>
            </w:r>
          </w:p>
        </w:tc>
      </w:tr>
    </w:tbl>
    <w:p>
      <w:pPr>
        <w:widowControl w:val="0"/>
        <w:spacing w:after="319" w:line="1" w:lineRule="exact"/>
      </w:pPr>
    </w:p>
    <w:p>
      <w:pPr>
        <w:pStyle w:val="Style28"/>
        <w:keepNext/>
        <w:keepLines/>
        <w:widowControl w:val="0"/>
        <w:shd w:val="clear" w:color="auto" w:fill="auto"/>
        <w:tabs>
          <w:tab w:pos="767" w:val="left"/>
        </w:tabs>
        <w:bidi w:val="0"/>
        <w:spacing w:before="0" w:after="320" w:line="240" w:lineRule="auto"/>
        <w:ind w:left="0" w:right="0" w:firstLine="280"/>
        <w:jc w:val="left"/>
      </w:pPr>
      <w:bookmarkStart w:id="247" w:name="bookmark247"/>
      <w:bookmarkStart w:id="248" w:name="bookmark248"/>
      <w:bookmarkStart w:id="249" w:name="bookmark249"/>
      <w:bookmarkStart w:id="250" w:name="bookmark250"/>
      <w:r>
        <w:rPr>
          <w:color w:val="000000"/>
          <w:spacing w:val="0"/>
          <w:w w:val="100"/>
          <w:position w:val="0"/>
        </w:rPr>
        <w:t>八</w:t>
      </w:r>
      <w:bookmarkEnd w:id="249"/>
      <w:r>
        <w:rPr>
          <w:color w:val="000000"/>
          <w:spacing w:val="0"/>
          <w:w w:val="100"/>
          <w:position w:val="0"/>
        </w:rPr>
        <w:t>、</w:t>
        <w:tab/>
        <w:t>公司控制的结构化主体情况</w:t>
      </w:r>
      <w:bookmarkEnd w:id="247"/>
      <w:bookmarkEnd w:id="248"/>
      <w:bookmarkEnd w:id="250"/>
    </w:p>
    <w:p>
      <w:pPr>
        <w:pStyle w:val="Style32"/>
        <w:keepNext w:val="0"/>
        <w:keepLines w:val="0"/>
        <w:widowControl w:val="0"/>
        <w:shd w:val="clear" w:color="auto" w:fill="auto"/>
        <w:bidi w:val="0"/>
        <w:spacing w:before="0" w:after="180" w:line="408"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767" w:val="left"/>
        </w:tabs>
        <w:bidi w:val="0"/>
        <w:spacing w:before="0" w:after="180" w:line="240" w:lineRule="auto"/>
        <w:ind w:left="0" w:right="0" w:firstLine="280"/>
        <w:jc w:val="left"/>
      </w:pPr>
      <w:bookmarkStart w:id="251" w:name="bookmark251"/>
      <w:bookmarkStart w:id="252" w:name="bookmark252"/>
      <w:bookmarkStart w:id="253" w:name="bookmark253"/>
      <w:bookmarkStart w:id="254" w:name="bookmark254"/>
      <w:r>
        <w:rPr>
          <w:color w:val="000000"/>
          <w:spacing w:val="0"/>
          <w:w w:val="100"/>
          <w:position w:val="0"/>
        </w:rPr>
        <w:t>九</w:t>
      </w:r>
      <w:bookmarkEnd w:id="253"/>
      <w:r>
        <w:rPr>
          <w:color w:val="000000"/>
          <w:spacing w:val="0"/>
          <w:w w:val="100"/>
          <w:position w:val="0"/>
        </w:rPr>
        <w:t>、</w:t>
        <w:tab/>
        <w:t>公司未来发展的展望</w:t>
      </w:r>
      <w:bookmarkEnd w:id="251"/>
      <w:bookmarkEnd w:id="252"/>
      <w:bookmarkEnd w:id="254"/>
    </w:p>
    <w:p>
      <w:pPr>
        <w:pStyle w:val="Style32"/>
        <w:keepNext w:val="0"/>
        <w:keepLines w:val="0"/>
        <w:widowControl w:val="0"/>
        <w:shd w:val="clear" w:color="auto" w:fill="auto"/>
        <w:bidi w:val="0"/>
        <w:spacing w:before="0" w:after="80" w:line="351" w:lineRule="exact"/>
        <w:ind w:left="0" w:right="0" w:firstLine="280"/>
        <w:jc w:val="both"/>
      </w:pPr>
      <w:bookmarkStart w:id="255" w:name="bookmark255"/>
      <w:r>
        <w:rPr>
          <w:b/>
          <w:bCs/>
          <w:color w:val="000000"/>
          <w:spacing w:val="0"/>
          <w:w w:val="100"/>
          <w:position w:val="0"/>
        </w:rPr>
        <w:t>（</w:t>
      </w:r>
      <w:bookmarkEnd w:id="255"/>
      <w:r>
        <w:rPr>
          <w:b/>
          <w:bCs/>
          <w:color w:val="000000"/>
          <w:spacing w:val="0"/>
          <w:w w:val="100"/>
          <w:position w:val="0"/>
        </w:rPr>
        <w:t>一）行业格局和趋势</w:t>
      </w:r>
    </w:p>
    <w:p>
      <w:pPr>
        <w:pStyle w:val="Style32"/>
        <w:keepNext w:val="0"/>
        <w:keepLines w:val="0"/>
        <w:widowControl w:val="0"/>
        <w:shd w:val="clear" w:color="auto" w:fill="auto"/>
        <w:bidi w:val="0"/>
        <w:spacing w:before="0" w:after="0" w:line="351" w:lineRule="exact"/>
        <w:ind w:left="280" w:right="0"/>
        <w:jc w:val="both"/>
      </w:pPr>
      <w:r>
        <w:rPr>
          <w:color w:val="000000"/>
          <w:spacing w:val="0"/>
          <w:w w:val="100"/>
          <w:position w:val="0"/>
          <w:sz w:val="17"/>
          <w:szCs w:val="17"/>
        </w:rPr>
        <w:t>IT</w:t>
      </w:r>
      <w:r>
        <w:rPr>
          <w:color w:val="000000"/>
          <w:spacing w:val="0"/>
          <w:w w:val="100"/>
          <w:position w:val="0"/>
        </w:rPr>
        <w:t>市场环境受</w:t>
      </w:r>
      <w:r>
        <w:rPr>
          <w:color w:val="000000"/>
          <w:spacing w:val="0"/>
          <w:w w:val="100"/>
          <w:position w:val="0"/>
          <w:sz w:val="17"/>
          <w:szCs w:val="17"/>
        </w:rPr>
        <w:t>IT</w:t>
      </w:r>
      <w:r>
        <w:rPr>
          <w:color w:val="000000"/>
          <w:spacing w:val="0"/>
          <w:w w:val="100"/>
          <w:position w:val="0"/>
        </w:rPr>
        <w:t>产业链变化的影响较大，整体行业与全球</w:t>
      </w:r>
      <w:r>
        <w:rPr>
          <w:color w:val="000000"/>
          <w:spacing w:val="0"/>
          <w:w w:val="100"/>
          <w:position w:val="0"/>
          <w:sz w:val="17"/>
          <w:szCs w:val="17"/>
        </w:rPr>
        <w:t>IT</w:t>
      </w:r>
      <w:r>
        <w:rPr>
          <w:color w:val="000000"/>
          <w:spacing w:val="0"/>
          <w:w w:val="100"/>
          <w:position w:val="0"/>
        </w:rPr>
        <w:t>行业的境况紧密相连，全球</w:t>
      </w:r>
      <w:r>
        <w:rPr>
          <w:color w:val="000000"/>
          <w:spacing w:val="0"/>
          <w:w w:val="100"/>
          <w:position w:val="0"/>
          <w:sz w:val="17"/>
          <w:szCs w:val="17"/>
        </w:rPr>
        <w:t>IT</w:t>
      </w:r>
      <w:r>
        <w:rPr>
          <w:color w:val="000000"/>
          <w:spacing w:val="0"/>
          <w:w w:val="100"/>
          <w:position w:val="0"/>
        </w:rPr>
        <w:t>支出的稳定为</w:t>
      </w:r>
      <w:r>
        <w:rPr>
          <w:color w:val="000000"/>
          <w:spacing w:val="0"/>
          <w:w w:val="100"/>
          <w:position w:val="0"/>
          <w:sz w:val="17"/>
          <w:szCs w:val="17"/>
        </w:rPr>
        <w:t>IT</w:t>
      </w:r>
      <w:r>
        <w:rPr>
          <w:color w:val="000000"/>
          <w:spacing w:val="0"/>
          <w:w w:val="100"/>
          <w:position w:val="0"/>
        </w:rPr>
        <w:t>行业的发展 奠定了良好的根基。根据</w:t>
      </w:r>
      <w:r>
        <w:rPr>
          <w:color w:val="000000"/>
          <w:spacing w:val="0"/>
          <w:w w:val="100"/>
          <w:position w:val="0"/>
          <w:sz w:val="17"/>
          <w:szCs w:val="17"/>
        </w:rPr>
        <w:t>Gartner</w:t>
      </w:r>
      <w:r>
        <w:rPr>
          <w:color w:val="000000"/>
          <w:spacing w:val="0"/>
          <w:w w:val="100"/>
          <w:position w:val="0"/>
        </w:rPr>
        <w:t>公司的数据，</w:t>
      </w:r>
      <w:r>
        <w:rPr>
          <w:color w:val="000000"/>
          <w:spacing w:val="0"/>
          <w:w w:val="100"/>
          <w:position w:val="0"/>
          <w:sz w:val="17"/>
          <w:szCs w:val="17"/>
        </w:rPr>
        <w:t>2017</w:t>
      </w:r>
      <w:r>
        <w:rPr>
          <w:color w:val="000000"/>
          <w:spacing w:val="0"/>
          <w:w w:val="100"/>
          <w:position w:val="0"/>
        </w:rPr>
        <w:t>年全球</w:t>
      </w:r>
      <w:r>
        <w:rPr>
          <w:color w:val="000000"/>
          <w:spacing w:val="0"/>
          <w:w w:val="100"/>
          <w:position w:val="0"/>
          <w:sz w:val="17"/>
          <w:szCs w:val="17"/>
        </w:rPr>
        <w:t>IT</w:t>
      </w:r>
      <w:r>
        <w:rPr>
          <w:color w:val="000000"/>
          <w:spacing w:val="0"/>
          <w:w w:val="100"/>
          <w:position w:val="0"/>
        </w:rPr>
        <w:t>支出预计将达到</w:t>
      </w:r>
      <w:r>
        <w:rPr>
          <w:color w:val="000000"/>
          <w:spacing w:val="0"/>
          <w:w w:val="100"/>
          <w:position w:val="0"/>
          <w:sz w:val="17"/>
          <w:szCs w:val="17"/>
        </w:rPr>
        <w:t>3.5</w:t>
      </w:r>
      <w:r>
        <w:rPr>
          <w:color w:val="000000"/>
          <w:spacing w:val="0"/>
          <w:w w:val="100"/>
          <w:position w:val="0"/>
        </w:rPr>
        <w:t>万亿美元（约</w:t>
      </w:r>
      <w:r>
        <w:rPr>
          <w:color w:val="000000"/>
          <w:spacing w:val="0"/>
          <w:w w:val="100"/>
          <w:position w:val="0"/>
          <w:sz w:val="17"/>
          <w:szCs w:val="17"/>
        </w:rPr>
        <w:t xml:space="preserve">24. </w:t>
      </w:r>
      <w:r>
        <w:rPr>
          <w:color w:val="000000"/>
          <w:spacing w:val="0"/>
          <w:w w:val="100"/>
          <w:position w:val="0"/>
          <w:sz w:val="17"/>
          <w:szCs w:val="17"/>
        </w:rPr>
        <w:t>1</w:t>
      </w:r>
      <w:r>
        <w:rPr>
          <w:color w:val="000000"/>
          <w:spacing w:val="0"/>
          <w:w w:val="100"/>
          <w:position w:val="0"/>
        </w:rPr>
        <w:t>万亿人民币），同比增 长</w:t>
      </w:r>
      <w:r>
        <w:rPr>
          <w:color w:val="000000"/>
          <w:spacing w:val="0"/>
          <w:w w:val="100"/>
          <w:position w:val="0"/>
          <w:sz w:val="17"/>
          <w:szCs w:val="17"/>
        </w:rPr>
        <w:t>2.7%，2017</w:t>
      </w:r>
      <w:r>
        <w:rPr>
          <w:color w:val="000000"/>
          <w:spacing w:val="0"/>
          <w:w w:val="100"/>
          <w:position w:val="0"/>
        </w:rPr>
        <w:t>年中国</w:t>
      </w:r>
      <w:r>
        <w:rPr>
          <w:color w:val="000000"/>
          <w:spacing w:val="0"/>
          <w:w w:val="100"/>
          <w:position w:val="0"/>
          <w:sz w:val="17"/>
          <w:szCs w:val="17"/>
        </w:rPr>
        <w:t>IT</w:t>
      </w:r>
      <w:r>
        <w:rPr>
          <w:color w:val="000000"/>
          <w:spacing w:val="0"/>
          <w:w w:val="100"/>
          <w:position w:val="0"/>
        </w:rPr>
        <w:t>支出预计将达到</w:t>
      </w:r>
      <w:r>
        <w:rPr>
          <w:color w:val="000000"/>
          <w:spacing w:val="0"/>
          <w:w w:val="100"/>
          <w:position w:val="0"/>
          <w:sz w:val="17"/>
          <w:szCs w:val="17"/>
        </w:rPr>
        <w:t>2.4</w:t>
      </w:r>
      <w:r>
        <w:rPr>
          <w:color w:val="000000"/>
          <w:spacing w:val="0"/>
          <w:w w:val="100"/>
          <w:position w:val="0"/>
        </w:rPr>
        <w:t>万亿人民币，同比增长</w:t>
      </w:r>
      <w:r>
        <w:rPr>
          <w:color w:val="000000"/>
          <w:spacing w:val="0"/>
          <w:w w:val="100"/>
          <w:position w:val="0"/>
          <w:sz w:val="17"/>
          <w:szCs w:val="17"/>
        </w:rPr>
        <w:t>5.3%</w:t>
      </w:r>
      <w:r>
        <w:rPr>
          <w:color w:val="000000"/>
          <w:spacing w:val="0"/>
          <w:w w:val="100"/>
          <w:position w:val="0"/>
        </w:rPr>
        <w:t>。同时，</w:t>
      </w:r>
      <w:r>
        <w:rPr>
          <w:color w:val="000000"/>
          <w:spacing w:val="0"/>
          <w:w w:val="100"/>
          <w:position w:val="0"/>
          <w:sz w:val="17"/>
          <w:szCs w:val="17"/>
        </w:rPr>
        <w:t>IT</w:t>
      </w:r>
      <w:r>
        <w:rPr>
          <w:color w:val="000000"/>
          <w:spacing w:val="0"/>
          <w:w w:val="100"/>
          <w:position w:val="0"/>
        </w:rPr>
        <w:t>供应链体系上各环节企业都寻求创新的业 务模式与增长点。</w:t>
      </w:r>
      <w:r>
        <w:rPr>
          <w:color w:val="000000"/>
          <w:spacing w:val="0"/>
          <w:w w:val="100"/>
          <w:position w:val="0"/>
          <w:sz w:val="17"/>
          <w:szCs w:val="17"/>
        </w:rPr>
        <w:t>IT</w:t>
      </w:r>
      <w:r>
        <w:rPr>
          <w:color w:val="000000"/>
          <w:spacing w:val="0"/>
          <w:w w:val="100"/>
          <w:position w:val="0"/>
        </w:rPr>
        <w:t>行业中，上、下游企业对供应链金融服务、市场营销、物流等高附加值服务的需求日益增加。在此背 景下，传统</w:t>
      </w:r>
      <w:r>
        <w:rPr>
          <w:color w:val="000000"/>
          <w:spacing w:val="0"/>
          <w:w w:val="100"/>
          <w:position w:val="0"/>
          <w:sz w:val="17"/>
          <w:szCs w:val="17"/>
        </w:rPr>
        <w:t>IT</w:t>
      </w:r>
      <w:r>
        <w:rPr>
          <w:color w:val="000000"/>
          <w:spacing w:val="0"/>
          <w:w w:val="100"/>
          <w:position w:val="0"/>
        </w:rPr>
        <w:t>供应链上的供应商、分销商和经销商纷纷把握机遇转型，</w:t>
      </w:r>
      <w:r>
        <w:rPr>
          <w:color w:val="000000"/>
          <w:spacing w:val="0"/>
          <w:w w:val="100"/>
          <w:position w:val="0"/>
          <w:sz w:val="17"/>
          <w:szCs w:val="17"/>
        </w:rPr>
        <w:t>IT</w:t>
      </w:r>
      <w:r>
        <w:rPr>
          <w:color w:val="000000"/>
          <w:spacing w:val="0"/>
          <w:w w:val="100"/>
          <w:position w:val="0"/>
        </w:rPr>
        <w:t>产业链生态的升级势在必行。</w:t>
      </w:r>
    </w:p>
    <w:p>
      <w:pPr>
        <w:pStyle w:val="Style32"/>
        <w:keepNext w:val="0"/>
        <w:keepLines w:val="0"/>
        <w:widowControl w:val="0"/>
        <w:shd w:val="clear" w:color="auto" w:fill="auto"/>
        <w:bidi w:val="0"/>
        <w:spacing w:before="0" w:after="0" w:line="351" w:lineRule="exact"/>
        <w:ind w:left="280" w:right="0"/>
        <w:jc w:val="both"/>
      </w:pPr>
      <w:r>
        <w:rPr>
          <w:color w:val="000000"/>
          <w:spacing w:val="0"/>
          <w:w w:val="100"/>
          <w:position w:val="0"/>
        </w:rPr>
        <w:t>“自主可控，安全可靠”已成为国家战略，并对中国企业级</w:t>
      </w:r>
      <w:r>
        <w:rPr>
          <w:color w:val="000000"/>
          <w:spacing w:val="0"/>
          <w:w w:val="100"/>
          <w:position w:val="0"/>
          <w:sz w:val="17"/>
          <w:szCs w:val="17"/>
        </w:rPr>
        <w:t>IT</w:t>
      </w:r>
      <w:r>
        <w:rPr>
          <w:color w:val="000000"/>
          <w:spacing w:val="0"/>
          <w:w w:val="100"/>
          <w:position w:val="0"/>
        </w:rPr>
        <w:t>市场格局产生了深远影响，海外厂商业绩持续下滑，因 而开放、合作成为其主要策略，并积极与国内企业开展合作，实现业务本地化。国产化厂商迎合国家战略，借助资本合作 完善业务布局，实现跨越性发展，逐渐成为市场主流。在中国，政府、社会和用户对自主可控、安全可靠的要求越来越 高，网络安全的国家战略要求自主可控产品的本地化研发和生产，自主可控产品和装备对信息安全发挥了重要作用，中国 的信息化市场正在孕育新的巨大市场需求。随着国产化自主可控进程的深入推进，产业将进一步升级并迎来爆发时期。</w:t>
      </w:r>
    </w:p>
    <w:p>
      <w:pPr>
        <w:pStyle w:val="Style32"/>
        <w:keepNext w:val="0"/>
        <w:keepLines w:val="0"/>
        <w:widowControl w:val="0"/>
        <w:shd w:val="clear" w:color="auto" w:fill="auto"/>
        <w:bidi w:val="0"/>
        <w:spacing w:before="0" w:after="140" w:line="351" w:lineRule="exact"/>
        <w:ind w:left="280" w:right="0"/>
        <w:jc w:val="both"/>
      </w:pPr>
      <w:r>
        <w:rPr>
          <w:color w:val="000000"/>
          <w:spacing w:val="0"/>
          <w:w w:val="100"/>
          <w:position w:val="0"/>
        </w:rPr>
        <w:t>近年来，互联网技术不断进步，云计算、大数据飞速发展，对企业的计算能力、存储能力和数据管理能力等提出了更 高的要求，企业级信息化领域面临深度变革。根据</w:t>
      </w:r>
      <w:r>
        <w:rPr>
          <w:color w:val="000000"/>
          <w:spacing w:val="0"/>
          <w:w w:val="100"/>
          <w:position w:val="0"/>
          <w:sz w:val="17"/>
          <w:szCs w:val="17"/>
        </w:rPr>
        <w:t>Gartner</w:t>
      </w:r>
      <w:r>
        <w:rPr>
          <w:color w:val="000000"/>
          <w:spacing w:val="0"/>
          <w:w w:val="100"/>
          <w:position w:val="0"/>
        </w:rPr>
        <w:t>公司的数据，</w:t>
      </w:r>
      <w:r>
        <w:rPr>
          <w:color w:val="000000"/>
          <w:spacing w:val="0"/>
          <w:w w:val="100"/>
          <w:position w:val="0"/>
          <w:sz w:val="17"/>
          <w:szCs w:val="17"/>
        </w:rPr>
        <w:t>2017</w:t>
      </w:r>
      <w:r>
        <w:rPr>
          <w:color w:val="000000"/>
          <w:spacing w:val="0"/>
          <w:w w:val="100"/>
          <w:position w:val="0"/>
        </w:rPr>
        <w:t>年全球公共云服务市场规模将增长</w:t>
      </w:r>
      <w:r>
        <w:rPr>
          <w:color w:val="000000"/>
          <w:spacing w:val="0"/>
          <w:w w:val="100"/>
          <w:position w:val="0"/>
          <w:sz w:val="17"/>
          <w:szCs w:val="17"/>
        </w:rPr>
        <w:t>18%,</w:t>
      </w:r>
      <w:r>
        <w:rPr>
          <w:color w:val="000000"/>
          <w:spacing w:val="0"/>
          <w:w w:val="100"/>
          <w:position w:val="0"/>
        </w:rPr>
        <w:t>市场 规模达到</w:t>
      </w:r>
      <w:r>
        <w:rPr>
          <w:color w:val="000000"/>
          <w:spacing w:val="0"/>
          <w:w w:val="100"/>
          <w:position w:val="0"/>
          <w:sz w:val="17"/>
          <w:szCs w:val="17"/>
        </w:rPr>
        <w:t>2468</w:t>
      </w:r>
      <w:r>
        <w:rPr>
          <w:color w:val="000000"/>
          <w:spacing w:val="0"/>
          <w:w w:val="100"/>
          <w:position w:val="0"/>
        </w:rPr>
        <w:t>亿美元，未来几年全球云服务市场仍将高速发展，预计</w:t>
      </w:r>
      <w:r>
        <w:rPr>
          <w:color w:val="000000"/>
          <w:spacing w:val="0"/>
          <w:w w:val="100"/>
          <w:position w:val="0"/>
          <w:sz w:val="17"/>
          <w:szCs w:val="17"/>
        </w:rPr>
        <w:t>2020</w:t>
      </w:r>
      <w:r>
        <w:rPr>
          <w:color w:val="000000"/>
          <w:spacing w:val="0"/>
          <w:w w:val="100"/>
          <w:position w:val="0"/>
        </w:rPr>
        <w:t>年全球公共云服务市场规模将达到</w:t>
      </w:r>
      <w:r>
        <w:rPr>
          <w:color w:val="000000"/>
          <w:spacing w:val="0"/>
          <w:w w:val="100"/>
          <w:position w:val="0"/>
          <w:sz w:val="17"/>
          <w:szCs w:val="17"/>
        </w:rPr>
        <w:t>3900</w:t>
      </w:r>
      <w:r>
        <w:rPr>
          <w:color w:val="000000"/>
          <w:spacing w:val="0"/>
          <w:w w:val="100"/>
          <w:position w:val="0"/>
        </w:rPr>
        <w:t>亿美元。 市场预计云服务必将成为主流的</w:t>
      </w:r>
      <w:r>
        <w:rPr>
          <w:color w:val="000000"/>
          <w:spacing w:val="0"/>
          <w:w w:val="100"/>
          <w:position w:val="0"/>
          <w:sz w:val="17"/>
          <w:szCs w:val="17"/>
        </w:rPr>
        <w:t>IT</w:t>
      </w:r>
      <w:r>
        <w:rPr>
          <w:color w:val="000000"/>
          <w:spacing w:val="0"/>
          <w:w w:val="100"/>
          <w:position w:val="0"/>
        </w:rPr>
        <w:t>运行模式，大数据会成为生产活动最重要的核心资源。目前，围绕着云基础设施建设、 云应用和大数据应用的产品技术和服务愈发丰富，相关领域的产品、技术和服务的提供商将逐步成为企业级市场供给侧的 主流，将成为主流国际知名的</w:t>
      </w:r>
      <w:r>
        <w:rPr>
          <w:color w:val="000000"/>
          <w:spacing w:val="0"/>
          <w:w w:val="100"/>
          <w:position w:val="0"/>
          <w:sz w:val="17"/>
          <w:szCs w:val="17"/>
        </w:rPr>
        <w:t>IT</w:t>
      </w:r>
      <w:r>
        <w:rPr>
          <w:color w:val="000000"/>
          <w:spacing w:val="0"/>
          <w:w w:val="100"/>
          <w:position w:val="0"/>
        </w:rPr>
        <w:t>厂商前瞻性战略投入的重中之重。</w:t>
      </w:r>
    </w:p>
    <w:p>
      <w:pPr>
        <w:pStyle w:val="Style32"/>
        <w:keepNext w:val="0"/>
        <w:keepLines w:val="0"/>
        <w:widowControl w:val="0"/>
        <w:shd w:val="clear" w:color="auto" w:fill="auto"/>
        <w:bidi w:val="0"/>
        <w:spacing w:before="0" w:after="340" w:line="360" w:lineRule="exact"/>
        <w:ind w:left="280" w:right="0"/>
        <w:jc w:val="both"/>
      </w:pPr>
      <w:r>
        <w:rPr>
          <w:color w:val="000000"/>
          <w:spacing w:val="0"/>
          <w:w w:val="100"/>
          <w:position w:val="0"/>
        </w:rPr>
        <w:t>以上所述，在互联网、自主可控以及云服务大产业环境及趋势的驱动下，将为</w:t>
      </w:r>
      <w:r>
        <w:rPr>
          <w:color w:val="000000"/>
          <w:spacing w:val="0"/>
          <w:w w:val="100"/>
          <w:position w:val="0"/>
          <w:sz w:val="17"/>
          <w:szCs w:val="17"/>
        </w:rPr>
        <w:t>IT</w:t>
      </w:r>
      <w:r>
        <w:rPr>
          <w:color w:val="000000"/>
          <w:spacing w:val="0"/>
          <w:w w:val="100"/>
          <w:position w:val="0"/>
        </w:rPr>
        <w:t>产业带来万亿级新一代信息化技术革 命性的发展机遇。</w:t>
      </w:r>
    </w:p>
    <w:p>
      <w:pPr>
        <w:pStyle w:val="Style32"/>
        <w:keepNext w:val="0"/>
        <w:keepLines w:val="0"/>
        <w:widowControl w:val="0"/>
        <w:shd w:val="clear" w:color="auto" w:fill="auto"/>
        <w:bidi w:val="0"/>
        <w:spacing w:before="0" w:after="340" w:line="352" w:lineRule="exact"/>
        <w:ind w:left="0" w:right="0" w:firstLine="280"/>
        <w:jc w:val="left"/>
      </w:pPr>
      <w:bookmarkStart w:id="256" w:name="bookmark256"/>
      <w:r>
        <w:rPr>
          <w:b/>
          <w:bCs/>
          <w:color w:val="000000"/>
          <w:spacing w:val="0"/>
          <w:w w:val="100"/>
          <w:position w:val="0"/>
        </w:rPr>
        <w:t>（</w:t>
      </w:r>
      <w:bookmarkEnd w:id="256"/>
      <w:r>
        <w:rPr>
          <w:b/>
          <w:bCs/>
          <w:color w:val="000000"/>
          <w:spacing w:val="0"/>
          <w:w w:val="100"/>
          <w:position w:val="0"/>
        </w:rPr>
        <w:t>二）公司战略与经营计划</w:t>
      </w:r>
    </w:p>
    <w:p>
      <w:pPr>
        <w:pStyle w:val="Style32"/>
        <w:keepNext w:val="0"/>
        <w:keepLines w:val="0"/>
        <w:widowControl w:val="0"/>
        <w:shd w:val="clear" w:color="auto" w:fill="auto"/>
        <w:bidi w:val="0"/>
        <w:spacing w:before="0" w:after="340" w:line="352" w:lineRule="exact"/>
        <w:ind w:left="280" w:right="0"/>
        <w:jc w:val="both"/>
      </w:pPr>
      <w:r>
        <w:rPr>
          <w:color w:val="000000"/>
          <w:spacing w:val="0"/>
          <w:w w:val="100"/>
          <w:position w:val="0"/>
          <w:sz w:val="17"/>
          <w:szCs w:val="17"/>
        </w:rPr>
        <w:t>2017</w:t>
      </w:r>
      <w:r>
        <w:rPr>
          <w:color w:val="000000"/>
          <w:spacing w:val="0"/>
          <w:w w:val="100"/>
          <w:position w:val="0"/>
        </w:rPr>
        <w:t>年，公司将在</w:t>
      </w:r>
      <w:r>
        <w:rPr>
          <w:color w:val="000000"/>
          <w:spacing w:val="0"/>
          <w:w w:val="100"/>
          <w:position w:val="0"/>
          <w:sz w:val="17"/>
          <w:szCs w:val="17"/>
        </w:rPr>
        <w:t>IT</w:t>
      </w:r>
      <w:r>
        <w:rPr>
          <w:color w:val="000000"/>
          <w:spacing w:val="0"/>
          <w:w w:val="100"/>
          <w:position w:val="0"/>
        </w:rPr>
        <w:t>分销业务的基础上全面战略转型，在国家自主可控的政策指引下，聚合</w:t>
      </w:r>
      <w:r>
        <w:rPr>
          <w:color w:val="000000"/>
          <w:spacing w:val="0"/>
          <w:w w:val="100"/>
          <w:position w:val="0"/>
          <w:sz w:val="17"/>
          <w:szCs w:val="17"/>
        </w:rPr>
        <w:t>IT</w:t>
      </w:r>
      <w:r>
        <w:rPr>
          <w:color w:val="000000"/>
          <w:spacing w:val="0"/>
          <w:w w:val="100"/>
          <w:position w:val="0"/>
        </w:rPr>
        <w:t>产业链资源、助力生态 合作伙伴转型，充分利用互联网、云计算、大数据等新型技术，打造中国最大的企业信息化服务互联网平台。全新的互联 网化企业信息化服务平台将包括：</w:t>
      </w:r>
      <w:r>
        <w:rPr>
          <w:color w:val="000000"/>
          <w:spacing w:val="0"/>
          <w:w w:val="100"/>
          <w:position w:val="0"/>
          <w:sz w:val="17"/>
          <w:szCs w:val="17"/>
        </w:rPr>
        <w:t>B2B</w:t>
      </w:r>
      <w:r>
        <w:rPr>
          <w:color w:val="000000"/>
          <w:spacing w:val="0"/>
          <w:w w:val="100"/>
          <w:position w:val="0"/>
        </w:rPr>
        <w:t>交易撮合、供应链管理、自有品牌产品与服务、云服务相关增值服务与技术支持、资 本合作等一系列生态商机，也将为公司带来更多的业务模式发展与核心竞争力。企业信息化服务平台的推出将优化公司业 务结构，同时公司将围绕互联网业务、企业增值服务业务、自有品牌业务、云服务业务开展全新的战略业务，并利用资本 平台，加大投资、并购等协同效应，补充各项专业能力，从而推进以渠道管理、产品代理、资金运作为主的分销贸易型企 业向互联网型企业信息化服务平台，并拥有自有品牌、云计算、大数据等相关技术以及研发能力的技术服务型企业转型。 为实现此目标，公司</w:t>
      </w:r>
      <w:r>
        <w:rPr>
          <w:color w:val="000000"/>
          <w:spacing w:val="0"/>
          <w:w w:val="100"/>
          <w:position w:val="0"/>
          <w:sz w:val="17"/>
          <w:szCs w:val="17"/>
        </w:rPr>
        <w:t>2017</w:t>
      </w:r>
      <w:r>
        <w:rPr>
          <w:color w:val="000000"/>
          <w:spacing w:val="0"/>
          <w:w w:val="100"/>
          <w:position w:val="0"/>
        </w:rPr>
        <w:t>年主要发展战略与经营计划如下：</w:t>
      </w:r>
    </w:p>
    <w:p>
      <w:pPr>
        <w:pStyle w:val="Style32"/>
        <w:keepNext w:val="0"/>
        <w:keepLines w:val="0"/>
        <w:widowControl w:val="0"/>
        <w:shd w:val="clear" w:color="auto" w:fill="auto"/>
        <w:tabs>
          <w:tab w:pos="559" w:val="left"/>
        </w:tabs>
        <w:bidi w:val="0"/>
        <w:spacing w:before="0" w:after="0" w:line="352" w:lineRule="exact"/>
        <w:ind w:left="0" w:right="0" w:firstLine="280"/>
        <w:jc w:val="left"/>
      </w:pPr>
      <w:bookmarkStart w:id="257" w:name="bookmark257"/>
      <w:r>
        <w:rPr>
          <w:b/>
          <w:bCs/>
          <w:color w:val="000000"/>
          <w:spacing w:val="0"/>
          <w:w w:val="100"/>
          <w:position w:val="0"/>
        </w:rPr>
        <w:t>1</w:t>
      </w:r>
      <w:bookmarkEnd w:id="257"/>
      <w:r>
        <w:rPr>
          <w:b/>
          <w:bCs/>
          <w:color w:val="000000"/>
          <w:spacing w:val="0"/>
          <w:w w:val="100"/>
          <w:position w:val="0"/>
        </w:rPr>
        <w:t>、</w:t>
        <w:tab/>
        <w:t>推进新平台下各战略业务，实现各领域阶段性突破</w:t>
      </w:r>
    </w:p>
    <w:p>
      <w:pPr>
        <w:pStyle w:val="Style32"/>
        <w:keepNext w:val="0"/>
        <w:keepLines w:val="0"/>
        <w:widowControl w:val="0"/>
        <w:shd w:val="clear" w:color="auto" w:fill="auto"/>
        <w:tabs>
          <w:tab w:pos="1121" w:val="left"/>
        </w:tabs>
        <w:bidi w:val="0"/>
        <w:spacing w:before="0" w:after="0" w:line="352" w:lineRule="exact"/>
        <w:ind w:left="280" w:right="0"/>
        <w:jc w:val="left"/>
      </w:pPr>
      <w:bookmarkStart w:id="258" w:name="bookmark258"/>
      <w:r>
        <w:rPr>
          <w:color w:val="000000"/>
          <w:spacing w:val="0"/>
          <w:w w:val="100"/>
          <w:position w:val="0"/>
          <w:sz w:val="17"/>
          <w:szCs w:val="17"/>
        </w:rPr>
        <w:t>（</w:t>
      </w:r>
      <w:bookmarkEnd w:id="258"/>
      <w:r>
        <w:rPr>
          <w:color w:val="000000"/>
          <w:spacing w:val="0"/>
          <w:w w:val="100"/>
          <w:position w:val="0"/>
          <w:sz w:val="17"/>
          <w:szCs w:val="17"/>
        </w:rPr>
        <w:t>1）</w:t>
        <w:tab/>
      </w:r>
      <w:r>
        <w:rPr>
          <w:color w:val="000000"/>
          <w:spacing w:val="0"/>
          <w:w w:val="100"/>
          <w:position w:val="0"/>
        </w:rPr>
        <w:t>公司</w:t>
      </w:r>
      <w:r>
        <w:rPr>
          <w:color w:val="000000"/>
          <w:spacing w:val="0"/>
          <w:w w:val="100"/>
          <w:position w:val="0"/>
          <w:sz w:val="17"/>
          <w:szCs w:val="17"/>
        </w:rPr>
        <w:t>IT</w:t>
      </w:r>
      <w:r>
        <w:rPr>
          <w:color w:val="000000"/>
          <w:spacing w:val="0"/>
          <w:w w:val="100"/>
          <w:position w:val="0"/>
        </w:rPr>
        <w:t>分销业务将进行全面互联网化升级，消费电子业务和部分增值业务将转型为互联网业务，致力于打造中国 最大的企业信息化交易和服务平台，即全新的</w:t>
      </w:r>
      <w:r>
        <w:rPr>
          <w:color w:val="000000"/>
          <w:spacing w:val="0"/>
          <w:w w:val="100"/>
          <w:position w:val="0"/>
          <w:sz w:val="17"/>
          <w:szCs w:val="17"/>
        </w:rPr>
        <w:t>IC T</w:t>
      </w:r>
      <w:r>
        <w:rPr>
          <w:color w:val="000000"/>
          <w:spacing w:val="0"/>
          <w:w w:val="100"/>
          <w:position w:val="0"/>
        </w:rPr>
        <w:t>垂直领域</w:t>
      </w:r>
      <w:r>
        <w:rPr>
          <w:color w:val="000000"/>
          <w:spacing w:val="0"/>
          <w:w w:val="100"/>
          <w:position w:val="0"/>
          <w:sz w:val="17"/>
          <w:szCs w:val="17"/>
        </w:rPr>
        <w:t>B2B</w:t>
      </w:r>
      <w:r>
        <w:rPr>
          <w:color w:val="000000"/>
          <w:spacing w:val="0"/>
          <w:w w:val="100"/>
          <w:position w:val="0"/>
        </w:rPr>
        <w:t>电商平台神州商桥。公司将梳理、优化业务流程及系统，聚 焦多个产品模块，完善服务功能，完成平台交易、支付、交付的核心服务功能，充分利用互联网的工具优化</w:t>
      </w:r>
      <w:r>
        <w:rPr>
          <w:color w:val="000000"/>
          <w:spacing w:val="0"/>
          <w:w w:val="100"/>
          <w:position w:val="0"/>
          <w:sz w:val="17"/>
          <w:szCs w:val="17"/>
        </w:rPr>
        <w:t>IT</w:t>
      </w:r>
      <w:r>
        <w:rPr>
          <w:color w:val="000000"/>
          <w:spacing w:val="0"/>
          <w:w w:val="100"/>
          <w:position w:val="0"/>
        </w:rPr>
        <w:t>分销业务， 为全球顶尖供应商及中国最优秀的渠道伙伴、企业，创造全新的商业价值。此外，公司将基于全新的</w:t>
      </w:r>
      <w:r>
        <w:rPr>
          <w:color w:val="000000"/>
          <w:spacing w:val="0"/>
          <w:w w:val="100"/>
          <w:position w:val="0"/>
          <w:sz w:val="17"/>
          <w:szCs w:val="17"/>
        </w:rPr>
        <w:t>B2B</w:t>
      </w:r>
      <w:r>
        <w:rPr>
          <w:color w:val="000000"/>
          <w:spacing w:val="0"/>
          <w:w w:val="100"/>
          <w:position w:val="0"/>
        </w:rPr>
        <w:t>电商平台打造互联 网模式的策划、技术架构研发、线上与线下全渠道营销、供应链管理、金融服务、大数据支持等相关增值服务的能力，为 公司在</w:t>
      </w:r>
      <w:r>
        <w:rPr>
          <w:color w:val="000000"/>
          <w:spacing w:val="0"/>
          <w:w w:val="100"/>
          <w:position w:val="0"/>
          <w:sz w:val="17"/>
          <w:szCs w:val="17"/>
        </w:rPr>
        <w:t>IT</w:t>
      </w:r>
      <w:r>
        <w:rPr>
          <w:color w:val="000000"/>
          <w:spacing w:val="0"/>
          <w:w w:val="100"/>
          <w:position w:val="0"/>
        </w:rPr>
        <w:t>产业链生态中的存量、增量供应商，下游渠道合作伙伴、各领域企业级客户不断发掘新的商机。</w:t>
      </w:r>
    </w:p>
    <w:p>
      <w:pPr>
        <w:pStyle w:val="Style32"/>
        <w:keepNext w:val="0"/>
        <w:keepLines w:val="0"/>
        <w:widowControl w:val="0"/>
        <w:shd w:val="clear" w:color="auto" w:fill="auto"/>
        <w:tabs>
          <w:tab w:pos="1121" w:val="left"/>
        </w:tabs>
        <w:bidi w:val="0"/>
        <w:spacing w:before="0" w:after="0" w:line="352" w:lineRule="exact"/>
        <w:ind w:left="280" w:right="0"/>
        <w:jc w:val="left"/>
      </w:pPr>
      <w:bookmarkStart w:id="259" w:name="bookmark259"/>
      <w:r>
        <w:rPr>
          <w:color w:val="000000"/>
          <w:spacing w:val="0"/>
          <w:w w:val="100"/>
          <w:position w:val="0"/>
          <w:sz w:val="17"/>
          <w:szCs w:val="17"/>
        </w:rPr>
        <w:t>（</w:t>
      </w:r>
      <w:bookmarkEnd w:id="259"/>
      <w:r>
        <w:rPr>
          <w:color w:val="000000"/>
          <w:spacing w:val="0"/>
          <w:w w:val="100"/>
          <w:position w:val="0"/>
          <w:sz w:val="17"/>
          <w:szCs w:val="17"/>
        </w:rPr>
        <w:t>2）</w:t>
        <w:tab/>
      </w:r>
      <w:r>
        <w:rPr>
          <w:color w:val="000000"/>
          <w:spacing w:val="0"/>
          <w:w w:val="100"/>
          <w:position w:val="0"/>
        </w:rPr>
        <w:t>在自有品牌方向，公司将坚持国家战略自主可控道路，通过双品牌、收并购、自主研发的发展策略，坚定本地化 生产、本地化服务、本地化研发的发展模式。公司将基于自身完整的、成熟的供应链、生产制造、研发营销体系的基础， 完善公司自有品牌平台的建设，明确网络、存储、系统、安全四家专业子公司的业务方向及经营策略。同时，公司将继续 加强与海外主流厂商的合作，实现更多双品牌策略的新产品落地，并围绕现有合作产品在超融合解决方案、数据库一体机 等核心产品加速研发，并提升相应的渠道和服务能力。</w:t>
      </w:r>
    </w:p>
    <w:p>
      <w:pPr>
        <w:pStyle w:val="Style32"/>
        <w:keepNext w:val="0"/>
        <w:keepLines w:val="0"/>
        <w:widowControl w:val="0"/>
        <w:shd w:val="clear" w:color="auto" w:fill="auto"/>
        <w:tabs>
          <w:tab w:pos="1121" w:val="left"/>
        </w:tabs>
        <w:bidi w:val="0"/>
        <w:spacing w:before="0" w:after="340" w:line="352" w:lineRule="exact"/>
        <w:ind w:left="280" w:right="0"/>
        <w:jc w:val="left"/>
      </w:pPr>
      <w:bookmarkStart w:id="260" w:name="bookmark260"/>
      <w:r>
        <w:rPr>
          <w:color w:val="000000"/>
          <w:spacing w:val="0"/>
          <w:w w:val="100"/>
          <w:position w:val="0"/>
          <w:sz w:val="17"/>
          <w:szCs w:val="17"/>
        </w:rPr>
        <w:t>（</w:t>
      </w:r>
      <w:bookmarkEnd w:id="260"/>
      <w:r>
        <w:rPr>
          <w:color w:val="000000"/>
          <w:spacing w:val="0"/>
          <w:w w:val="100"/>
          <w:position w:val="0"/>
          <w:sz w:val="17"/>
          <w:szCs w:val="17"/>
        </w:rPr>
        <w:t>3）</w:t>
        <w:tab/>
      </w:r>
      <w:r>
        <w:rPr>
          <w:color w:val="000000"/>
          <w:spacing w:val="0"/>
          <w:w w:val="100"/>
          <w:position w:val="0"/>
        </w:rPr>
        <w:t xml:space="preserve">在云服务领域，公司致力于打造中国企业级市场最具影响力的云增值服务提供商，具体包括：公司将获取更多公 有云基础资源，在能力建设上布局，根据客户需求提供定制化的服务及基础设施服务；公司将聚焦阿里云、华为、微软、 </w:t>
      </w:r>
      <w:r>
        <w:rPr>
          <w:color w:val="000000"/>
          <w:spacing w:val="0"/>
          <w:w w:val="100"/>
          <w:position w:val="0"/>
          <w:sz w:val="17"/>
          <w:szCs w:val="17"/>
        </w:rPr>
        <w:t>IBM</w:t>
      </w:r>
      <w:r>
        <w:rPr>
          <w:color w:val="000000"/>
          <w:spacing w:val="0"/>
          <w:w w:val="100"/>
          <w:position w:val="0"/>
        </w:rPr>
        <w:t>、</w:t>
      </w:r>
      <w:r>
        <w:rPr>
          <w:color w:val="000000"/>
          <w:spacing w:val="0"/>
          <w:w w:val="100"/>
          <w:position w:val="0"/>
        </w:rPr>
        <w:t>甲骨文、</w:t>
      </w:r>
      <w:r>
        <w:rPr>
          <w:color w:val="000000"/>
          <w:spacing w:val="0"/>
          <w:w w:val="100"/>
          <w:position w:val="0"/>
          <w:sz w:val="17"/>
          <w:szCs w:val="17"/>
        </w:rPr>
        <w:t>Vmware</w:t>
      </w:r>
      <w:r>
        <w:rPr>
          <w:color w:val="000000"/>
          <w:spacing w:val="0"/>
          <w:w w:val="100"/>
          <w:position w:val="0"/>
        </w:rPr>
        <w:t>等多家公有云服务厂商，推进更多云资源转售及增值服务落地；公司将持续打造</w:t>
      </w:r>
      <w:r>
        <w:rPr>
          <w:color w:val="000000"/>
          <w:spacing w:val="0"/>
          <w:w w:val="100"/>
          <w:position w:val="0"/>
          <w:sz w:val="17"/>
          <w:szCs w:val="17"/>
        </w:rPr>
        <w:t>Marketplace</w:t>
      </w:r>
      <w:r>
        <w:rPr>
          <w:color w:val="000000"/>
          <w:spacing w:val="0"/>
          <w:w w:val="100"/>
          <w:position w:val="0"/>
        </w:rPr>
        <w:t>云平台， 聚合</w:t>
      </w:r>
      <w:r>
        <w:rPr>
          <w:color w:val="000000"/>
          <w:spacing w:val="0"/>
          <w:w w:val="100"/>
          <w:position w:val="0"/>
          <w:sz w:val="17"/>
          <w:szCs w:val="17"/>
        </w:rPr>
        <w:t>300</w:t>
      </w:r>
      <w:r>
        <w:rPr>
          <w:color w:val="000000"/>
          <w:spacing w:val="0"/>
          <w:w w:val="100"/>
          <w:position w:val="0"/>
        </w:rPr>
        <w:t>+云服务产品，完善云生态建设，为平台业务模式的落地打好基础，成为全球领先云厂商首选合作伙伴，打造国内 领先的企业级云服务平台；最后，公司还将进一步梳理云服务品牌，以及加强云业务相关的技术、运营和营销三方面的能 力。</w:t>
      </w:r>
    </w:p>
    <w:p>
      <w:pPr>
        <w:pStyle w:val="Style32"/>
        <w:keepNext w:val="0"/>
        <w:keepLines w:val="0"/>
        <w:widowControl w:val="0"/>
        <w:shd w:val="clear" w:color="auto" w:fill="auto"/>
        <w:tabs>
          <w:tab w:pos="569" w:val="left"/>
        </w:tabs>
        <w:bidi w:val="0"/>
        <w:spacing w:before="0" w:after="0" w:line="350" w:lineRule="exact"/>
        <w:ind w:left="0" w:right="0" w:firstLine="280"/>
        <w:jc w:val="left"/>
      </w:pPr>
      <w:bookmarkStart w:id="261" w:name="bookmark261"/>
      <w:r>
        <w:rPr>
          <w:b/>
          <w:bCs/>
          <w:color w:val="000000"/>
          <w:spacing w:val="0"/>
          <w:w w:val="100"/>
          <w:position w:val="0"/>
        </w:rPr>
        <w:t>2</w:t>
      </w:r>
      <w:bookmarkEnd w:id="261"/>
      <w:r>
        <w:rPr>
          <w:b/>
          <w:bCs/>
          <w:color w:val="000000"/>
          <w:spacing w:val="0"/>
          <w:w w:val="100"/>
          <w:position w:val="0"/>
        </w:rPr>
        <w:t>、</w:t>
        <w:tab/>
        <w:t>建设营销管理体系，打造核心技术能力</w:t>
      </w:r>
    </w:p>
    <w:p>
      <w:pPr>
        <w:pStyle w:val="Style32"/>
        <w:keepNext w:val="0"/>
        <w:keepLines w:val="0"/>
        <w:widowControl w:val="0"/>
        <w:shd w:val="clear" w:color="auto" w:fill="auto"/>
        <w:tabs>
          <w:tab w:pos="1126" w:val="left"/>
        </w:tabs>
        <w:bidi w:val="0"/>
        <w:spacing w:before="0" w:after="0" w:line="350" w:lineRule="exact"/>
        <w:ind w:left="280" w:right="0"/>
        <w:jc w:val="left"/>
      </w:pPr>
      <w:bookmarkStart w:id="262" w:name="bookmark262"/>
      <w:r>
        <w:rPr>
          <w:color w:val="000000"/>
          <w:spacing w:val="0"/>
          <w:w w:val="100"/>
          <w:position w:val="0"/>
          <w:sz w:val="17"/>
          <w:szCs w:val="17"/>
        </w:rPr>
        <w:t>（</w:t>
      </w:r>
      <w:bookmarkEnd w:id="262"/>
      <w:r>
        <w:rPr>
          <w:color w:val="000000"/>
          <w:spacing w:val="0"/>
          <w:w w:val="100"/>
          <w:position w:val="0"/>
          <w:sz w:val="17"/>
          <w:szCs w:val="17"/>
        </w:rPr>
        <w:t>1）</w:t>
        <w:tab/>
      </w:r>
      <w:r>
        <w:rPr>
          <w:color w:val="000000"/>
          <w:spacing w:val="0"/>
          <w:w w:val="100"/>
          <w:position w:val="0"/>
        </w:rPr>
        <w:t>完成公司全业务营销平台建设的框架设计，同时规划建立面向不同客户的营销管理系统：公司将全面规划营销平 台、营销管理系统，搭建以客户为中心，以服务为导向的横向营销体系，以此为根基发挥公司整合优势，深度挖掘渠道价 值，科学分配人力资源，有效协同业务推进。</w:t>
      </w:r>
    </w:p>
    <w:p>
      <w:pPr>
        <w:pStyle w:val="Style32"/>
        <w:keepNext w:val="0"/>
        <w:keepLines w:val="0"/>
        <w:widowControl w:val="0"/>
        <w:shd w:val="clear" w:color="auto" w:fill="auto"/>
        <w:tabs>
          <w:tab w:pos="1121" w:val="left"/>
        </w:tabs>
        <w:bidi w:val="0"/>
        <w:spacing w:before="0" w:after="340" w:line="350" w:lineRule="exact"/>
        <w:ind w:left="280" w:right="0"/>
        <w:jc w:val="left"/>
      </w:pPr>
      <w:bookmarkStart w:id="263" w:name="bookmark263"/>
      <w:r>
        <w:rPr>
          <w:color w:val="000000"/>
          <w:spacing w:val="0"/>
          <w:w w:val="100"/>
          <w:position w:val="0"/>
          <w:sz w:val="17"/>
          <w:szCs w:val="17"/>
        </w:rPr>
        <w:t>（</w:t>
      </w:r>
      <w:bookmarkEnd w:id="263"/>
      <w:r>
        <w:rPr>
          <w:color w:val="000000"/>
          <w:spacing w:val="0"/>
          <w:w w:val="100"/>
          <w:position w:val="0"/>
          <w:sz w:val="17"/>
          <w:szCs w:val="17"/>
        </w:rPr>
        <w:t>2）</w:t>
        <w:tab/>
      </w:r>
      <w:r>
        <w:rPr>
          <w:color w:val="000000"/>
          <w:spacing w:val="0"/>
          <w:w w:val="100"/>
          <w:position w:val="0"/>
        </w:rPr>
        <w:t>公司成立技术管理委员会，完成集团技术服务和研发发展规划并逐步实施，全面提升技术服务和研发能力：公司 将重点关注技术服务的方向以及技术能力的培养，以云计算、大数据等互联网技术为聚焦点，制定公司技术规划蓝图；公 司内部将建立更敏捷的</w:t>
      </w:r>
      <w:r>
        <w:rPr>
          <w:color w:val="000000"/>
          <w:spacing w:val="0"/>
          <w:w w:val="100"/>
          <w:position w:val="0"/>
          <w:sz w:val="17"/>
          <w:szCs w:val="17"/>
        </w:rPr>
        <w:t>IT</w:t>
      </w:r>
      <w:r>
        <w:rPr>
          <w:color w:val="000000"/>
          <w:spacing w:val="0"/>
          <w:w w:val="100"/>
          <w:position w:val="0"/>
        </w:rPr>
        <w:t>系统，以支撑公司营销体系和运营体系建设，完成公司技术服务和研发的发展规划并展开实施。</w:t>
      </w:r>
    </w:p>
    <w:p>
      <w:pPr>
        <w:pStyle w:val="Style32"/>
        <w:keepNext w:val="0"/>
        <w:keepLines w:val="0"/>
        <w:widowControl w:val="0"/>
        <w:shd w:val="clear" w:color="auto" w:fill="auto"/>
        <w:bidi w:val="0"/>
        <w:spacing w:before="0" w:after="340" w:line="365" w:lineRule="exact"/>
        <w:ind w:left="280" w:right="0"/>
        <w:jc w:val="both"/>
      </w:pPr>
      <w:bookmarkStart w:id="264" w:name="bookmark264"/>
      <w:r>
        <w:rPr>
          <w:color w:val="000000"/>
          <w:spacing w:val="0"/>
          <w:w w:val="100"/>
          <w:position w:val="0"/>
          <w:sz w:val="17"/>
          <w:szCs w:val="17"/>
        </w:rPr>
        <w:t>（</w:t>
      </w:r>
      <w:bookmarkEnd w:id="264"/>
      <w:r>
        <w:rPr>
          <w:color w:val="000000"/>
          <w:spacing w:val="0"/>
          <w:w w:val="100"/>
          <w:position w:val="0"/>
          <w:sz w:val="17"/>
          <w:szCs w:val="17"/>
        </w:rPr>
        <w:t>3）</w:t>
      </w:r>
      <w:r>
        <w:rPr>
          <w:color w:val="000000"/>
          <w:spacing w:val="0"/>
          <w:w w:val="100"/>
          <w:position w:val="0"/>
        </w:rPr>
        <w:t>公司建立高效率的业务运营管理流程，实现智能化的全业务运营管理：公司将建设全新的运营管理能力，结合互 联网，发挥其最大效能，为公司互联网化平台附能。</w:t>
      </w:r>
    </w:p>
    <w:p>
      <w:pPr>
        <w:pStyle w:val="Style32"/>
        <w:keepNext w:val="0"/>
        <w:keepLines w:val="0"/>
        <w:widowControl w:val="0"/>
        <w:shd w:val="clear" w:color="auto" w:fill="auto"/>
        <w:tabs>
          <w:tab w:pos="577" w:val="left"/>
        </w:tabs>
        <w:bidi w:val="0"/>
        <w:spacing w:before="0" w:after="0" w:line="350" w:lineRule="exact"/>
        <w:ind w:left="0" w:right="0" w:firstLine="280"/>
        <w:jc w:val="left"/>
      </w:pPr>
      <w:bookmarkStart w:id="265" w:name="bookmark265"/>
      <w:r>
        <w:rPr>
          <w:b/>
          <w:bCs/>
          <w:color w:val="000000"/>
          <w:spacing w:val="0"/>
          <w:w w:val="100"/>
          <w:position w:val="0"/>
        </w:rPr>
        <w:t>3</w:t>
      </w:r>
      <w:bookmarkEnd w:id="265"/>
      <w:r>
        <w:rPr>
          <w:b/>
          <w:bCs/>
          <w:color w:val="000000"/>
          <w:spacing w:val="0"/>
          <w:w w:val="100"/>
          <w:position w:val="0"/>
        </w:rPr>
        <w:t>、</w:t>
        <w:tab/>
        <w:t>优化资产负债结构，推进战略型外延式发展</w:t>
      </w:r>
    </w:p>
    <w:p>
      <w:pPr>
        <w:pStyle w:val="Style32"/>
        <w:keepNext w:val="0"/>
        <w:keepLines w:val="0"/>
        <w:widowControl w:val="0"/>
        <w:shd w:val="clear" w:color="auto" w:fill="auto"/>
        <w:bidi w:val="0"/>
        <w:spacing w:before="0" w:after="340" w:line="350" w:lineRule="exact"/>
        <w:ind w:left="280" w:right="0"/>
        <w:jc w:val="left"/>
      </w:pPr>
      <w:r>
        <w:rPr>
          <w:color w:val="000000"/>
          <w:spacing w:val="0"/>
          <w:w w:val="100"/>
          <w:position w:val="0"/>
        </w:rPr>
        <w:t>公司将进一步推进员工持股计划的实施，实现增发目标，优化资产负债结构。此外，在内生发展的同时，未来几年， 公司将围绕战略发展规划，凭借领先的产业地位和行业影响力，在新领域、新技术、新模式等方面借助资本市场，整合行 业资源，完善战略布局，形成新的业务增长点，推动公司的全面发展和创新。</w:t>
      </w:r>
    </w:p>
    <w:p>
      <w:pPr>
        <w:pStyle w:val="Style32"/>
        <w:keepNext w:val="0"/>
        <w:keepLines w:val="0"/>
        <w:widowControl w:val="0"/>
        <w:shd w:val="clear" w:color="auto" w:fill="auto"/>
        <w:tabs>
          <w:tab w:pos="582" w:val="left"/>
        </w:tabs>
        <w:bidi w:val="0"/>
        <w:spacing w:before="0" w:after="0" w:line="352" w:lineRule="exact"/>
        <w:ind w:left="0" w:right="0" w:firstLine="280"/>
        <w:jc w:val="left"/>
      </w:pPr>
      <w:bookmarkStart w:id="266" w:name="bookmark266"/>
      <w:r>
        <w:rPr>
          <w:b/>
          <w:bCs/>
          <w:color w:val="000000"/>
          <w:spacing w:val="0"/>
          <w:w w:val="100"/>
          <w:position w:val="0"/>
        </w:rPr>
        <w:t>4</w:t>
      </w:r>
      <w:bookmarkEnd w:id="266"/>
      <w:r>
        <w:rPr>
          <w:b/>
          <w:bCs/>
          <w:color w:val="000000"/>
          <w:spacing w:val="0"/>
          <w:w w:val="100"/>
          <w:position w:val="0"/>
        </w:rPr>
        <w:t>、</w:t>
        <w:tab/>
        <w:t>完善公司体系治理，加强信息披露与投资者关系管理</w:t>
      </w:r>
    </w:p>
    <w:p>
      <w:pPr>
        <w:pStyle w:val="Style32"/>
        <w:keepNext w:val="0"/>
        <w:keepLines w:val="0"/>
        <w:widowControl w:val="0"/>
        <w:shd w:val="clear" w:color="auto" w:fill="auto"/>
        <w:tabs>
          <w:tab w:pos="1129" w:val="left"/>
        </w:tabs>
        <w:bidi w:val="0"/>
        <w:spacing w:before="0" w:after="0" w:line="352" w:lineRule="exact"/>
        <w:ind w:left="280" w:right="0"/>
        <w:jc w:val="left"/>
      </w:pPr>
      <w:bookmarkStart w:id="267" w:name="bookmark267"/>
      <w:r>
        <w:rPr>
          <w:color w:val="000000"/>
          <w:spacing w:val="0"/>
          <w:w w:val="100"/>
          <w:position w:val="0"/>
          <w:sz w:val="17"/>
          <w:szCs w:val="17"/>
        </w:rPr>
        <w:t>（</w:t>
      </w:r>
      <w:bookmarkEnd w:id="267"/>
      <w:r>
        <w:rPr>
          <w:color w:val="000000"/>
          <w:spacing w:val="0"/>
          <w:w w:val="100"/>
          <w:position w:val="0"/>
          <w:sz w:val="17"/>
          <w:szCs w:val="17"/>
        </w:rPr>
        <w:t>1）</w:t>
        <w:tab/>
      </w:r>
      <w:r>
        <w:rPr>
          <w:color w:val="000000"/>
          <w:spacing w:val="0"/>
          <w:w w:val="100"/>
          <w:position w:val="0"/>
        </w:rPr>
        <w:t>公司坚持严格按照相关的法律法规标准规范管理股东大会、董事会、监事会的日常运作，不断提高法人的治理水 平。完善公司的管理体系，建立集团化管控体系。依据相关政策法规的不断变化，公司适时完善相关治理文件，持续深入 的开展公司治理活动，进一步推动企业管理的规范化、标准化、常态化，促进公司的持续健康稳定发展，切实维护上市公 司及中小股东的利益。</w:t>
      </w:r>
    </w:p>
    <w:p>
      <w:pPr>
        <w:pStyle w:val="Style32"/>
        <w:keepNext w:val="0"/>
        <w:keepLines w:val="0"/>
        <w:widowControl w:val="0"/>
        <w:shd w:val="clear" w:color="auto" w:fill="auto"/>
        <w:tabs>
          <w:tab w:pos="1110" w:val="left"/>
        </w:tabs>
        <w:bidi w:val="0"/>
        <w:spacing w:before="0" w:after="0" w:line="352" w:lineRule="exact"/>
        <w:ind w:left="280" w:right="0"/>
        <w:jc w:val="left"/>
      </w:pPr>
      <w:bookmarkStart w:id="268" w:name="bookmark268"/>
      <w:r>
        <w:rPr>
          <w:color w:val="000000"/>
          <w:spacing w:val="0"/>
          <w:w w:val="100"/>
          <w:position w:val="0"/>
          <w:sz w:val="17"/>
          <w:szCs w:val="17"/>
        </w:rPr>
        <w:t>（</w:t>
      </w:r>
      <w:bookmarkEnd w:id="268"/>
      <w:r>
        <w:rPr>
          <w:color w:val="000000"/>
          <w:spacing w:val="0"/>
          <w:w w:val="100"/>
          <w:position w:val="0"/>
          <w:sz w:val="17"/>
          <w:szCs w:val="17"/>
        </w:rPr>
        <w:t>2）</w:t>
        <w:tab/>
      </w:r>
      <w:r>
        <w:rPr>
          <w:color w:val="000000"/>
          <w:spacing w:val="0"/>
          <w:w w:val="100"/>
          <w:position w:val="0"/>
        </w:rPr>
        <w:t>公司坚持严格按照国家法律法规及相关规范性文件的规定进行操作，以此规范落实信息披露工作，持续改进公司 内部管理制度，发挥董事、独立董事和监事会的作用。以投资者关系的管理为首要出发点，做好企业的资本市场形象工</w:t>
      </w:r>
    </w:p>
    <w:p>
      <w:pPr>
        <w:pStyle w:val="Style32"/>
        <w:keepNext w:val="0"/>
        <w:keepLines w:val="0"/>
        <w:widowControl w:val="0"/>
        <w:shd w:val="clear" w:color="auto" w:fill="auto"/>
        <w:bidi w:val="0"/>
        <w:spacing w:before="0" w:after="340" w:line="352" w:lineRule="exact"/>
        <w:ind w:left="280" w:right="0" w:firstLine="0"/>
        <w:jc w:val="left"/>
      </w:pPr>
      <w:r>
        <w:rPr>
          <w:color w:val="000000"/>
          <w:spacing w:val="0"/>
          <w:w w:val="100"/>
          <w:position w:val="0"/>
        </w:rPr>
        <w:t>作，不断加强与投资者的互动和沟通。防范经营风险，完善决策和管理水平，提升信息披露的质量，确保信息披露的及时 性、真实性、准确性和完整性，在资本市场树立良好的企业形象，继续为实现公司价值和股东利益最大化而努力。</w:t>
      </w:r>
    </w:p>
    <w:p>
      <w:pPr>
        <w:pStyle w:val="Style32"/>
        <w:keepNext w:val="0"/>
        <w:keepLines w:val="0"/>
        <w:widowControl w:val="0"/>
        <w:shd w:val="clear" w:color="auto" w:fill="auto"/>
        <w:bidi w:val="0"/>
        <w:spacing w:before="0" w:after="340" w:line="351" w:lineRule="exact"/>
        <w:ind w:left="0" w:right="0" w:firstLine="280"/>
        <w:jc w:val="left"/>
      </w:pPr>
      <w:bookmarkStart w:id="269" w:name="bookmark269"/>
      <w:r>
        <w:rPr>
          <w:b/>
          <w:bCs/>
          <w:color w:val="000000"/>
          <w:spacing w:val="0"/>
          <w:w w:val="100"/>
          <w:position w:val="0"/>
        </w:rPr>
        <w:t>（</w:t>
      </w:r>
      <w:bookmarkEnd w:id="269"/>
      <w:r>
        <w:rPr>
          <w:b/>
          <w:bCs/>
          <w:color w:val="000000"/>
          <w:spacing w:val="0"/>
          <w:w w:val="100"/>
          <w:position w:val="0"/>
        </w:rPr>
        <w:t>三）可能面临的风险</w:t>
      </w:r>
    </w:p>
    <w:p>
      <w:pPr>
        <w:pStyle w:val="Style32"/>
        <w:keepNext w:val="0"/>
        <w:keepLines w:val="0"/>
        <w:widowControl w:val="0"/>
        <w:shd w:val="clear" w:color="auto" w:fill="auto"/>
        <w:tabs>
          <w:tab w:pos="568" w:val="left"/>
        </w:tabs>
        <w:bidi w:val="0"/>
        <w:spacing w:before="0" w:after="0" w:line="351" w:lineRule="exact"/>
        <w:ind w:left="0" w:right="0" w:firstLine="280"/>
        <w:jc w:val="left"/>
      </w:pPr>
      <w:bookmarkStart w:id="270" w:name="bookmark270"/>
      <w:r>
        <w:rPr>
          <w:b/>
          <w:bCs/>
          <w:color w:val="000000"/>
          <w:spacing w:val="0"/>
          <w:w w:val="100"/>
          <w:position w:val="0"/>
        </w:rPr>
        <w:t>1</w:t>
      </w:r>
      <w:bookmarkEnd w:id="270"/>
      <w:r>
        <w:rPr>
          <w:b/>
          <w:bCs/>
          <w:color w:val="000000"/>
          <w:spacing w:val="0"/>
          <w:w w:val="100"/>
          <w:position w:val="0"/>
        </w:rPr>
        <w:t>、</w:t>
        <w:tab/>
        <w:t>市场竞争风险</w:t>
      </w:r>
    </w:p>
    <w:p>
      <w:pPr>
        <w:pStyle w:val="Style32"/>
        <w:keepNext w:val="0"/>
        <w:keepLines w:val="0"/>
        <w:widowControl w:val="0"/>
        <w:shd w:val="clear" w:color="auto" w:fill="auto"/>
        <w:bidi w:val="0"/>
        <w:spacing w:before="0" w:after="340" w:line="357" w:lineRule="exact"/>
        <w:ind w:left="280" w:right="0"/>
        <w:jc w:val="both"/>
      </w:pPr>
      <w:r>
        <w:rPr>
          <w:color w:val="000000"/>
          <w:spacing w:val="0"/>
          <w:w w:val="100"/>
          <w:position w:val="0"/>
        </w:rPr>
        <w:t>国内</w:t>
      </w:r>
      <w:r>
        <w:rPr>
          <w:color w:val="000000"/>
          <w:spacing w:val="0"/>
          <w:w w:val="100"/>
          <w:position w:val="0"/>
          <w:sz w:val="17"/>
          <w:szCs w:val="17"/>
        </w:rPr>
        <w:t>IT</w:t>
      </w:r>
      <w:r>
        <w:rPr>
          <w:color w:val="000000"/>
          <w:spacing w:val="0"/>
          <w:w w:val="100"/>
          <w:position w:val="0"/>
        </w:rPr>
        <w:t>分销行业市场化竞争明显，销售渠道竞争日益激烈。首先，移动互联时代的到来，重构了手机、平台电脑等</w:t>
      </w:r>
      <w:r>
        <w:rPr>
          <w:color w:val="000000"/>
          <w:spacing w:val="0"/>
          <w:w w:val="100"/>
          <w:position w:val="0"/>
          <w:sz w:val="17"/>
          <w:szCs w:val="17"/>
        </w:rPr>
        <w:t>IT</w:t>
      </w:r>
      <w:r>
        <w:rPr>
          <w:color w:val="000000"/>
          <w:spacing w:val="0"/>
          <w:w w:val="100"/>
          <w:position w:val="0"/>
        </w:rPr>
        <w:t>商 品的销售模式；其次，传统的</w:t>
      </w:r>
      <w:r>
        <w:rPr>
          <w:color w:val="000000"/>
          <w:spacing w:val="0"/>
          <w:w w:val="100"/>
          <w:position w:val="0"/>
          <w:sz w:val="17"/>
          <w:szCs w:val="17"/>
        </w:rPr>
        <w:t>IT</w:t>
      </w:r>
      <w:r>
        <w:rPr>
          <w:color w:val="000000"/>
          <w:spacing w:val="0"/>
          <w:w w:val="100"/>
          <w:position w:val="0"/>
        </w:rPr>
        <w:t>分销行业也面临着厂商考核、同行业分销渠道的竞争和资金、库存的压力，此外，移动互联 的崛起都在影响着分销业务的商业模式。为此，公司建立了高效的分销体系，开展全渠道的分销模式，在市场中有效识别行 业环境、市场需求及市场结构的重大变化，及时调整经营策略，有效协调销售渠道各环节，以及内部管理工作。</w:t>
      </w:r>
    </w:p>
    <w:p>
      <w:pPr>
        <w:pStyle w:val="Style32"/>
        <w:keepNext w:val="0"/>
        <w:keepLines w:val="0"/>
        <w:widowControl w:val="0"/>
        <w:shd w:val="clear" w:color="auto" w:fill="auto"/>
        <w:tabs>
          <w:tab w:pos="577" w:val="left"/>
        </w:tabs>
        <w:bidi w:val="0"/>
        <w:spacing w:before="0" w:after="0" w:line="346" w:lineRule="exact"/>
        <w:ind w:left="0" w:right="0" w:firstLine="280"/>
        <w:jc w:val="left"/>
      </w:pPr>
      <w:bookmarkStart w:id="271" w:name="bookmark271"/>
      <w:r>
        <w:rPr>
          <w:b/>
          <w:bCs/>
          <w:color w:val="000000"/>
          <w:spacing w:val="0"/>
          <w:w w:val="100"/>
          <w:position w:val="0"/>
        </w:rPr>
        <w:t>2</w:t>
      </w:r>
      <w:bookmarkEnd w:id="271"/>
      <w:r>
        <w:rPr>
          <w:b/>
          <w:bCs/>
          <w:color w:val="000000"/>
          <w:spacing w:val="0"/>
          <w:w w:val="100"/>
          <w:position w:val="0"/>
        </w:rPr>
        <w:t>、</w:t>
        <w:tab/>
        <w:t>汇率风险</w:t>
      </w:r>
    </w:p>
    <w:p>
      <w:pPr>
        <w:pStyle w:val="Style32"/>
        <w:keepNext w:val="0"/>
        <w:keepLines w:val="0"/>
        <w:widowControl w:val="0"/>
        <w:shd w:val="clear" w:color="auto" w:fill="auto"/>
        <w:bidi w:val="0"/>
        <w:spacing w:before="0" w:after="340" w:line="346" w:lineRule="exact"/>
        <w:ind w:left="280" w:right="0"/>
        <w:jc w:val="both"/>
      </w:pPr>
      <w:r>
        <w:rPr>
          <w:color w:val="000000"/>
          <w:spacing w:val="0"/>
          <w:w w:val="100"/>
          <w:position w:val="0"/>
        </w:rPr>
        <w:t>公司的部分采购和销售业务在香港和澳门进行，以港币和澳门币结算；付给境外客户的采购款部分以美元进行结算。汇 率波动可能会给公司业绩造成一定的风险。公司采用远期外汇合同来对冲汇率风险，日常对风险敞口及市场进行实时监控, 及时调整对冲策略及对冲比例。</w:t>
      </w:r>
    </w:p>
    <w:p>
      <w:pPr>
        <w:pStyle w:val="Style32"/>
        <w:keepNext w:val="0"/>
        <w:keepLines w:val="0"/>
        <w:widowControl w:val="0"/>
        <w:shd w:val="clear" w:color="auto" w:fill="auto"/>
        <w:tabs>
          <w:tab w:pos="577" w:val="left"/>
        </w:tabs>
        <w:bidi w:val="0"/>
        <w:spacing w:before="0" w:after="0" w:line="348" w:lineRule="exact"/>
        <w:ind w:left="0" w:right="0" w:firstLine="280"/>
        <w:jc w:val="left"/>
      </w:pPr>
      <w:bookmarkStart w:id="272" w:name="bookmark272"/>
      <w:r>
        <w:rPr>
          <w:b/>
          <w:bCs/>
          <w:color w:val="000000"/>
          <w:spacing w:val="0"/>
          <w:w w:val="100"/>
          <w:position w:val="0"/>
        </w:rPr>
        <w:t>3</w:t>
      </w:r>
      <w:bookmarkEnd w:id="272"/>
      <w:r>
        <w:rPr>
          <w:b/>
          <w:bCs/>
          <w:color w:val="000000"/>
          <w:spacing w:val="0"/>
          <w:w w:val="100"/>
          <w:position w:val="0"/>
        </w:rPr>
        <w:t>、</w:t>
        <w:tab/>
        <w:t>存货管理的风险</w:t>
      </w:r>
    </w:p>
    <w:p>
      <w:pPr>
        <w:pStyle w:val="Style32"/>
        <w:keepNext w:val="0"/>
        <w:keepLines w:val="0"/>
        <w:widowControl w:val="0"/>
        <w:shd w:val="clear" w:color="auto" w:fill="auto"/>
        <w:bidi w:val="0"/>
        <w:spacing w:before="0" w:after="480" w:line="348" w:lineRule="exact"/>
        <w:ind w:left="280" w:right="0"/>
        <w:jc w:val="both"/>
      </w:pPr>
      <w:r>
        <w:rPr>
          <w:color w:val="000000"/>
          <w:spacing w:val="0"/>
          <w:w w:val="100"/>
          <w:position w:val="0"/>
        </w:rPr>
        <w:t>公司消费电子分销业务和部分企业</w:t>
      </w:r>
      <w:r>
        <w:rPr>
          <w:color w:val="000000"/>
          <w:spacing w:val="0"/>
          <w:w w:val="100"/>
          <w:position w:val="0"/>
          <w:sz w:val="17"/>
          <w:szCs w:val="17"/>
        </w:rPr>
        <w:t>IT</w:t>
      </w:r>
      <w:r>
        <w:rPr>
          <w:color w:val="000000"/>
          <w:spacing w:val="0"/>
          <w:w w:val="100"/>
          <w:position w:val="0"/>
        </w:rPr>
        <w:t>产品分销需要保留一定规模的存货，以快速响应市场，避免销售缺货。消费电子业 务产品一般体积较小，单品价值高，若存货管理不善将面临产品安全风险；同时销售电子产品生命周期较短，价格变化频繁， 新品推出市场后价格将呈现逐渐下降趋势，存货若不能实现快速周转将面临跌价的风险。公司通过多年经营实践积累，结合 对终端市场的预测，建立了严格的商品采购制度和库龄管理制度。采用先进的库存管理软件，及时获得全面、科学、准确的 库龄分析报告、各仓库的合理最高库存量及最低库存量等数据。根据该等数据并结合在库商品量和终端市场销售情况，公司 能有效协调上游</w:t>
      </w:r>
      <w:r>
        <w:rPr>
          <w:color w:val="000000"/>
          <w:spacing w:val="0"/>
          <w:w w:val="100"/>
          <w:position w:val="0"/>
          <w:sz w:val="17"/>
          <w:szCs w:val="17"/>
        </w:rPr>
        <w:t>IT</w:t>
      </w:r>
      <w:r>
        <w:rPr>
          <w:color w:val="000000"/>
          <w:spacing w:val="0"/>
          <w:w w:val="100"/>
          <w:position w:val="0"/>
        </w:rPr>
        <w:t>厂商，并同时相应调整采购计划。</w:t>
      </w:r>
    </w:p>
    <w:p>
      <w:pPr>
        <w:pStyle w:val="Style32"/>
        <w:keepNext w:val="0"/>
        <w:keepLines w:val="0"/>
        <w:widowControl w:val="0"/>
        <w:shd w:val="clear" w:color="auto" w:fill="auto"/>
        <w:bidi w:val="0"/>
        <w:spacing w:before="0" w:after="340" w:line="240" w:lineRule="auto"/>
        <w:ind w:left="0" w:right="0" w:firstLine="280"/>
        <w:jc w:val="left"/>
      </w:pPr>
      <w:bookmarkStart w:id="273" w:name="bookmark273"/>
      <w:r>
        <w:rPr>
          <w:b/>
          <w:bCs/>
          <w:color w:val="000000"/>
          <w:spacing w:val="0"/>
          <w:w w:val="100"/>
          <w:position w:val="0"/>
        </w:rPr>
        <w:t>4</w:t>
      </w:r>
      <w:bookmarkEnd w:id="273"/>
      <w:r>
        <w:rPr>
          <w:b/>
          <w:bCs/>
          <w:color w:val="000000"/>
          <w:spacing w:val="0"/>
          <w:w w:val="100"/>
          <w:position w:val="0"/>
        </w:rPr>
        <w:t>、应收账款管理风险</w:t>
      </w:r>
      <w:r>
        <w:br w:type="page"/>
      </w:r>
    </w:p>
    <w:p>
      <w:pPr>
        <w:pStyle w:val="Style32"/>
        <w:keepNext w:val="0"/>
        <w:keepLines w:val="0"/>
        <w:widowControl w:val="0"/>
        <w:shd w:val="clear" w:color="auto" w:fill="auto"/>
        <w:bidi w:val="0"/>
        <w:spacing w:before="0" w:after="460" w:line="349" w:lineRule="exact"/>
        <w:ind w:left="260" w:right="0" w:firstLine="380"/>
        <w:jc w:val="left"/>
      </w:pPr>
      <w:r>
        <w:rPr>
          <w:color w:val="000000"/>
          <w:spacing w:val="0"/>
          <w:w w:val="100"/>
          <w:position w:val="0"/>
        </w:rPr>
        <w:t>公司标准信用期由各事业部根据产品特性、行业趋势及竞争对手状况报运营管理部核定。授予账期需要按相应帐期审批 权限进行审批。对于常量分销商，一般会视单笔规模和历史信用情况给予不同的账期；对于系统集成商，会根据项目金额、 进度等情况确定账期长度。应收账款未能及时收回或部分客户发生信用违约，则可能会对公司的业绩造成不良影响。公司拥 有严格的信用管理和应收账款管理政策。在应收账款可能发生超期时，平台销售部门及风险管理部门将及时分析账款延期原 因，并采取应对措施，减少预期带来的损失。对大额应收账款进行保险，进一步控制应收账款风险。</w:t>
      </w:r>
    </w:p>
    <w:p>
      <w:pPr>
        <w:pStyle w:val="Style28"/>
        <w:keepNext/>
        <w:keepLines/>
        <w:widowControl w:val="0"/>
        <w:shd w:val="clear" w:color="auto" w:fill="auto"/>
        <w:bidi w:val="0"/>
        <w:spacing w:before="0" w:after="340" w:line="240" w:lineRule="auto"/>
        <w:ind w:left="0" w:right="0" w:firstLine="260"/>
        <w:jc w:val="left"/>
      </w:pPr>
      <w:bookmarkStart w:id="274" w:name="bookmark274"/>
      <w:bookmarkStart w:id="275" w:name="bookmark275"/>
      <w:bookmarkStart w:id="276" w:name="bookmark276"/>
      <w:r>
        <w:rPr>
          <w:color w:val="000000"/>
          <w:spacing w:val="0"/>
          <w:w w:val="100"/>
          <w:position w:val="0"/>
        </w:rPr>
        <w:t>十、接待调研、沟通、采访等活动情况</w:t>
      </w:r>
      <w:bookmarkEnd w:id="274"/>
      <w:bookmarkEnd w:id="275"/>
      <w:bookmarkEnd w:id="276"/>
    </w:p>
    <w:p>
      <w:pPr>
        <w:pStyle w:val="Style36"/>
        <w:keepNext/>
        <w:keepLines/>
        <w:widowControl w:val="0"/>
        <w:shd w:val="clear" w:color="auto" w:fill="auto"/>
        <w:bidi w:val="0"/>
        <w:spacing w:before="0" w:after="280" w:line="240" w:lineRule="auto"/>
        <w:ind w:left="0" w:right="0" w:firstLine="26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、报告期内接待调研、沟通、采访等活动登记表</w:t>
      </w:r>
      <w:bookmarkEnd w:id="277"/>
      <w:bookmarkEnd w:id="278"/>
      <w:bookmarkEnd w:id="28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54"/>
        <w:gridCol w:w="1478"/>
        <w:gridCol w:w="1358"/>
        <w:gridCol w:w="4829"/>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left"/>
            </w:pPr>
            <w:r>
              <w:rPr>
                <w:color w:val="000000"/>
                <w:spacing w:val="0"/>
                <w:w w:val="100"/>
                <w:position w:val="0"/>
              </w:rPr>
              <w:t>公司拟重大资产重组停、复牌安排，拟收购标的北京维盛网 域公司情况；提供的资料为公司在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日在巨潮 资讯网发布的（公告编号：</w:t>
            </w:r>
            <w:r>
              <w:rPr>
                <w:rFonts w:ascii="Times New Roman" w:eastAsia="Times New Roman" w:hAnsi="Times New Roman" w:cs="Times New Roman"/>
                <w:color w:val="000000"/>
                <w:spacing w:val="0"/>
                <w:w w:val="100"/>
                <w:position w:val="0"/>
              </w:rPr>
              <w:t>2015-81</w:t>
            </w:r>
            <w:r>
              <w:rPr>
                <w:color w:val="000000"/>
                <w:spacing w:val="0"/>
                <w:w w:val="100"/>
                <w:position w:val="0"/>
              </w:rPr>
              <w:t>）停牌公告。</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公司收购北京维盛网域公司的重大资产重组进展情况；提供 的资料为公司在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日在巨潮资讯网发布的（公 告编号：</w:t>
            </w:r>
            <w:r>
              <w:rPr>
                <w:rFonts w:ascii="Times New Roman" w:eastAsia="Times New Roman" w:hAnsi="Times New Roman" w:cs="Times New Roman"/>
                <w:color w:val="000000"/>
                <w:spacing w:val="0"/>
                <w:w w:val="100"/>
                <w:position w:val="0"/>
              </w:rPr>
              <w:t>2016-09</w:t>
            </w:r>
            <w:r>
              <w:rPr>
                <w:color w:val="000000"/>
                <w:spacing w:val="0"/>
                <w:w w:val="100"/>
                <w:position w:val="0"/>
              </w:rPr>
              <w:t>）公告。</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0"/>
              <w:jc w:val="left"/>
            </w:pPr>
            <w:r>
              <w:rPr>
                <w:color w:val="000000"/>
                <w:spacing w:val="0"/>
                <w:w w:val="100"/>
                <w:position w:val="0"/>
              </w:rPr>
              <w:t>公司收购北京维盛网域公司的重大资产重组进展情况、公司 向银行申请并购贷款目的；提供的资料为公司在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日在巨潮资讯网发布的（公告编号：</w:t>
            </w:r>
            <w:r>
              <w:rPr>
                <w:rFonts w:ascii="Times New Roman" w:eastAsia="Times New Roman" w:hAnsi="Times New Roman" w:cs="Times New Roman"/>
                <w:color w:val="000000"/>
                <w:spacing w:val="0"/>
                <w:w w:val="100"/>
                <w:position w:val="0"/>
              </w:rPr>
              <w:t>2016-14</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）公 告。</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神州数码借壳上市进展情况；提供的资料为公司在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日在巨潮资讯网发布的（公告编号：</w:t>
            </w:r>
            <w:r>
              <w:rPr>
                <w:rFonts w:ascii="Times New Roman" w:eastAsia="Times New Roman" w:hAnsi="Times New Roman" w:cs="Times New Roman"/>
                <w:color w:val="000000"/>
                <w:spacing w:val="0"/>
                <w:w w:val="100"/>
                <w:position w:val="0"/>
              </w:rPr>
              <w:t>2016-22</w:t>
            </w:r>
            <w:r>
              <w:rPr>
                <w:color w:val="000000"/>
                <w:spacing w:val="0"/>
                <w:w w:val="100"/>
                <w:position w:val="0"/>
              </w:rPr>
              <w:t>）</w:t>
            </w:r>
            <w:r>
              <w:rPr>
                <w:color w:val="000000"/>
                <w:spacing w:val="0"/>
                <w:w w:val="100"/>
                <w:position w:val="0"/>
              </w:rPr>
              <w:t>公告。</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公司收购北京维盛网域公司的重大资产重组进展情况；提供 的资料为公司在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日在巨潮资讯网发布的（公 告编号：</w:t>
            </w:r>
            <w:r>
              <w:rPr>
                <w:rFonts w:ascii="Times New Roman" w:eastAsia="Times New Roman" w:hAnsi="Times New Roman" w:cs="Times New Roman"/>
                <w:color w:val="000000"/>
                <w:spacing w:val="0"/>
                <w:w w:val="100"/>
                <w:position w:val="0"/>
              </w:rPr>
              <w:t>2016-35</w:t>
            </w:r>
            <w:r>
              <w:rPr>
                <w:color w:val="000000"/>
                <w:spacing w:val="0"/>
                <w:w w:val="100"/>
                <w:position w:val="0"/>
              </w:rPr>
              <w:t>）公告。</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left"/>
            </w:pPr>
            <w:r>
              <w:rPr>
                <w:color w:val="000000"/>
                <w:spacing w:val="0"/>
                <w:w w:val="100"/>
                <w:position w:val="0"/>
              </w:rPr>
              <w:t>公司收购北京维盛网域公司的重大资产重组进展情况，资产 出售的情况；提供的资料为公司在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 资讯网发布的（公告编号：</w:t>
            </w:r>
            <w:r>
              <w:rPr>
                <w:rFonts w:ascii="Times New Roman" w:eastAsia="Times New Roman" w:hAnsi="Times New Roman" w:cs="Times New Roman"/>
                <w:color w:val="000000"/>
                <w:spacing w:val="0"/>
                <w:w w:val="100"/>
                <w:position w:val="0"/>
              </w:rPr>
              <w:t>2016-41</w:t>
            </w:r>
            <w:r>
              <w:rPr>
                <w:color w:val="000000"/>
                <w:spacing w:val="0"/>
                <w:w w:val="100"/>
                <w:position w:val="0"/>
              </w:rPr>
              <w:t>）</w:t>
            </w:r>
            <w:r>
              <w:rPr>
                <w:color w:val="000000"/>
                <w:spacing w:val="0"/>
                <w:w w:val="100"/>
                <w:position w:val="0"/>
              </w:rPr>
              <w:t>公告。</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公司重大资产出售的具体情况；提供的资料为公司在</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日在巨潮资讯网发布的（公告编号：</w:t>
            </w:r>
            <w:r>
              <w:rPr>
                <w:rFonts w:ascii="Times New Roman" w:eastAsia="Times New Roman" w:hAnsi="Times New Roman" w:cs="Times New Roman"/>
                <w:color w:val="000000"/>
                <w:spacing w:val="0"/>
                <w:w w:val="100"/>
                <w:position w:val="0"/>
              </w:rPr>
              <w:t>2016-41</w:t>
            </w:r>
            <w:r>
              <w:rPr>
                <w:color w:val="000000"/>
                <w:spacing w:val="0"/>
                <w:w w:val="100"/>
                <w:position w:val="0"/>
              </w:rPr>
              <w:t>）</w:t>
            </w:r>
            <w:r>
              <w:rPr>
                <w:color w:val="000000"/>
                <w:spacing w:val="0"/>
                <w:w w:val="100"/>
                <w:position w:val="0"/>
              </w:rPr>
              <w:t>公 告。</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公司重组进展情况，未提供相关资料。</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公司更名事宜，未提供相关资料。</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公司复牌事宜，未提供相关资料。</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公司中报预告发布时间以及合并报表事宜，未提供相关资 料。</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公司之前子公司处置事宜，提供的资料为公司在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日在巨潮资讯网发布的（公告编号：</w:t>
            </w:r>
            <w:r>
              <w:rPr>
                <w:rFonts w:ascii="Times New Roman" w:eastAsia="Times New Roman" w:hAnsi="Times New Roman" w:cs="Times New Roman"/>
                <w:color w:val="000000"/>
                <w:spacing w:val="0"/>
                <w:w w:val="100"/>
                <w:position w:val="0"/>
              </w:rPr>
              <w:t>2016-45</w:t>
            </w:r>
            <w:r>
              <w:rPr>
                <w:color w:val="000000"/>
                <w:spacing w:val="0"/>
                <w:w w:val="100"/>
                <w:position w:val="0"/>
              </w:rPr>
              <w:t>）公告。</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公司半年报发布时间，未提供相关资料。</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公司中期预告和半年报发布时间，未提供相关资料。</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公司与中科曙光的合作，未提供相关资料。</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公司的业务进展，具体情况详见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日在巨潮资 讯网发布的（投资者关系信息编号：</w:t>
            </w:r>
            <w:r>
              <w:rPr>
                <w:rFonts w:ascii="Times New Roman" w:eastAsia="Times New Roman" w:hAnsi="Times New Roman" w:cs="Times New Roman"/>
                <w:color w:val="000000"/>
                <w:spacing w:val="0"/>
                <w:w w:val="100"/>
                <w:position w:val="0"/>
              </w:rPr>
              <w:t>20160721</w:t>
            </w:r>
            <w:r>
              <w:rPr>
                <w:color w:val="000000"/>
                <w:spacing w:val="0"/>
                <w:w w:val="100"/>
                <w:position w:val="0"/>
              </w:rPr>
              <w:t>）活动表。</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公司的业务进展，具体情况详见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日在巨潮资 讯网发布的（投资者关系信息编号：</w:t>
            </w:r>
            <w:r>
              <w:rPr>
                <w:rFonts w:ascii="Times New Roman" w:eastAsia="Times New Roman" w:hAnsi="Times New Roman" w:cs="Times New Roman"/>
                <w:color w:val="000000"/>
                <w:spacing w:val="0"/>
                <w:w w:val="100"/>
                <w:position w:val="0"/>
              </w:rPr>
              <w:t>20160729</w:t>
            </w:r>
            <w:r>
              <w:rPr>
                <w:color w:val="000000"/>
                <w:spacing w:val="0"/>
                <w:w w:val="100"/>
                <w:position w:val="0"/>
              </w:rPr>
              <w:t>）活动表。</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公司的业绩说明会，具体情况详见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日在巨潮</w:t>
            </w:r>
          </w:p>
        </w:tc>
      </w:tr>
    </w:tbl>
    <w:p>
      <w:pPr>
        <w:spacing w:lineRule="exact" w:line="1"/>
        <w:rPr>
          <w:sz w:val="2"/>
          <w:szCs w:val="2"/>
        </w:rPr>
      </w:pPr>
      <w:r>
        <w:br w:type="page"/>
      </w:r>
    </w:p>
    <w:tbl>
      <w:tblPr>
        <w:tblOverlap w:val="never"/>
        <w:jc w:val="center"/>
        <w:tblLayout w:type="fixed"/>
      </w:tblPr>
      <w:tblGrid>
        <w:gridCol w:w="1954"/>
        <w:gridCol w:w="1507"/>
        <w:gridCol w:w="1330"/>
        <w:gridCol w:w="4829"/>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资讯网发布的（投资者关系信息编号：</w:t>
            </w:r>
            <w:r>
              <w:rPr>
                <w:rFonts w:ascii="Times New Roman" w:eastAsia="Times New Roman" w:hAnsi="Times New Roman" w:cs="Times New Roman"/>
                <w:color w:val="000000"/>
                <w:spacing w:val="0"/>
                <w:w w:val="100"/>
                <w:position w:val="0"/>
              </w:rPr>
              <w:t>20160830</w:t>
            </w:r>
            <w:r>
              <w:rPr>
                <w:color w:val="000000"/>
                <w:spacing w:val="0"/>
                <w:w w:val="100"/>
                <w:position w:val="0"/>
              </w:rPr>
              <w:t>）活动表。</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公司的业务进展，未提供相关资料。</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公司的业务进展，未提供相关资料。</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公司的业务进展，未提供相关资料。</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公司的业务进展，未提供相关资料。</w:t>
            </w:r>
          </w:p>
        </w:tc>
      </w:tr>
      <w:tr>
        <w:trPr>
          <w:trHeight w:val="3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p>
        </w:tc>
      </w:tr>
      <w:tr>
        <w:trPr>
          <w:trHeight w:val="3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w:t>
            </w:r>
          </w:p>
        </w:tc>
      </w:tr>
      <w:tr>
        <w:trPr>
          <w:trHeight w:val="326"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36"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13"/>
          <w:footerReference w:type="default" r:id="rId14"/>
          <w:footnotePr>
            <w:pos w:val="pageBottom"/>
            <w:numFmt w:val="decimal"/>
            <w:numRestart w:val="continuous"/>
          </w:footnotePr>
          <w:pgSz w:w="11900" w:h="16840"/>
          <w:pgMar w:top="1278" w:right="649" w:bottom="1513" w:left="840" w:header="0" w:footer="3" w:gutter="0"/>
          <w:cols w:space="720"/>
          <w:noEndnote/>
          <w:rtlGutter w:val="0"/>
          <w:docGrid w:linePitch="360"/>
        </w:sectPr>
      </w:pPr>
    </w:p>
    <w:p>
      <w:pPr>
        <w:pStyle w:val="Style12"/>
        <w:keepNext/>
        <w:keepLines/>
        <w:widowControl w:val="0"/>
        <w:shd w:val="clear" w:color="auto" w:fill="auto"/>
        <w:bidi w:val="0"/>
        <w:spacing w:before="460" w:after="980" w:line="240" w:lineRule="auto"/>
        <w:ind w:left="0" w:right="0" w:firstLine="0"/>
        <w:jc w:val="center"/>
      </w:pPr>
      <w:bookmarkStart w:id="281" w:name="bookmark281"/>
      <w:bookmarkStart w:id="282" w:name="bookmark282"/>
      <w:bookmarkStart w:id="283" w:name="bookmark283"/>
      <w:r>
        <w:rPr>
          <w:color w:val="000000"/>
          <w:spacing w:val="0"/>
          <w:w w:val="100"/>
          <w:position w:val="0"/>
        </w:rPr>
        <w:t>第五节重要事项</w:t>
      </w:r>
      <w:bookmarkEnd w:id="281"/>
      <w:bookmarkEnd w:id="282"/>
      <w:bookmarkEnd w:id="283"/>
    </w:p>
    <w:p>
      <w:pPr>
        <w:pStyle w:val="Style28"/>
        <w:keepNext/>
        <w:keepLines/>
        <w:widowControl w:val="0"/>
        <w:shd w:val="clear" w:color="auto" w:fill="auto"/>
        <w:bidi w:val="0"/>
        <w:spacing w:before="0" w:after="320" w:line="240" w:lineRule="auto"/>
        <w:ind w:left="0" w:right="0" w:firstLine="0"/>
        <w:jc w:val="left"/>
      </w:pPr>
      <w:bookmarkStart w:id="284" w:name="bookmark284"/>
      <w:bookmarkStart w:id="285" w:name="bookmark285"/>
      <w:bookmarkStart w:id="286" w:name="bookmark286"/>
      <w:bookmarkStart w:id="287" w:name="bookmark287"/>
      <w:bookmarkStart w:id="288" w:name="bookmark288"/>
      <w:r>
        <w:rPr>
          <w:color w:val="000000"/>
          <w:spacing w:val="0"/>
          <w:w w:val="100"/>
          <w:position w:val="0"/>
        </w:rPr>
        <w:t>一</w:t>
      </w:r>
      <w:bookmarkEnd w:id="287"/>
      <w:r>
        <w:rPr>
          <w:color w:val="000000"/>
          <w:spacing w:val="0"/>
          <w:w w:val="100"/>
          <w:position w:val="0"/>
        </w:rPr>
        <w:t>、公司普通股利润分配及资本公积金转增股本情况</w:t>
      </w:r>
      <w:bookmarkEnd w:id="285"/>
      <w:bookmarkEnd w:id="286"/>
      <w:bookmarkEnd w:id="288"/>
      <w:bookmarkEnd w:id="284"/>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240" w:line="352"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年年度股东大会审议通过的《公司章程》及《公司未来三年（</w:t>
      </w:r>
      <w:r>
        <w:rPr>
          <w:rFonts w:ascii="Times New Roman" w:eastAsia="Times New Roman" w:hAnsi="Times New Roman" w:cs="Times New Roman"/>
          <w:color w:val="000000"/>
          <w:spacing w:val="0"/>
          <w:w w:val="100"/>
          <w:position w:val="0"/>
        </w:rPr>
        <w:t>2015-2017</w:t>
      </w:r>
      <w:r>
        <w:rPr>
          <w:color w:val="000000"/>
          <w:spacing w:val="0"/>
          <w:w w:val="100"/>
          <w:position w:val="0"/>
        </w:rPr>
        <w:t>）年股东回报规划》载明了公司的 利润分配政策的制定、执行或调整的决策程序和机制，利润分配政策尤其是现金分红政策的具体内容、期间间隔、分配条 件以及听取独立董事和中小股东意见所采取的的措施，符合《上市公司监管指引第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上市公司现金分红》的相关要求。 由于母公司存在未弥补亏损，公司近三年不进行利润分配，也不进行公积金转增股本。公司的利润分配政策符合《公司章 程》的规定和股东大会决议的要求，相关的决策程序和机制完备。独立董事每年都对公司利润分配方案和公积金转增股本 方案发表独立意见并进行了有效监督。中小股东有充分表达意见和诉求的机会，中小股东的合法权益得到充分维护。《公 司章程》中关于利润分配事项的相关条款详见公司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13</w:t>
      </w:r>
      <w:r>
        <w:rPr>
          <w:color w:val="000000"/>
          <w:spacing w:val="0"/>
          <w:w w:val="100"/>
          <w:position w:val="0"/>
        </w:rPr>
        <w:t>日在《证券时报》、巨潮资讯网（</w:t>
      </w:r>
      <w:r>
        <w:rPr>
          <w:rFonts w:ascii="Times New Roman" w:eastAsia="Times New Roman" w:hAnsi="Times New Roman" w:cs="Times New Roman"/>
          <w:color w:val="000000"/>
          <w:spacing w:val="0"/>
          <w:w w:val="100"/>
          <w:position w:val="0"/>
        </w:rPr>
        <w:t>http:www.cnmfo.com</w:t>
      </w:r>
      <w:r>
        <w:rPr>
          <w:color w:val="000000"/>
          <w:spacing w:val="0"/>
          <w:w w:val="100"/>
          <w:position w:val="0"/>
        </w:rPr>
        <w:t>）</w:t>
      </w:r>
      <w:r>
        <w:rPr>
          <w:color w:val="000000"/>
          <w:spacing w:val="0"/>
          <w:w w:val="100"/>
          <w:position w:val="0"/>
        </w:rPr>
        <w:t>上 披露的公告内容。</w:t>
      </w:r>
    </w:p>
    <w:p>
      <w:pPr>
        <w:pStyle w:val="Style32"/>
        <w:keepNext w:val="0"/>
        <w:keepLines w:val="0"/>
        <w:widowControl w:val="0"/>
        <w:shd w:val="clear" w:color="auto" w:fill="auto"/>
        <w:bidi w:val="0"/>
        <w:spacing w:before="0" w:after="60" w:line="352" w:lineRule="exact"/>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现金分红金额（含 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以其他方式现金分 红的比例</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403,795,179.08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21,363,244.02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61,471,205.74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19" w:line="1" w:lineRule="exact"/>
      </w:pPr>
    </w:p>
    <w:p>
      <w:pPr>
        <w:pStyle w:val="Style28"/>
        <w:keepNext/>
        <w:keepLines/>
        <w:widowControl w:val="0"/>
        <w:shd w:val="clear" w:color="auto" w:fill="auto"/>
        <w:tabs>
          <w:tab w:pos="522" w:val="left"/>
        </w:tabs>
        <w:bidi w:val="0"/>
        <w:spacing w:before="0" w:after="32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二</w:t>
      </w:r>
      <w:bookmarkEnd w:id="291"/>
      <w:r>
        <w:rPr>
          <w:color w:val="000000"/>
          <w:spacing w:val="0"/>
          <w:w w:val="100"/>
          <w:position w:val="0"/>
        </w:rPr>
        <w:t>、</w:t>
        <w:tab/>
        <w:t>本报告期利润分配及资本公积金转增股本预案</w:t>
      </w:r>
      <w:bookmarkEnd w:id="289"/>
      <w:bookmarkEnd w:id="290"/>
      <w:bookmarkEnd w:id="292"/>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公司计划年度不派发现金红利，不送红股，不以公积金转增股本。</w:t>
      </w:r>
    </w:p>
    <w:p>
      <w:pPr>
        <w:pStyle w:val="Style28"/>
        <w:keepNext/>
        <w:keepLines/>
        <w:widowControl w:val="0"/>
        <w:shd w:val="clear" w:color="auto" w:fill="auto"/>
        <w:tabs>
          <w:tab w:pos="522" w:val="left"/>
        </w:tabs>
        <w:bidi w:val="0"/>
        <w:spacing w:before="0" w:after="32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三</w:t>
      </w:r>
      <w:bookmarkEnd w:id="295"/>
      <w:r>
        <w:rPr>
          <w:color w:val="000000"/>
          <w:spacing w:val="0"/>
          <w:w w:val="100"/>
          <w:position w:val="0"/>
        </w:rPr>
        <w:t>、</w:t>
        <w:tab/>
        <w:t>承诺事项履行情况</w:t>
      </w:r>
      <w:bookmarkEnd w:id="293"/>
      <w:bookmarkEnd w:id="294"/>
      <w:bookmarkEnd w:id="296"/>
    </w:p>
    <w:p>
      <w:pPr>
        <w:pStyle w:val="Style36"/>
        <w:keepNext/>
        <w:keepLines/>
        <w:widowControl w:val="0"/>
        <w:shd w:val="clear" w:color="auto" w:fill="auto"/>
        <w:bidi w:val="0"/>
        <w:spacing w:before="0" w:after="320" w:line="283" w:lineRule="exact"/>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、公司实际控制人、股东、关联方、收购人以及公司等承诺相关方在报告期内履行完毕及截至报告期末 尚未履行完毕的承诺事项</w:t>
      </w:r>
      <w:bookmarkEnd w:id="297"/>
      <w:bookmarkEnd w:id="298"/>
      <w:bookmarkEnd w:id="30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2237"/>
        <w:gridCol w:w="1421"/>
        <w:gridCol w:w="1123"/>
        <w:gridCol w:w="1128"/>
        <w:gridCol w:w="1123"/>
        <w:gridCol w:w="1123"/>
        <w:gridCol w:w="1464"/>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收购报告书或权益变动报告 书中所作承诺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37"/>
        <w:gridCol w:w="1421"/>
        <w:gridCol w:w="1123"/>
        <w:gridCol w:w="1128"/>
        <w:gridCol w:w="1123"/>
        <w:gridCol w:w="1123"/>
        <w:gridCol w:w="146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25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郭为、中信建投 基金、标的资产 核心管理团队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保持上市公 司独立性的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截至本报告日， 本承诺仍在履行 过程中，承诺人 无违反本承诺的 情况。</w:t>
            </w:r>
          </w:p>
        </w:tc>
      </w:tr>
      <w:tr>
        <w:trPr>
          <w:trHeight w:val="12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郭为、中信建投 基金、标的资产 核心管理团队、 神州控股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color w:val="000000"/>
                <w:spacing w:val="0"/>
                <w:w w:val="100"/>
                <w:position w:val="0"/>
              </w:rPr>
              <w:t>避免同业竞 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截至本报告日， 本承诺仍在履行 过程中，承诺人 无违反本承诺的 情况。</w:t>
            </w:r>
          </w:p>
        </w:tc>
      </w:tr>
      <w:tr>
        <w:trPr>
          <w:trHeight w:val="12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郭为、中信建投 基金、标的资产 核心管理团队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规范关联交 易的承诺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截至本报告日， 本承诺仍在履行 过程中，承诺人 无违反本承诺的 情况。</w:t>
            </w:r>
          </w:p>
        </w:tc>
      </w:tr>
      <w:tr>
        <w:trPr>
          <w:trHeight w:val="148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郭为、中信建投 基金、标的资产 核心管理团队、 王廷月、王晓 岩、钱学宁、张 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自股份上市 之日起</w:t>
            </w:r>
            <w:r>
              <w:rPr>
                <w:rFonts w:ascii="Times New Roman" w:eastAsia="Times New Roman" w:hAnsi="Times New Roman" w:cs="Times New Roman"/>
                <w:color w:val="000000"/>
                <w:spacing w:val="0"/>
                <w:w w:val="100"/>
                <w:position w:val="0"/>
              </w:rPr>
              <w:t>36</w:t>
            </w:r>
            <w:r>
              <w:rPr>
                <w:color w:val="000000"/>
                <w:spacing w:val="0"/>
                <w:w w:val="100"/>
                <w:position w:val="0"/>
              </w:rPr>
              <w:t>个 月内不以任 何方式转 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截至本报告日， 本承诺仍在履行 过程中，承诺人 无违反本承诺的 情况。</w:t>
            </w:r>
          </w:p>
        </w:tc>
      </w:tr>
      <w:tr>
        <w:trPr>
          <w:trHeight w:val="12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pPr>
            <w:r>
              <w:rPr>
                <w:color w:val="000000"/>
                <w:spacing w:val="0"/>
                <w:w w:val="100"/>
                <w:position w:val="0"/>
              </w:rPr>
              <w:t>关于未来三 年不放弃上 市公司控制 权的承诺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截至本报告日， 本承诺仍在履行 过程中，承诺人 无违反本承诺的 情况。</w:t>
            </w:r>
          </w:p>
        </w:tc>
      </w:tr>
      <w:tr>
        <w:trPr>
          <w:trHeight w:val="12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关于未来不 谋求上市公 司控制权的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截至本报告日， 本承诺仍在履行 过程中，承诺人 无违反本承诺的 情况。</w:t>
            </w:r>
          </w:p>
        </w:tc>
      </w:tr>
      <w:tr>
        <w:trPr>
          <w:trHeight w:val="12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郭为、中信建投 基金、标的资产 核心管理团队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利润补偿的 承诺及补充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截至本报告日， 本承诺仍在履行 过程中，承诺人 无违反本承诺的 情况。</w:t>
            </w:r>
          </w:p>
        </w:tc>
      </w:tr>
      <w:tr>
        <w:trPr>
          <w:trHeight w:val="149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郭为、中信建投 基金、标的资产 核心管理团队、 王廷月、王晓 岩、钱学宁、张 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不会接受财 务资助或者 补偿的承诺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截至本报告日， 本承诺仍在履行 过程中，承诺人 无违反本承诺的 情况。</w:t>
            </w:r>
          </w:p>
        </w:tc>
      </w:tr>
      <w:tr>
        <w:trPr>
          <w:trHeight w:val="148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郭为、中信建投 基金、标的资产 核心管理团队、 王廷月、王晓 岩、钱学宁、张 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提供资料真 实性、准确 性和完整性 的声明和承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截至本报告日， 本承诺仍在履行 过程中，承诺人 无违反本承诺的 情况。</w:t>
            </w:r>
          </w:p>
        </w:tc>
      </w:tr>
      <w:tr>
        <w:trPr>
          <w:trHeight w:val="12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标的资产核心管 理团队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认缴产品份 额的承诺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截至本报告日， 本承诺已履行完 毕，承诺人无违 反本承诺的情 况。</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郭为、中信建投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截至本报告日，</w:t>
            </w:r>
          </w:p>
        </w:tc>
      </w:tr>
    </w:tbl>
    <w:p>
      <w:pPr>
        <w:spacing w:lineRule="exact" w:line="1"/>
        <w:rPr>
          <w:sz w:val="2"/>
          <w:szCs w:val="2"/>
        </w:rPr>
      </w:pPr>
      <w:r>
        <w:br w:type="page"/>
      </w:r>
    </w:p>
    <w:tbl>
      <w:tblPr>
        <w:tblOverlap w:val="never"/>
        <w:jc w:val="center"/>
        <w:tblLayout w:type="fixed"/>
      </w:tblPr>
      <w:tblGrid>
        <w:gridCol w:w="2237"/>
        <w:gridCol w:w="1421"/>
        <w:gridCol w:w="1123"/>
        <w:gridCol w:w="1128"/>
        <w:gridCol w:w="1123"/>
        <w:gridCol w:w="1123"/>
        <w:gridCol w:w="146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履行情况</w:t>
            </w:r>
          </w:p>
        </w:tc>
      </w:tr>
      <w:tr>
        <w:trPr>
          <w:trHeight w:val="121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基金、标的资产 核心管理团队、 王廷月、王晓 岩、钱学宁、张 明、神码有限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违法行为的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本承诺仍在履行 过程中，承诺人 无违反本承诺的 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神码有限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目标资产权 属之承诺函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至交易结束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截至本报告日， 本承诺已履行完 毕，承诺人无违 反本承诺的情 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中信建投基金、 标的资产核心管 理团队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不存在结构 化安排的承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截至本报告日， 本承诺仍在履行 过程中，承诺人 无违反本承诺的 情况。</w:t>
            </w:r>
          </w:p>
        </w:tc>
      </w:tr>
      <w:tr>
        <w:trPr>
          <w:trHeight w:val="125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关于防止关 联资金占用 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截至本报告日， 本承诺仍在履行 过程中，承诺人 无违反本承诺的 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中国希格玛有限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重组相关事 项的承诺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截至本报告日， 本承诺仍在履行 过程中，承诺人 无违反本承诺的 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中国希格玛有限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规范关联交 易的承诺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截至本报告日， 本承诺已履行完 毕，承诺人无违 反本承诺的情 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中国希格玛有限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不因标的资 产权属瑕疵 而调整交易 对价的承诺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至交易结束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截至本报告日， 本承诺已履行完 毕，承诺人无违 反本承诺的情 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中国希格玛有限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提供资料真 实、准确、 完整的承诺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截至本报告日， 本承诺仍在履行 过程中，承诺人 无违反本承诺的 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中国希格玛有限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关于标的公 司未决诉讼 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截至本报告日， 本承诺仍在履行 过程中，承诺人 无违反本承诺的 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规范关联交 易的承诺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截至本报告日， 本承诺仍在履行 过程中，承诺人 无违反本承诺的 情况。</w:t>
            </w:r>
          </w:p>
        </w:tc>
      </w:tr>
      <w:tr>
        <w:trPr>
          <w:trHeight w:val="99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首次公开发行或再融资时所 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郭为、郭江、闫 国荣、张云飞、 王继业、韩玉 华、李岩、叶海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本人及本人 的关联方自 本次发行股 票定价基准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pPr>
            <w:r>
              <w:rPr>
                <w:color w:val="000000"/>
                <w:spacing w:val="0"/>
                <w:w w:val="100"/>
                <w:position w:val="0"/>
              </w:rPr>
              <w:t>至发行结束 后</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截至本报告日， 本承诺仍在履行 过程中，承诺人 无违反本承诺的</w:t>
            </w:r>
          </w:p>
        </w:tc>
      </w:tr>
    </w:tbl>
    <w:p>
      <w:pPr>
        <w:spacing w:lineRule="exact" w:line="1"/>
        <w:rPr>
          <w:sz w:val="2"/>
          <w:szCs w:val="2"/>
        </w:rPr>
      </w:pPr>
      <w:r>
        <w:br w:type="page"/>
      </w:r>
    </w:p>
    <w:tbl>
      <w:tblPr>
        <w:tblOverlap w:val="never"/>
        <w:jc w:val="center"/>
        <w:tblLayout w:type="fixed"/>
      </w:tblPr>
      <w:tblGrid>
        <w:gridCol w:w="2237"/>
        <w:gridCol w:w="1421"/>
        <w:gridCol w:w="1123"/>
        <w:gridCol w:w="1128"/>
        <w:gridCol w:w="1123"/>
        <w:gridCol w:w="1123"/>
        <w:gridCol w:w="146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21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强、周立达、张 赐安、张梅、孙 丹梅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日前</w:t>
            </w:r>
            <w:r>
              <w:rPr>
                <w:rFonts w:ascii="Times New Roman" w:eastAsia="Times New Roman" w:hAnsi="Times New Roman" w:cs="Times New Roman"/>
                <w:color w:val="000000"/>
                <w:spacing w:val="0"/>
                <w:w w:val="100"/>
                <w:position w:val="0"/>
              </w:rPr>
              <w:t>6</w:t>
            </w:r>
            <w:r>
              <w:rPr>
                <w:color w:val="000000"/>
                <w:spacing w:val="0"/>
                <w:w w:val="100"/>
                <w:position w:val="0"/>
              </w:rPr>
              <w:t>个月 至本次发行 后</w:t>
            </w:r>
            <w:r>
              <w:rPr>
                <w:rFonts w:ascii="Times New Roman" w:eastAsia="Times New Roman" w:hAnsi="Times New Roman" w:cs="Times New Roman"/>
                <w:color w:val="000000"/>
                <w:spacing w:val="0"/>
                <w:w w:val="100"/>
                <w:position w:val="0"/>
              </w:rPr>
              <w:t>6</w:t>
            </w:r>
            <w:r>
              <w:rPr>
                <w:color w:val="000000"/>
                <w:spacing w:val="0"/>
                <w:w w:val="100"/>
                <w:position w:val="0"/>
              </w:rPr>
              <w:t>个月内 不减持公司 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r>
      <w:tr>
        <w:trPr>
          <w:trHeight w:val="12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如实披露神 州数码及其 下属公司房 地产业务的 自查情况。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截至本报告日， 本承诺仍在履行 过程中，承诺人 无违反本承诺的 情况。</w:t>
            </w:r>
          </w:p>
        </w:tc>
      </w:tr>
      <w:tr>
        <w:trPr>
          <w:trHeight w:val="242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不存在且未 来亦不会发 生直接或间 接对参与本 次非公开发 行认购的投 资者提供财 务资助或者 补偿的情 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至发行结束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截至本报告日， 本承诺仍在履行 过程中，承诺人 无违反本承诺的 情况。</w:t>
            </w:r>
          </w:p>
        </w:tc>
      </w:tr>
      <w:tr>
        <w:trPr>
          <w:trHeight w:val="242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不存在且未 来亦不会发 生直接或间 接对参与本 次非公开发 行认购的投 资者提供财 务资助或者 补偿的情 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至发行结束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截至本报告日， 本承诺仍在履行 过程中，承诺人 无违反本承诺的 情况。</w:t>
            </w:r>
          </w:p>
        </w:tc>
      </w:tr>
      <w:tr>
        <w:trPr>
          <w:trHeight w:val="26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郭为、郭江、中 信建投基金（员 工持股计划）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具备履行认 购义务的能 力，资金来 源合法，不 存在对外募 集、结构化 安排或者直 接、间接接 受上市公司 的财务资助 或者补偿。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至发行结束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截至本报告日， 本承诺仍在履行 过程中，承诺人 无违反本承诺的 情况。</w:t>
            </w:r>
          </w:p>
        </w:tc>
      </w:tr>
      <w:tr>
        <w:trPr>
          <w:trHeight w:val="21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不存在变相 通过本次募 集资金偿还 银行贷款以 实施重大投 资或资产购 买及财务性 投资的情 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截至本报告日， 本承诺仍在履行 过程中，承诺人 无违反本承诺的 情况。</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其他对公司中小股东所作承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6"/>
        <w:keepNext/>
        <w:keepLines/>
        <w:widowControl w:val="0"/>
        <w:shd w:val="clear" w:color="auto" w:fill="auto"/>
        <w:bidi w:val="0"/>
        <w:spacing w:before="0" w:after="280" w:line="278" w:lineRule="exact"/>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、公司资产或项目存在盈利预测，且报告期仍处在盈利预测期间，公司就资产或项目达到原盈利预测及 其原因做出说明</w:t>
      </w:r>
      <w:bookmarkEnd w:id="301"/>
      <w:bookmarkEnd w:id="302"/>
      <w:bookmarkEnd w:id="304"/>
    </w:p>
    <w:p>
      <w:pPr>
        <w:pStyle w:val="Style32"/>
        <w:keepNext w:val="0"/>
        <w:keepLines w:val="0"/>
        <w:widowControl w:val="0"/>
        <w:shd w:val="clear" w:color="auto" w:fill="auto"/>
        <w:bidi w:val="0"/>
        <w:spacing w:before="0" w:after="34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02" w:val="left"/>
        </w:tabs>
        <w:bidi w:val="0"/>
        <w:spacing w:before="0" w:after="2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四</w:t>
      </w:r>
      <w:bookmarkEnd w:id="307"/>
      <w:r>
        <w:rPr>
          <w:color w:val="000000"/>
          <w:spacing w:val="0"/>
          <w:w w:val="100"/>
          <w:position w:val="0"/>
        </w:rPr>
        <w:t>、</w:t>
        <w:tab/>
        <w:t>控股股东及其关联方对上市公司的非经营性占用资金情况</w:t>
      </w:r>
      <w:bookmarkEnd w:id="305"/>
      <w:bookmarkEnd w:id="306"/>
      <w:bookmarkEnd w:id="308"/>
    </w:p>
    <w:p>
      <w:pPr>
        <w:pStyle w:val="Style32"/>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71" w:lineRule="exact"/>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22" w:val="left"/>
        </w:tabs>
        <w:bidi w:val="0"/>
        <w:spacing w:before="0" w:after="2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五</w:t>
      </w:r>
      <w:bookmarkEnd w:id="31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9"/>
      <w:bookmarkEnd w:id="310"/>
      <w:bookmarkEnd w:id="312"/>
    </w:p>
    <w:p>
      <w:pPr>
        <w:pStyle w:val="Style32"/>
        <w:keepNext w:val="0"/>
        <w:keepLines w:val="0"/>
        <w:widowControl w:val="0"/>
        <w:shd w:val="clear" w:color="auto" w:fill="auto"/>
        <w:bidi w:val="0"/>
        <w:spacing w:before="0" w:after="34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2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六</w:t>
      </w:r>
      <w:bookmarkEnd w:id="315"/>
      <w:r>
        <w:rPr>
          <w:color w:val="000000"/>
          <w:spacing w:val="0"/>
          <w:w w:val="100"/>
          <w:position w:val="0"/>
        </w:rPr>
        <w:t>、</w:t>
        <w:tab/>
        <w:t>与上年度财务报告相比，会计政策、会计估计和核算方法发生变化的情况说明</w:t>
      </w:r>
      <w:bookmarkEnd w:id="313"/>
      <w:bookmarkEnd w:id="314"/>
      <w:bookmarkEnd w:id="316"/>
    </w:p>
    <w:p>
      <w:pPr>
        <w:pStyle w:val="Style32"/>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620" w:line="271" w:lineRule="exact"/>
        <w:ind w:left="0" w:right="0" w:firstLine="0"/>
        <w:jc w:val="left"/>
      </w:pPr>
      <w:r>
        <w:rPr>
          <w:color w:val="000000"/>
          <w:spacing w:val="0"/>
          <w:w w:val="100"/>
          <w:position w:val="0"/>
        </w:rPr>
        <w:t xml:space="preserve">鉴于公司的重大资产重组事项已完成，公司增加了 </w:t>
      </w:r>
      <w:r>
        <w:rPr>
          <w:rFonts w:ascii="Times New Roman" w:eastAsia="Times New Roman" w:hAnsi="Times New Roman" w:cs="Times New Roman"/>
          <w:color w:val="000000"/>
          <w:spacing w:val="0"/>
          <w:w w:val="100"/>
          <w:position w:val="0"/>
        </w:rPr>
        <w:t>IT</w:t>
      </w:r>
      <w:r>
        <w:rPr>
          <w:color w:val="000000"/>
          <w:spacing w:val="0"/>
          <w:w w:val="100"/>
          <w:position w:val="0"/>
        </w:rPr>
        <w:t>分销业务，考虑到公司经营、财务等方面的实际情况，增加</w:t>
      </w:r>
      <w:r>
        <w:rPr>
          <w:rFonts w:ascii="Times New Roman" w:eastAsia="Times New Roman" w:hAnsi="Times New Roman" w:cs="Times New Roman"/>
          <w:color w:val="000000"/>
          <w:spacing w:val="0"/>
          <w:w w:val="100"/>
          <w:position w:val="0"/>
        </w:rPr>
        <w:t>IT</w:t>
      </w:r>
      <w:r>
        <w:rPr>
          <w:color w:val="000000"/>
          <w:spacing w:val="0"/>
          <w:w w:val="100"/>
          <w:position w:val="0"/>
        </w:rPr>
        <w:t>分销 业务会计政策和会计估计，能够更加客观公正地反映公司相关业务的财务状况和经营成果，有利于投资者有效、准确地获 知公司的财务、经营等方面的信息，便于投资者对财务报告的使用。</w:t>
      </w:r>
    </w:p>
    <w:p>
      <w:pPr>
        <w:pStyle w:val="Style28"/>
        <w:keepNext/>
        <w:keepLines/>
        <w:widowControl w:val="0"/>
        <w:shd w:val="clear" w:color="auto" w:fill="auto"/>
        <w:tabs>
          <w:tab w:pos="526" w:val="left"/>
        </w:tabs>
        <w:bidi w:val="0"/>
        <w:spacing w:before="0" w:after="34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七</w:t>
      </w:r>
      <w:bookmarkEnd w:id="319"/>
      <w:r>
        <w:rPr>
          <w:color w:val="000000"/>
          <w:spacing w:val="0"/>
          <w:w w:val="100"/>
          <w:position w:val="0"/>
        </w:rPr>
        <w:t>、</w:t>
        <w:tab/>
        <w:t>报告期内发生重大会计差错更正需追溯重述的情况说明</w:t>
      </w:r>
      <w:bookmarkEnd w:id="317"/>
      <w:bookmarkEnd w:id="318"/>
      <w:bookmarkEnd w:id="320"/>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tabs>
          <w:tab w:pos="526" w:val="left"/>
        </w:tabs>
        <w:bidi w:val="0"/>
        <w:spacing w:before="0" w:after="34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八</w:t>
      </w:r>
      <w:bookmarkEnd w:id="323"/>
      <w:r>
        <w:rPr>
          <w:color w:val="000000"/>
          <w:spacing w:val="0"/>
          <w:w w:val="100"/>
          <w:position w:val="0"/>
        </w:rPr>
        <w:t>、</w:t>
        <w:tab/>
        <w:t>与上年度财务报告相比，合并报表范围发生变化的情况说明</w:t>
      </w:r>
      <w:bookmarkEnd w:id="321"/>
      <w:bookmarkEnd w:id="322"/>
      <w:bookmarkEnd w:id="324"/>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p>
    <w:p>
      <w:pPr>
        <w:pStyle w:val="Style28"/>
        <w:keepNext/>
        <w:keepLines/>
        <w:widowControl w:val="0"/>
        <w:shd w:val="clear" w:color="auto" w:fill="auto"/>
        <w:tabs>
          <w:tab w:pos="526" w:val="left"/>
        </w:tabs>
        <w:bidi w:val="0"/>
        <w:spacing w:before="0" w:after="34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九</w:t>
      </w:r>
      <w:bookmarkEnd w:id="327"/>
      <w:r>
        <w:rPr>
          <w:color w:val="000000"/>
          <w:spacing w:val="0"/>
          <w:w w:val="100"/>
          <w:position w:val="0"/>
        </w:rPr>
        <w:t>、</w:t>
        <w:tab/>
        <w:t>聘任、解聘会计师事务所情况</w:t>
      </w:r>
      <w:bookmarkEnd w:id="325"/>
      <w:bookmarkEnd w:id="326"/>
      <w:bookmarkEnd w:id="32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是否在审计期间改聘会计师事务所</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更换会计师事务所是否履行审批程序</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对改聘、变更会计师事务所情况的详细说明</w:t>
      </w:r>
    </w:p>
    <w:p>
      <w:pPr>
        <w:pStyle w:val="Style32"/>
        <w:keepNext w:val="0"/>
        <w:keepLines w:val="0"/>
        <w:widowControl w:val="0"/>
        <w:shd w:val="clear" w:color="auto" w:fill="auto"/>
        <w:bidi w:val="0"/>
        <w:spacing w:before="0" w:after="40" w:line="35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年度，公司已完成重大资产重组工作，公司的主营业务发生重大变化，且公司的主要经营地点由深圳市变为北京市， 为更好的适应公司未来业务发展需要，拟改聘信永中和会计师事务所（特殊普通合伙）为公司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年度财务报告及内控审 </w:t>
      </w:r>
      <w:r>
        <w:rPr>
          <w:color w:val="000000"/>
          <w:spacing w:val="0"/>
          <w:w w:val="100"/>
          <w:position w:val="0"/>
        </w:rPr>
        <w:t>计机构。该事项已经过公司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日第八届董事会第七次会议和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日神州数码</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 审议通过。</w:t>
      </w:r>
    </w:p>
    <w:p>
      <w:pPr>
        <w:pStyle w:val="Style32"/>
        <w:keepNext w:val="0"/>
        <w:keepLines w:val="0"/>
        <w:widowControl w:val="0"/>
        <w:shd w:val="clear" w:color="auto" w:fill="auto"/>
        <w:bidi w:val="0"/>
        <w:spacing w:before="0" w:after="180" w:line="353" w:lineRule="exact"/>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480" w:line="346" w:lineRule="exact"/>
        <w:ind w:left="0" w:right="0" w:firstLine="0"/>
        <w:jc w:val="left"/>
      </w:pPr>
      <w:r>
        <w:rPr>
          <w:color w:val="000000"/>
          <w:spacing w:val="0"/>
          <w:w w:val="100"/>
          <w:position w:val="0"/>
        </w:rPr>
        <w:t>本年度内公司聘请信永中和会计师事务所（特殊普通合伙）为公司</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年度内部控制审计机构，审计费用为</w:t>
      </w:r>
      <w:r>
        <w:rPr>
          <w:rFonts w:ascii="Times New Roman" w:eastAsia="Times New Roman" w:hAnsi="Times New Roman" w:cs="Times New Roman"/>
          <w:color w:val="000000"/>
          <w:spacing w:val="0"/>
          <w:w w:val="100"/>
          <w:position w:val="0"/>
        </w:rPr>
        <w:t>35</w:t>
      </w:r>
      <w:r>
        <w:rPr>
          <w:color w:val="000000"/>
          <w:spacing w:val="0"/>
          <w:w w:val="100"/>
          <w:position w:val="0"/>
        </w:rPr>
        <w:t>万元（此费 用不包括在上述</w:t>
      </w:r>
      <w:r>
        <w:rPr>
          <w:rFonts w:ascii="Times New Roman" w:eastAsia="Times New Roman" w:hAnsi="Times New Roman" w:cs="Times New Roman"/>
          <w:color w:val="000000"/>
          <w:spacing w:val="0"/>
          <w:w w:val="100"/>
          <w:position w:val="0"/>
        </w:rPr>
        <w:t>220</w:t>
      </w:r>
      <w:r>
        <w:rPr>
          <w:color w:val="000000"/>
          <w:spacing w:val="0"/>
          <w:w w:val="100"/>
          <w:position w:val="0"/>
        </w:rPr>
        <w:t>万元中）。</w:t>
      </w:r>
    </w:p>
    <w:p>
      <w:pPr>
        <w:pStyle w:val="Style28"/>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r>
        <w:rPr>
          <w:color w:val="000000"/>
          <w:spacing w:val="0"/>
          <w:w w:val="100"/>
          <w:position w:val="0"/>
        </w:rPr>
        <w:t>十、年度报告披露后面临暂停上市和终止上市情况</w:t>
      </w:r>
      <w:bookmarkEnd w:id="329"/>
      <w:bookmarkEnd w:id="330"/>
      <w:bookmarkEnd w:id="331"/>
    </w:p>
    <w:p>
      <w:pPr>
        <w:pStyle w:val="Style32"/>
        <w:keepNext w:val="0"/>
        <w:keepLines w:val="0"/>
        <w:widowControl w:val="0"/>
        <w:shd w:val="clear" w:color="auto" w:fill="auto"/>
        <w:bidi w:val="0"/>
        <w:spacing w:before="0" w:after="180" w:line="41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r>
        <w:rPr>
          <w:color w:val="000000"/>
          <w:spacing w:val="0"/>
          <w:w w:val="100"/>
          <w:position w:val="0"/>
        </w:rPr>
        <w:t>十一、破产重整相关事项</w:t>
      </w:r>
      <w:bookmarkEnd w:id="332"/>
      <w:bookmarkEnd w:id="333"/>
      <w:bookmarkEnd w:id="334"/>
    </w:p>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20" w:line="240" w:lineRule="auto"/>
        <w:ind w:left="0" w:right="0" w:firstLine="0"/>
        <w:jc w:val="left"/>
      </w:pPr>
      <w:bookmarkStart w:id="335" w:name="bookmark335"/>
      <w:bookmarkStart w:id="336" w:name="bookmark336"/>
      <w:bookmarkStart w:id="337" w:name="bookmark337"/>
      <w:r>
        <w:rPr>
          <w:color w:val="000000"/>
          <w:spacing w:val="0"/>
          <w:w w:val="100"/>
          <w:position w:val="0"/>
        </w:rPr>
        <w:t>十二、重大诉讼、仲裁事项</w:t>
      </w:r>
      <w:bookmarkEnd w:id="335"/>
      <w:bookmarkEnd w:id="336"/>
      <w:bookmarkEnd w:id="337"/>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565"/>
        <w:gridCol w:w="1070"/>
        <w:gridCol w:w="878"/>
        <w:gridCol w:w="941"/>
        <w:gridCol w:w="1373"/>
        <w:gridCol w:w="1248"/>
        <w:gridCol w:w="1066"/>
        <w:gridCol w:w="1478"/>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涉案金额 （万元）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天津祥润昌商贸有 限公司就神码北 京、神码中国合同 纠纷提起诉讼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二审裁定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日，北京市高级 人民法院作出了</w:t>
            </w:r>
          </w:p>
          <w:p>
            <w:pPr>
              <w:pStyle w:val="Style24"/>
              <w:keepNext w:val="0"/>
              <w:keepLines w:val="0"/>
              <w:widowControl w:val="0"/>
              <w:shd w:val="clear" w:color="auto" w:fill="auto"/>
              <w:bidi w:val="0"/>
              <w:spacing w:before="0" w:after="0" w:line="23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）京民终 </w:t>
            </w:r>
            <w:r>
              <w:rPr>
                <w:rFonts w:ascii="Times New Roman" w:eastAsia="Times New Roman" w:hAnsi="Times New Roman" w:cs="Times New Roman"/>
                <w:color w:val="000000"/>
                <w:spacing w:val="0"/>
                <w:w w:val="100"/>
                <w:position w:val="0"/>
              </w:rPr>
              <w:t>110</w:t>
            </w:r>
            <w:r>
              <w:rPr>
                <w:color w:val="000000"/>
                <w:spacing w:val="0"/>
                <w:w w:val="100"/>
                <w:position w:val="0"/>
              </w:rPr>
              <w:t>号《民事裁 定书》，裁定驳 回上诉，维持原 裁定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both"/>
            </w:pPr>
            <w:r>
              <w:rPr>
                <w:color w:val="000000"/>
                <w:spacing w:val="0"/>
                <w:w w:val="100"/>
                <w:position w:val="0"/>
              </w:rPr>
              <w:t>巨潮资讯网，公 告编号</w:t>
            </w:r>
            <w:r>
              <w:rPr>
                <w:rFonts w:ascii="Times New Roman" w:eastAsia="Times New Roman" w:hAnsi="Times New Roman" w:cs="Times New Roman"/>
                <w:color w:val="000000"/>
                <w:spacing w:val="0"/>
                <w:w w:val="100"/>
                <w:position w:val="0"/>
              </w:rPr>
              <w:t>2016-134</w:t>
            </w:r>
          </w:p>
        </w:tc>
      </w:tr>
      <w:tr>
        <w:trPr>
          <w:trHeight w:val="14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寰球实业（安徽） 有限公司就神码北 京、北京卓优世纪 科技有限公司、神 码中国合同纠纷提 起诉讼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一审审理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巨潮资讯网《重 大资产购买（构 成借壳上市）暨 非公开发行股票 之关联交易报告 书》</w:t>
            </w:r>
          </w:p>
        </w:tc>
      </w:tr>
      <w:tr>
        <w:trPr>
          <w:trHeight w:val="21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中信信通国际物流 有限公司就神码北 京合同纠纷提起诉 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二审裁定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月，北 京市第一中级人 民法院作出</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 xml:space="preserve">01 </w:t>
            </w:r>
            <w:r>
              <w:rPr>
                <w:color w:val="000000"/>
                <w:spacing w:val="0"/>
                <w:w w:val="100"/>
                <w:position w:val="0"/>
              </w:rPr>
              <w:t>民终</w:t>
            </w:r>
            <w:r>
              <w:rPr>
                <w:rFonts w:ascii="Times New Roman" w:eastAsia="Times New Roman" w:hAnsi="Times New Roman" w:cs="Times New Roman"/>
                <w:color w:val="000000"/>
                <w:spacing w:val="0"/>
                <w:w w:val="100"/>
                <w:position w:val="0"/>
              </w:rPr>
              <w:t>1967</w:t>
            </w:r>
            <w:r>
              <w:rPr>
                <w:color w:val="000000"/>
                <w:spacing w:val="0"/>
                <w:w w:val="100"/>
                <w:position w:val="0"/>
              </w:rPr>
              <w:t>号</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《民事裁定</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书》，裁定驳回 上诉，维持原裁 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巨潮资讯网《重 大资产购买（构 成借壳上市）暨 非公开发行股票 之关联交易报告 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山西省物产集团进 出口有限公司就神 码中国合同纠纷提 起诉讼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再审审理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both"/>
            </w:pPr>
            <w:r>
              <w:rPr>
                <w:color w:val="000000"/>
                <w:spacing w:val="0"/>
                <w:w w:val="100"/>
                <w:position w:val="0"/>
              </w:rPr>
              <w:t>巨潮资讯网，公 告编号</w:t>
            </w:r>
            <w:r>
              <w:rPr>
                <w:rFonts w:ascii="Times New Roman" w:eastAsia="Times New Roman" w:hAnsi="Times New Roman" w:cs="Times New Roman"/>
                <w:color w:val="000000"/>
                <w:spacing w:val="0"/>
                <w:w w:val="100"/>
                <w:position w:val="0"/>
              </w:rPr>
              <w:t>2016-128</w:t>
            </w:r>
          </w:p>
        </w:tc>
      </w:tr>
      <w:tr>
        <w:trPr>
          <w:trHeight w:val="75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神码中国就北京华 胜天成科技股份有 限公司合同纠纷提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已受理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both"/>
            </w:pPr>
            <w:r>
              <w:rPr>
                <w:color w:val="000000"/>
                <w:spacing w:val="0"/>
                <w:w w:val="100"/>
                <w:position w:val="0"/>
              </w:rPr>
              <w:t>巨潮资讯网，公 告编号</w:t>
            </w:r>
            <w:r>
              <w:rPr>
                <w:rFonts w:ascii="Times New Roman" w:eastAsia="Times New Roman" w:hAnsi="Times New Roman" w:cs="Times New Roman"/>
                <w:color w:val="000000"/>
                <w:spacing w:val="0"/>
                <w:w w:val="100"/>
                <w:position w:val="0"/>
              </w:rPr>
              <w:t>2016-154</w:t>
            </w:r>
          </w:p>
        </w:tc>
      </w:tr>
    </w:tbl>
    <w:tbl>
      <w:tblPr>
        <w:tblOverlap w:val="never"/>
        <w:jc w:val="center"/>
        <w:tblLayout w:type="fixed"/>
      </w:tblPr>
      <w:tblGrid>
        <w:gridCol w:w="1565"/>
        <w:gridCol w:w="1070"/>
        <w:gridCol w:w="878"/>
        <w:gridCol w:w="941"/>
        <w:gridCol w:w="1373"/>
        <w:gridCol w:w="1248"/>
        <w:gridCol w:w="1066"/>
        <w:gridCol w:w="1478"/>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起仲裁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涉及从</w:t>
            </w:r>
            <w:r>
              <w:rPr>
                <w:rFonts w:ascii="Times New Roman" w:eastAsia="Times New Roman" w:hAnsi="Times New Roman" w:cs="Times New Roman"/>
                <w:color w:val="000000"/>
                <w:spacing w:val="0"/>
                <w:w w:val="100"/>
                <w:position w:val="0"/>
              </w:rPr>
              <w:t>2005</w:t>
            </w:r>
            <w:r>
              <w:rPr>
                <w:color w:val="000000"/>
                <w:spacing w:val="0"/>
                <w:w w:val="100"/>
                <w:position w:val="0"/>
              </w:rPr>
              <w:t>年至 报告期</w:t>
            </w:r>
            <w:r>
              <w:rPr>
                <w:rFonts w:ascii="Times New Roman" w:eastAsia="Times New Roman" w:hAnsi="Times New Roman" w:cs="Times New Roman"/>
                <w:color w:val="000000"/>
                <w:spacing w:val="0"/>
                <w:w w:val="100"/>
                <w:position w:val="0"/>
              </w:rPr>
              <w:t>170</w:t>
            </w:r>
            <w:r>
              <w:rPr>
                <w:color w:val="000000"/>
                <w:spacing w:val="0"/>
                <w:w w:val="100"/>
                <w:position w:val="0"/>
              </w:rPr>
              <w:t>余个购 销合同纠纷。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338" w:name="bookmark338"/>
      <w:bookmarkStart w:id="339" w:name="bookmark339"/>
      <w:bookmarkStart w:id="340" w:name="bookmark340"/>
      <w:r>
        <w:rPr>
          <w:color w:val="000000"/>
          <w:spacing w:val="0"/>
          <w:w w:val="100"/>
          <w:position w:val="0"/>
        </w:rPr>
        <w:t>十三、处罚及整改情况</w:t>
      </w:r>
      <w:bookmarkEnd w:id="338"/>
      <w:bookmarkEnd w:id="339"/>
      <w:bookmarkEnd w:id="340"/>
    </w:p>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公司报告期不存在处罚及整改情况。</w:t>
      </w:r>
    </w:p>
    <w:p>
      <w:pPr>
        <w:pStyle w:val="Style28"/>
        <w:keepNext/>
        <w:keepLines/>
        <w:widowControl w:val="0"/>
        <w:shd w:val="clear" w:color="auto" w:fill="auto"/>
        <w:bidi w:val="0"/>
        <w:spacing w:before="0" w:after="340" w:line="240" w:lineRule="auto"/>
        <w:ind w:left="0" w:right="0" w:firstLine="0"/>
        <w:jc w:val="both"/>
      </w:pPr>
      <w:bookmarkStart w:id="341" w:name="bookmark341"/>
      <w:bookmarkStart w:id="342" w:name="bookmark342"/>
      <w:bookmarkStart w:id="343" w:name="bookmark343"/>
      <w:r>
        <w:rPr>
          <w:color w:val="000000"/>
          <w:spacing w:val="0"/>
          <w:w w:val="100"/>
          <w:position w:val="0"/>
        </w:rPr>
        <w:t>十四、公司及其控股股东、实际控制人的诚信状况</w:t>
      </w:r>
      <w:bookmarkEnd w:id="341"/>
      <w:bookmarkEnd w:id="342"/>
      <w:bookmarkEnd w:id="343"/>
    </w:p>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40" w:line="240" w:lineRule="exact"/>
        <w:ind w:left="0" w:right="0" w:firstLine="0"/>
        <w:jc w:val="both"/>
      </w:pPr>
      <w:r>
        <w:rPr>
          <w:color w:val="000000"/>
          <w:spacing w:val="0"/>
          <w:w w:val="100"/>
          <w:position w:val="0"/>
        </w:rPr>
        <w:t>报告期内，公司及其控股股东、实际控制人的诚信状况良好，不存在未履行法院生效判决、所负数额较大的债务到期未清 偿等情况。</w:t>
      </w:r>
    </w:p>
    <w:p>
      <w:pPr>
        <w:pStyle w:val="Style28"/>
        <w:keepNext/>
        <w:keepLines/>
        <w:widowControl w:val="0"/>
        <w:shd w:val="clear" w:color="auto" w:fill="auto"/>
        <w:bidi w:val="0"/>
        <w:spacing w:before="0" w:after="340" w:line="240" w:lineRule="auto"/>
        <w:ind w:left="0" w:right="0" w:firstLine="0"/>
        <w:jc w:val="left"/>
      </w:pPr>
      <w:bookmarkStart w:id="344" w:name="bookmark344"/>
      <w:bookmarkStart w:id="345" w:name="bookmark345"/>
      <w:bookmarkStart w:id="346" w:name="bookmark346"/>
      <w:r>
        <w:rPr>
          <w:color w:val="000000"/>
          <w:spacing w:val="0"/>
          <w:w w:val="100"/>
          <w:position w:val="0"/>
        </w:rPr>
        <w:t>十五、公司股权激励计划、员工持股计划或其他员工激励措施的实施情况</w:t>
      </w:r>
      <w:bookmarkEnd w:id="344"/>
      <w:bookmarkEnd w:id="345"/>
      <w:bookmarkEnd w:id="346"/>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344" w:val="left"/>
        </w:tabs>
        <w:bidi w:val="0"/>
        <w:spacing w:before="0" w:after="0" w:line="356" w:lineRule="exact"/>
        <w:ind w:left="0" w:right="0" w:firstLine="0"/>
        <w:jc w:val="left"/>
      </w:pPr>
      <w:bookmarkStart w:id="347" w:name="bookmark347"/>
      <w:r>
        <w:rPr>
          <w:rFonts w:ascii="Times New Roman" w:eastAsia="Times New Roman" w:hAnsi="Times New Roman" w:cs="Times New Roman"/>
          <w:color w:val="000000"/>
          <w:spacing w:val="0"/>
          <w:w w:val="100"/>
          <w:position w:val="0"/>
        </w:rPr>
        <w:t>1</w:t>
      </w:r>
      <w:bookmarkEnd w:id="34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日公司第八届董事会第十次会议、第八届监事会第八次会议审议通过《关于公司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 票预案的议案》、《关于公司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年第一期员工持股计划（草案）（认购非公开发行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股股票方式）及其摘要的议案》等 相关议案，同意公司</w:t>
      </w:r>
      <w:r>
        <w:rPr>
          <w:rFonts w:ascii="Times New Roman" w:eastAsia="Times New Roman" w:hAnsi="Times New Roman" w:cs="Times New Roman"/>
          <w:color w:val="000000"/>
          <w:spacing w:val="0"/>
          <w:w w:val="100"/>
          <w:position w:val="0"/>
        </w:rPr>
        <w:t>10</w:t>
      </w:r>
      <w:r>
        <w:rPr>
          <w:color w:val="000000"/>
          <w:spacing w:val="0"/>
          <w:w w:val="100"/>
          <w:position w:val="0"/>
        </w:rPr>
        <w:t>名董事、监事及高级管理人员及公司</w:t>
      </w:r>
      <w:r>
        <w:rPr>
          <w:rFonts w:ascii="Times New Roman" w:eastAsia="Times New Roman" w:hAnsi="Times New Roman" w:cs="Times New Roman"/>
          <w:color w:val="000000"/>
          <w:spacing w:val="0"/>
          <w:w w:val="100"/>
          <w:position w:val="0"/>
        </w:rPr>
        <w:t>1456</w:t>
      </w:r>
      <w:r>
        <w:rPr>
          <w:color w:val="000000"/>
          <w:spacing w:val="0"/>
          <w:w w:val="100"/>
          <w:position w:val="0"/>
        </w:rPr>
        <w:t>名其他员工参加员工持股计划。</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年度第 六次临时股东大会审议通过了上述议案。</w:t>
      </w:r>
    </w:p>
    <w:p>
      <w:pPr>
        <w:pStyle w:val="Style32"/>
        <w:keepNext w:val="0"/>
        <w:keepLines w:val="0"/>
        <w:widowControl w:val="0"/>
        <w:shd w:val="clear" w:color="auto" w:fill="auto"/>
        <w:tabs>
          <w:tab w:pos="354" w:val="left"/>
        </w:tabs>
        <w:bidi w:val="0"/>
        <w:spacing w:before="0" w:after="0" w:line="356" w:lineRule="exact"/>
        <w:ind w:left="0" w:right="0" w:firstLine="0"/>
        <w:jc w:val="left"/>
      </w:pPr>
      <w:bookmarkStart w:id="348" w:name="bookmark348"/>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日公司第八届董事会第十二次会议，审议通过《关于修订非公开发行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股股票预案的议案》</w:t>
      </w:r>
    </w:p>
    <w:p>
      <w:pPr>
        <w:pStyle w:val="Style32"/>
        <w:keepNext w:val="0"/>
        <w:keepLines w:val="0"/>
        <w:widowControl w:val="0"/>
        <w:shd w:val="clear" w:color="auto" w:fill="auto"/>
        <w:tabs>
          <w:tab w:pos="344" w:val="left"/>
        </w:tabs>
        <w:bidi w:val="0"/>
        <w:spacing w:before="0" w:after="0" w:line="356" w:lineRule="exact"/>
        <w:ind w:left="0" w:right="0" w:firstLine="0"/>
        <w:jc w:val="left"/>
      </w:pPr>
      <w:bookmarkStart w:id="349" w:name="bookmark349"/>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日收到中国证监会关于公司提交的《神州数码集团股份有限公司上市公司非公开发行新股核准》的行政许可 申请受理通知书</w:t>
      </w:r>
    </w:p>
    <w:p>
      <w:pPr>
        <w:pStyle w:val="Style32"/>
        <w:keepNext w:val="0"/>
        <w:keepLines w:val="0"/>
        <w:widowControl w:val="0"/>
        <w:shd w:val="clear" w:color="auto" w:fill="auto"/>
        <w:tabs>
          <w:tab w:pos="354" w:val="left"/>
        </w:tabs>
        <w:bidi w:val="0"/>
        <w:spacing w:before="0" w:after="0" w:line="356" w:lineRule="exact"/>
        <w:ind w:left="0" w:right="0" w:firstLine="0"/>
        <w:jc w:val="left"/>
      </w:pPr>
      <w:bookmarkStart w:id="350" w:name="bookmark350"/>
      <w:r>
        <w:rPr>
          <w:rFonts w:ascii="Times New Roman" w:eastAsia="Times New Roman" w:hAnsi="Times New Roman" w:cs="Times New Roman"/>
          <w:color w:val="000000"/>
          <w:spacing w:val="0"/>
          <w:w w:val="100"/>
          <w:position w:val="0"/>
        </w:rPr>
        <w:t>4</w:t>
      </w:r>
      <w:bookmarkEnd w:id="35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日公司第八届董事会第十四次会议，审议通过《关于修改非公开发行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股股票预案的议案》</w:t>
      </w:r>
    </w:p>
    <w:p>
      <w:pPr>
        <w:pStyle w:val="Style32"/>
        <w:keepNext w:val="0"/>
        <w:keepLines w:val="0"/>
        <w:widowControl w:val="0"/>
        <w:shd w:val="clear" w:color="auto" w:fill="auto"/>
        <w:tabs>
          <w:tab w:pos="344" w:val="left"/>
        </w:tabs>
        <w:bidi w:val="0"/>
        <w:spacing w:before="0" w:after="340" w:line="356" w:lineRule="exact"/>
        <w:ind w:left="0" w:right="0" w:firstLine="0"/>
        <w:jc w:val="left"/>
        <w:sectPr>
          <w:footnotePr>
            <w:pos w:val="pageBottom"/>
            <w:numFmt w:val="decimal"/>
            <w:numRestart w:val="continuous"/>
          </w:footnotePr>
          <w:pgSz w:w="11900" w:h="16840"/>
          <w:pgMar w:top="1297" w:right="1103" w:bottom="1446" w:left="1110" w:header="0" w:footer="3" w:gutter="0"/>
          <w:cols w:space="720"/>
          <w:noEndnote/>
          <w:rtlGutter w:val="0"/>
          <w:docGrid w:linePitch="360"/>
        </w:sectPr>
      </w:pPr>
      <w:bookmarkStart w:id="351" w:name="bookmark351"/>
      <w:r>
        <w:rPr>
          <w:rFonts w:ascii="Times New Roman" w:eastAsia="Times New Roman" w:hAnsi="Times New Roman" w:cs="Times New Roman"/>
          <w:color w:val="000000"/>
          <w:spacing w:val="0"/>
          <w:w w:val="100"/>
          <w:position w:val="0"/>
        </w:rPr>
        <w:t>5</w:t>
      </w:r>
      <w:bookmarkEnd w:id="351"/>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日公司非公开发行股票事项获中国证监会发行审核委员会审核通过。</w:t>
      </w:r>
    </w:p>
    <w:p>
      <w:pPr>
        <w:pStyle w:val="Style28"/>
        <w:keepNext/>
        <w:keepLines/>
        <w:widowControl w:val="0"/>
        <w:shd w:val="clear" w:color="auto" w:fill="auto"/>
        <w:bidi w:val="0"/>
        <w:spacing w:before="360" w:after="320" w:line="240" w:lineRule="auto"/>
        <w:ind w:left="0" w:right="0" w:firstLine="0"/>
        <w:jc w:val="left"/>
      </w:pPr>
      <w:bookmarkStart w:id="352" w:name="bookmark352"/>
      <w:bookmarkStart w:id="353" w:name="bookmark353"/>
      <w:bookmarkStart w:id="354" w:name="bookmark354"/>
      <w:r>
        <w:rPr>
          <w:color w:val="000000"/>
          <w:spacing w:val="0"/>
          <w:w w:val="100"/>
          <w:position w:val="0"/>
        </w:rPr>
        <w:t>十六、重大关联交易</w:t>
      </w:r>
      <w:bookmarkEnd w:id="352"/>
      <w:bookmarkEnd w:id="353"/>
      <w:bookmarkEnd w:id="354"/>
    </w:p>
    <w:p>
      <w:pPr>
        <w:pStyle w:val="Style36"/>
        <w:keepNext/>
        <w:keepLines/>
        <w:widowControl w:val="0"/>
        <w:shd w:val="clear" w:color="auto" w:fill="auto"/>
        <w:bidi w:val="0"/>
        <w:spacing w:before="0" w:after="32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、与日常经营相关的关联交易</w:t>
      </w:r>
      <w:bookmarkEnd w:id="355"/>
      <w:bookmarkEnd w:id="356"/>
      <w:bookmarkEnd w:id="35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09"/>
        <w:gridCol w:w="850"/>
        <w:gridCol w:w="850"/>
        <w:gridCol w:w="994"/>
        <w:gridCol w:w="850"/>
        <w:gridCol w:w="677"/>
        <w:gridCol w:w="1027"/>
        <w:gridCol w:w="989"/>
        <w:gridCol w:w="1138"/>
        <w:gridCol w:w="994"/>
        <w:gridCol w:w="1133"/>
        <w:gridCol w:w="850"/>
        <w:gridCol w:w="1133"/>
        <w:gridCol w:w="1142"/>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right"/>
            </w:pPr>
            <w:r>
              <w:rPr>
                <w:color w:val="000000"/>
                <w:spacing w:val="0"/>
                <w:w w:val="100"/>
                <w:position w:val="0"/>
              </w:rPr>
              <w:t>占同类交易 金额的比例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获批的交易 额度（万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是否超过获 批额度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关联交易结 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披露索引</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神州数码控 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神州数码控 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关联米购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神州数码控 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关联米购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采购行政办 公服务、货 运服务及其 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19,146.64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神州数码信 息服务股份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16,238.04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神州数码信 息服务股份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关联米购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神州数码信 息服务股份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关联米购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采购行政办 公服务、货 运服务及其 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北京神州数 码索贝科技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41,170.32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500" w:firstLine="0"/>
              <w:jc w:val="right"/>
            </w:pPr>
            <w:r>
              <w:rPr>
                <w:rFonts w:ascii="Times New Roman" w:eastAsia="Times New Roman" w:hAnsi="Times New Roman" w:cs="Times New Roman"/>
                <w:color w:val="000000"/>
                <w:spacing w:val="0"/>
                <w:w w:val="100"/>
                <w:position w:val="0"/>
              </w:rPr>
              <w:t>--</w:t>
            </w:r>
          </w:p>
        </w:tc>
      </w:tr>
      <w:tr>
        <w:trPr>
          <w:trHeight w:val="326"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58"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按类别对本期将发生的日常关联交易进行总金 额预计的，在报告期内的实际履行情况</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年度关联方交易：对神州控股关联销售预计</w:t>
            </w:r>
            <w:r>
              <w:rPr>
                <w:rFonts w:ascii="Times New Roman" w:eastAsia="Times New Roman" w:hAnsi="Times New Roman" w:cs="Times New Roman"/>
                <w:color w:val="000000"/>
                <w:spacing w:val="0"/>
                <w:w w:val="100"/>
                <w:position w:val="0"/>
              </w:rPr>
              <w:t>27000</w:t>
            </w:r>
            <w:r>
              <w:rPr>
                <w:color w:val="000000"/>
                <w:spacing w:val="0"/>
                <w:w w:val="100"/>
                <w:position w:val="0"/>
              </w:rPr>
              <w:t>万元，实际履行</w:t>
            </w:r>
            <w:r>
              <w:rPr>
                <w:rFonts w:ascii="Times New Roman" w:eastAsia="Times New Roman" w:hAnsi="Times New Roman" w:cs="Times New Roman"/>
                <w:color w:val="000000"/>
                <w:spacing w:val="0"/>
                <w:w w:val="100"/>
                <w:position w:val="0"/>
              </w:rPr>
              <w:t>2326.70</w:t>
            </w:r>
            <w:r>
              <w:rPr>
                <w:color w:val="000000"/>
                <w:spacing w:val="0"/>
                <w:w w:val="100"/>
                <w:position w:val="0"/>
              </w:rPr>
              <w:t>万元；对神州控股采购商品预计</w:t>
            </w:r>
            <w:r>
              <w:rPr>
                <w:rFonts w:ascii="Times New Roman" w:eastAsia="Times New Roman" w:hAnsi="Times New Roman" w:cs="Times New Roman"/>
                <w:color w:val="000000"/>
                <w:spacing w:val="0"/>
                <w:w w:val="100"/>
                <w:position w:val="0"/>
              </w:rPr>
              <w:t>11454</w:t>
            </w:r>
            <w:r>
              <w:rPr>
                <w:color w:val="000000"/>
                <w:spacing w:val="0"/>
                <w:w w:val="100"/>
                <w:position w:val="0"/>
              </w:rPr>
              <w:t>万 元，实际履行</w:t>
            </w:r>
            <w:r>
              <w:rPr>
                <w:rFonts w:ascii="Times New Roman" w:eastAsia="Times New Roman" w:hAnsi="Times New Roman" w:cs="Times New Roman"/>
                <w:color w:val="000000"/>
                <w:spacing w:val="0"/>
                <w:w w:val="100"/>
                <w:position w:val="0"/>
              </w:rPr>
              <w:t>3410.78</w:t>
            </w:r>
            <w:r>
              <w:rPr>
                <w:color w:val="000000"/>
                <w:spacing w:val="0"/>
                <w:w w:val="100"/>
                <w:position w:val="0"/>
              </w:rPr>
              <w:t>万元；对神州控股采购行政办公服务、货运服务及其他预计</w:t>
            </w:r>
            <w:r>
              <w:rPr>
                <w:rFonts w:ascii="Times New Roman" w:eastAsia="Times New Roman" w:hAnsi="Times New Roman" w:cs="Times New Roman"/>
                <w:color w:val="000000"/>
                <w:spacing w:val="0"/>
                <w:w w:val="100"/>
                <w:position w:val="0"/>
              </w:rPr>
              <w:t>25046</w:t>
            </w:r>
            <w:r>
              <w:rPr>
                <w:color w:val="000000"/>
                <w:spacing w:val="0"/>
                <w:w w:val="100"/>
                <w:position w:val="0"/>
              </w:rPr>
              <w:t>万元，实际履行</w:t>
            </w:r>
            <w:r>
              <w:rPr>
                <w:rFonts w:ascii="Times New Roman" w:eastAsia="Times New Roman" w:hAnsi="Times New Roman" w:cs="Times New Roman"/>
                <w:color w:val="000000"/>
                <w:spacing w:val="0"/>
                <w:w w:val="100"/>
                <w:position w:val="0"/>
              </w:rPr>
              <w:t>19146.64</w:t>
            </w:r>
            <w:r>
              <w:rPr>
                <w:color w:val="000000"/>
                <w:spacing w:val="0"/>
                <w:w w:val="100"/>
                <w:position w:val="0"/>
              </w:rPr>
              <w:t>万元；对 神州信息关联销售预计</w:t>
            </w:r>
            <w:r>
              <w:rPr>
                <w:rFonts w:ascii="Times New Roman" w:eastAsia="Times New Roman" w:hAnsi="Times New Roman" w:cs="Times New Roman"/>
                <w:color w:val="000000"/>
                <w:spacing w:val="0"/>
                <w:w w:val="100"/>
                <w:position w:val="0"/>
              </w:rPr>
              <w:t>46500</w:t>
            </w:r>
            <w:r>
              <w:rPr>
                <w:color w:val="000000"/>
                <w:spacing w:val="0"/>
                <w:w w:val="100"/>
                <w:position w:val="0"/>
              </w:rPr>
              <w:t>万元，实际履行</w:t>
            </w:r>
            <w:r>
              <w:rPr>
                <w:rFonts w:ascii="Times New Roman" w:eastAsia="Times New Roman" w:hAnsi="Times New Roman" w:cs="Times New Roman"/>
                <w:color w:val="000000"/>
                <w:spacing w:val="0"/>
                <w:w w:val="100"/>
                <w:position w:val="0"/>
              </w:rPr>
              <w:t>16238.04</w:t>
            </w:r>
            <w:r>
              <w:rPr>
                <w:color w:val="000000"/>
                <w:spacing w:val="0"/>
                <w:w w:val="100"/>
                <w:position w:val="0"/>
              </w:rPr>
              <w:t>万元；对神州信息采购商品预计</w:t>
            </w:r>
            <w:r>
              <w:rPr>
                <w:rFonts w:ascii="Times New Roman" w:eastAsia="Times New Roman" w:hAnsi="Times New Roman" w:cs="Times New Roman"/>
                <w:color w:val="000000"/>
                <w:spacing w:val="0"/>
                <w:w w:val="100"/>
                <w:position w:val="0"/>
              </w:rPr>
              <w:t>3000</w:t>
            </w:r>
            <w:r>
              <w:rPr>
                <w:color w:val="000000"/>
                <w:spacing w:val="0"/>
                <w:w w:val="100"/>
                <w:position w:val="0"/>
              </w:rPr>
              <w:t>万元，实际履行</w:t>
            </w:r>
            <w:r>
              <w:rPr>
                <w:rFonts w:ascii="Times New Roman" w:eastAsia="Times New Roman" w:hAnsi="Times New Roman" w:cs="Times New Roman"/>
                <w:color w:val="000000"/>
                <w:spacing w:val="0"/>
                <w:w w:val="100"/>
                <w:position w:val="0"/>
              </w:rPr>
              <w:t>36.98</w:t>
            </w:r>
            <w:r>
              <w:rPr>
                <w:color w:val="000000"/>
                <w:spacing w:val="0"/>
                <w:w w:val="100"/>
                <w:position w:val="0"/>
              </w:rPr>
              <w:t>万元；对</w:t>
            </w:r>
          </w:p>
        </w:tc>
      </w:tr>
    </w:tbl>
    <w:p>
      <w:pPr>
        <w:spacing w:lineRule="exact" w:line="1"/>
        <w:rPr>
          <w:sz w:val="2"/>
          <w:szCs w:val="2"/>
        </w:rPr>
      </w:pPr>
      <w:r>
        <w:br w:type="page"/>
      </w:r>
    </w:p>
    <w:tbl>
      <w:tblPr>
        <w:tblOverlap w:val="never"/>
        <w:jc w:val="center"/>
        <w:tblLayout w:type="fixed"/>
      </w:tblPr>
      <w:tblGrid>
        <w:gridCol w:w="1109"/>
        <w:gridCol w:w="850"/>
        <w:gridCol w:w="850"/>
        <w:gridCol w:w="994"/>
        <w:gridCol w:w="850"/>
        <w:gridCol w:w="677"/>
        <w:gridCol w:w="1027"/>
        <w:gridCol w:w="989"/>
        <w:gridCol w:w="1138"/>
        <w:gridCol w:w="994"/>
        <w:gridCol w:w="1128"/>
        <w:gridCol w:w="854"/>
        <w:gridCol w:w="1133"/>
        <w:gridCol w:w="1142"/>
      </w:tblGrid>
      <w:tr>
        <w:trPr>
          <w:trHeight w:val="8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占同类交易 金额的比例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获批的交易 额度（万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是否超过获 批额度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关联交易结 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14" w:hRule="exact"/>
        </w:trPr>
        <w:tc>
          <w:tcPr>
            <w:gridSpan w:val="4"/>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神州信息采购行政办公服务、货运服务及其他预计</w:t>
            </w:r>
            <w:r>
              <w:rPr>
                <w:rFonts w:ascii="Times New Roman" w:eastAsia="Times New Roman" w:hAnsi="Times New Roman" w:cs="Times New Roman"/>
                <w:color w:val="000000"/>
                <w:spacing w:val="0"/>
                <w:w w:val="100"/>
                <w:position w:val="0"/>
              </w:rPr>
              <w:t>6000</w:t>
            </w:r>
            <w:r>
              <w:rPr>
                <w:color w:val="000000"/>
                <w:spacing w:val="0"/>
                <w:w w:val="100"/>
                <w:position w:val="0"/>
              </w:rPr>
              <w:t>万元，实际履行</w:t>
            </w:r>
            <w:r>
              <w:rPr>
                <w:rFonts w:ascii="Times New Roman" w:eastAsia="Times New Roman" w:hAnsi="Times New Roman" w:cs="Times New Roman"/>
                <w:color w:val="000000"/>
                <w:spacing w:val="0"/>
                <w:w w:val="100"/>
                <w:position w:val="0"/>
              </w:rPr>
              <w:t>7.54</w:t>
            </w:r>
            <w:r>
              <w:rPr>
                <w:color w:val="000000"/>
                <w:spacing w:val="0"/>
                <w:w w:val="100"/>
                <w:position w:val="0"/>
              </w:rPr>
              <w:t>万元；对 履行</w:t>
            </w:r>
            <w:r>
              <w:rPr>
                <w:rFonts w:ascii="Times New Roman" w:eastAsia="Times New Roman" w:hAnsi="Times New Roman" w:cs="Times New Roman"/>
                <w:color w:val="000000"/>
                <w:spacing w:val="0"/>
                <w:w w:val="100"/>
                <w:position w:val="0"/>
              </w:rPr>
              <w:t>3.64</w:t>
            </w:r>
            <w:r>
              <w:rPr>
                <w:color w:val="000000"/>
                <w:spacing w:val="0"/>
                <w:w w:val="100"/>
                <w:position w:val="0"/>
              </w:rPr>
              <w:t>万元。</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神贝公司预计关联销售</w:t>
            </w:r>
            <w:r>
              <w:rPr>
                <w:rFonts w:ascii="Times New Roman" w:eastAsia="Times New Roman" w:hAnsi="Times New Roman" w:cs="Times New Roman"/>
                <w:color w:val="000000"/>
                <w:spacing w:val="0"/>
                <w:w w:val="100"/>
                <w:position w:val="0"/>
              </w:rPr>
              <w:t>500</w:t>
            </w:r>
            <w:r>
              <w:rPr>
                <w:color w:val="000000"/>
                <w:spacing w:val="0"/>
                <w:w w:val="100"/>
                <w:position w:val="0"/>
              </w:rPr>
              <w:t>万元，实际</w:t>
            </w:r>
          </w:p>
        </w:tc>
      </w:tr>
      <w:tr>
        <w:trPr>
          <w:trHeight w:val="336"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、资产或股权收购、出售发生的关联交易</w:t>
      </w:r>
      <w:bookmarkEnd w:id="359"/>
      <w:bookmarkEnd w:id="360"/>
      <w:bookmarkEnd w:id="36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53"/>
        <w:gridCol w:w="1699"/>
        <w:gridCol w:w="1133"/>
        <w:gridCol w:w="1133"/>
        <w:gridCol w:w="797"/>
        <w:gridCol w:w="1190"/>
        <w:gridCol w:w="1133"/>
        <w:gridCol w:w="797"/>
        <w:gridCol w:w="797"/>
        <w:gridCol w:w="797"/>
        <w:gridCol w:w="1013"/>
        <w:gridCol w:w="2222"/>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关联交易类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8" w:lineRule="exact"/>
              <w:ind w:left="0" w:right="0" w:firstLine="0"/>
              <w:jc w:val="center"/>
            </w:pPr>
            <w:r>
              <w:rPr>
                <w:color w:val="000000"/>
                <w:spacing w:val="0"/>
                <w:w w:val="100"/>
                <w:position w:val="0"/>
              </w:rPr>
              <w:t>转让资产的账 面价值（万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转让资产的 评估价值</w:t>
            </w:r>
          </w:p>
          <w:p>
            <w:pPr>
              <w:pStyle w:val="Style24"/>
              <w:keepNext w:val="0"/>
              <w:keepLines w:val="0"/>
              <w:widowControl w:val="0"/>
              <w:shd w:val="clear" w:color="auto" w:fill="auto"/>
              <w:bidi w:val="0"/>
              <w:spacing w:before="0" w:after="0" w:line="240" w:lineRule="exact"/>
              <w:ind w:left="0" w:right="0" w:firstLine="20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转让价格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right"/>
            </w:pPr>
            <w:r>
              <w:rPr>
                <w:color w:val="000000"/>
                <w:spacing w:val="0"/>
                <w:w w:val="100"/>
                <w:position w:val="0"/>
              </w:rPr>
              <w:t>交易损益 （万元）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7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神州数码控股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交易完成后，郭为先 生成为公司控股股 东、实际控制人，交 易对方神码有限的最 终控制方是神州控 股，郭为先生担任神 州控股董事局主席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重大资产购 买暨关联交 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收购神州控 股下属</w:t>
            </w:r>
            <w:r>
              <w:rPr>
                <w:rFonts w:ascii="Times New Roman" w:eastAsia="Times New Roman" w:hAnsi="Times New Roman" w:cs="Times New Roman"/>
                <w:color w:val="000000"/>
                <w:spacing w:val="0"/>
                <w:w w:val="100"/>
                <w:position w:val="0"/>
              </w:rPr>
              <w:t>IT</w:t>
            </w:r>
            <w:r>
              <w:rPr>
                <w:color w:val="000000"/>
                <w:spacing w:val="0"/>
                <w:w w:val="100"/>
                <w:position w:val="0"/>
              </w:rPr>
              <w:t>分 销业务公司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以股权评 估价值为 定价依 据，并经 双方协商 一致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巨潮资讯网《重大资产购买 （构成借壳上市）暨非公开 发行股票之关联交易实施情 况报告书》</w:t>
            </w:r>
          </w:p>
        </w:tc>
      </w:tr>
      <w:tr>
        <w:trPr>
          <w:trHeight w:val="14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郭为先生为公司控股 股东、实际控制人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关联共同投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收购北京神 州云科信息 服务有限公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以股权评 估价值为 定价依 据，并经 双方协商 一致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巨潮资讯网《与关联方沟通 收购北京神州云科信息服务 有限公司暨关联交易的进展 公告》</w:t>
            </w:r>
          </w:p>
        </w:tc>
      </w:tr>
      <w:tr>
        <w:trPr>
          <w:trHeight w:val="242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中国希格玛有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0"/>
              <w:jc w:val="left"/>
            </w:pPr>
            <w:r>
              <w:rPr>
                <w:color w:val="000000"/>
                <w:spacing w:val="0"/>
                <w:w w:val="100"/>
                <w:position w:val="0"/>
              </w:rPr>
              <w:t>中国希格玛公司持有 神州数码</w:t>
            </w:r>
            <w:r>
              <w:rPr>
                <w:rFonts w:ascii="Times New Roman" w:eastAsia="Times New Roman" w:hAnsi="Times New Roman" w:cs="Times New Roman"/>
                <w:color w:val="000000"/>
                <w:spacing w:val="0"/>
                <w:w w:val="100"/>
                <w:position w:val="0"/>
              </w:rPr>
              <w:t>12.26%</w:t>
            </w:r>
            <w:r>
              <w:rPr>
                <w:color w:val="000000"/>
                <w:spacing w:val="0"/>
                <w:w w:val="100"/>
                <w:position w:val="0"/>
              </w:rPr>
              <w:t>股 份，其实际控制人为 王晓岩，王晓岩为神 州数码董事并持有公 司</w:t>
            </w:r>
            <w:r>
              <w:rPr>
                <w:rFonts w:ascii="Times New Roman" w:eastAsia="Times New Roman" w:hAnsi="Times New Roman" w:cs="Times New Roman"/>
                <w:color w:val="000000"/>
                <w:spacing w:val="0"/>
                <w:w w:val="100"/>
                <w:position w:val="0"/>
              </w:rPr>
              <w:t>9.88%</w:t>
            </w:r>
            <w:r>
              <w:rPr>
                <w:color w:val="000000"/>
                <w:spacing w:val="0"/>
                <w:w w:val="100"/>
                <w:position w:val="0"/>
              </w:rPr>
              <w:t>股份；且过 去</w:t>
            </w:r>
            <w:r>
              <w:rPr>
                <w:rFonts w:ascii="Times New Roman" w:eastAsia="Times New Roman" w:hAnsi="Times New Roman" w:cs="Times New Roman"/>
                <w:color w:val="000000"/>
                <w:spacing w:val="0"/>
                <w:w w:val="100"/>
                <w:position w:val="0"/>
              </w:rPr>
              <w:t>12</w:t>
            </w:r>
            <w:r>
              <w:rPr>
                <w:color w:val="000000"/>
                <w:spacing w:val="0"/>
                <w:w w:val="100"/>
                <w:position w:val="0"/>
              </w:rPr>
              <w:t>个月内，希格 玛公司与王晓岩曾分 别为上市公司的控股 股东和实际控制人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重大资产出 售暨关联交 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重大资产出 售之标的公 司股权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以股权评 估价值为 定价依 据，并经 双方协商 一致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巨潮资讯网《重大资产出售 暨关联交易报告书》</w:t>
            </w:r>
          </w:p>
        </w:tc>
      </w:tr>
      <w:tr>
        <w:trPr>
          <w:trHeight w:val="336"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转让价格与账面价值或评估价值差异较大的原因</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53"/>
        <w:gridCol w:w="1699"/>
        <w:gridCol w:w="1133"/>
        <w:gridCol w:w="1133"/>
        <w:gridCol w:w="797"/>
        <w:gridCol w:w="1190"/>
        <w:gridCol w:w="1133"/>
        <w:gridCol w:w="797"/>
        <w:gridCol w:w="797"/>
        <w:gridCol w:w="797"/>
        <w:gridCol w:w="1013"/>
        <w:gridCol w:w="2222"/>
      </w:tblGrid>
      <w:tr>
        <w:trPr>
          <w:trHeight w:val="8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关联交易类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8" w:lineRule="exact"/>
              <w:ind w:left="0" w:right="0" w:firstLine="0"/>
              <w:jc w:val="center"/>
            </w:pPr>
            <w:r>
              <w:rPr>
                <w:color w:val="000000"/>
                <w:spacing w:val="0"/>
                <w:w w:val="100"/>
                <w:position w:val="0"/>
              </w:rPr>
              <w:t>转让资产的账 面价值（万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转让资产的 评估价值</w:t>
            </w:r>
          </w:p>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转让价格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交易损益 （万元）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800"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通过购买神州控股下属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分销业务，实现上市公司主营业务的转型，从根本上改善公司的经营状况，提高 公司的资产质量，增强公司的持续盈利能力和长期发展潜力，提升公司价值和股东回报，以维护上市公司和股 东利益；</w:t>
            </w:r>
          </w:p>
          <w:p>
            <w:pPr>
              <w:pStyle w:val="Style24"/>
              <w:keepNext w:val="0"/>
              <w:keepLines w:val="0"/>
              <w:widowControl w:val="0"/>
              <w:shd w:val="clear" w:color="auto" w:fill="auto"/>
              <w:tabs>
                <w:tab w:pos="278" w:val="left"/>
              </w:tabs>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通过出售重大资产出售之标的公司股权，有利于整体上提高公司资产的质量以及盈利能力，有利于增强公 司的持续经营能力和核心竞争力，从根本上符合公司全体股东的利益，特别是广大中小股东的利益；</w:t>
            </w:r>
          </w:p>
          <w:p>
            <w:pPr>
              <w:pStyle w:val="Style24"/>
              <w:keepNext w:val="0"/>
              <w:keepLines w:val="0"/>
              <w:widowControl w:val="0"/>
              <w:shd w:val="clear" w:color="auto" w:fill="auto"/>
              <w:tabs>
                <w:tab w:pos="274" w:val="left"/>
              </w:tabs>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云科信息服务的资产、业务纳入上市公司平台结构，有助于上市公司拓展业务领域、完善产业链布局、整 合优势资源，对实现上市公司战略目标具有积极意义。</w:t>
            </w:r>
          </w:p>
        </w:tc>
      </w:tr>
      <w:tr>
        <w:trPr>
          <w:trHeight w:val="802"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如相关交易涉及业绩约定的，报告期内的业绩实现情况</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购买神州控股下属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分销业务，标的公司承诺实现属于母公司股东的扣除非经常性损益的税后净利润为：</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30,225.79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32,774.95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33,454.66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color w:val="000000"/>
                <w:spacing w:val="0"/>
                <w:w w:val="100"/>
                <w:position w:val="0"/>
                <w:sz w:val="17"/>
                <w:szCs w:val="17"/>
              </w:rPr>
              <w:t xml:space="preserve">34, </w:t>
            </w:r>
            <w:r>
              <w:rPr>
                <w:color w:val="000000"/>
                <w:spacing w:val="0"/>
                <w:w w:val="100"/>
                <w:position w:val="0"/>
                <w:sz w:val="17"/>
                <w:szCs w:val="17"/>
              </w:rPr>
              <w:t xml:space="preserve">149. </w:t>
            </w:r>
            <w:r>
              <w:rPr>
                <w:color w:val="000000"/>
                <w:spacing w:val="0"/>
                <w:w w:val="100"/>
                <w:position w:val="0"/>
                <w:sz w:val="17"/>
                <w:szCs w:val="17"/>
              </w:rPr>
              <w:t xml:space="preserve">36 </w:t>
            </w:r>
            <w:r>
              <w:rPr>
                <w:color w:val="000000"/>
                <w:spacing w:val="0"/>
                <w:w w:val="100"/>
                <w:position w:val="0"/>
              </w:rPr>
              <w:t>万元。实际完成 情况为：</w:t>
            </w:r>
            <w:r>
              <w:rPr>
                <w:color w:val="000000"/>
                <w:spacing w:val="0"/>
                <w:w w:val="100"/>
                <w:position w:val="0"/>
                <w:sz w:val="17"/>
                <w:szCs w:val="17"/>
              </w:rPr>
              <w:t>2015</w:t>
            </w:r>
            <w:r>
              <w:rPr>
                <w:color w:val="000000"/>
                <w:spacing w:val="0"/>
                <w:w w:val="100"/>
                <w:position w:val="0"/>
              </w:rPr>
              <w:t>年完成</w:t>
            </w:r>
            <w:r>
              <w:rPr>
                <w:rFonts w:ascii="Times New Roman" w:eastAsia="Times New Roman" w:hAnsi="Times New Roman" w:cs="Times New Roman"/>
                <w:color w:val="000000"/>
                <w:spacing w:val="0"/>
                <w:w w:val="100"/>
                <w:position w:val="0"/>
              </w:rPr>
              <w:t>31,197.46</w:t>
            </w:r>
            <w:r>
              <w:rPr>
                <w:color w:val="000000"/>
                <w:spacing w:val="0"/>
                <w:w w:val="100"/>
                <w:position w:val="0"/>
              </w:rPr>
              <w:t>万元，完成率</w:t>
            </w:r>
            <w:r>
              <w:rPr>
                <w:rFonts w:ascii="Times New Roman" w:eastAsia="Times New Roman" w:hAnsi="Times New Roman" w:cs="Times New Roman"/>
                <w:color w:val="000000"/>
                <w:spacing w:val="0"/>
                <w:w w:val="100"/>
                <w:position w:val="0"/>
              </w:rPr>
              <w:t>103%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年完成</w:t>
            </w:r>
            <w:r>
              <w:rPr>
                <w:rFonts w:ascii="Times New Roman" w:eastAsia="Times New Roman" w:hAnsi="Times New Roman" w:cs="Times New Roman"/>
                <w:color w:val="000000"/>
                <w:spacing w:val="0"/>
                <w:w w:val="100"/>
                <w:position w:val="0"/>
              </w:rPr>
              <w:t>37,350.90</w:t>
            </w:r>
            <w:r>
              <w:rPr>
                <w:color w:val="000000"/>
                <w:spacing w:val="0"/>
                <w:w w:val="100"/>
                <w:position w:val="0"/>
              </w:rPr>
              <w:t>万元，完成率</w:t>
            </w:r>
            <w:r>
              <w:rPr>
                <w:rFonts w:ascii="Times New Roman" w:eastAsia="Times New Roman" w:hAnsi="Times New Roman" w:cs="Times New Roman"/>
                <w:color w:val="000000"/>
                <w:spacing w:val="0"/>
                <w:w w:val="100"/>
                <w:position w:val="0"/>
              </w:rPr>
              <w:t>114%</w:t>
            </w:r>
            <w:r>
              <w:rPr>
                <w:color w:val="000000"/>
                <w:spacing w:val="0"/>
                <w:w w:val="100"/>
                <w:position w:val="0"/>
              </w:rPr>
              <w:t>。</w:t>
            </w:r>
          </w:p>
        </w:tc>
      </w:tr>
    </w:tbl>
    <w:p>
      <w:pPr>
        <w:widowControl w:val="0"/>
        <w:spacing w:after="279" w:line="1" w:lineRule="exact"/>
      </w:pPr>
    </w:p>
    <w:p>
      <w:pPr>
        <w:pStyle w:val="Style36"/>
        <w:keepNext/>
        <w:keepLines/>
        <w:widowControl w:val="0"/>
        <w:shd w:val="clear" w:color="auto" w:fill="auto"/>
        <w:bidi w:val="0"/>
        <w:spacing w:before="0" w:after="280" w:line="240" w:lineRule="auto"/>
        <w:ind w:left="0" w:right="0" w:firstLine="14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、共同对外投资的关联交易</w:t>
      </w:r>
      <w:bookmarkEnd w:id="363"/>
      <w:bookmarkEnd w:id="364"/>
      <w:bookmarkEnd w:id="366"/>
    </w:p>
    <w:p>
      <w:pPr>
        <w:pStyle w:val="Style30"/>
        <w:keepNext w:val="0"/>
        <w:keepLines w:val="0"/>
        <w:widowControl w:val="0"/>
        <w:shd w:val="clear" w:color="auto" w:fill="auto"/>
        <w:bidi w:val="0"/>
        <w:spacing w:before="0" w:after="0" w:line="240" w:lineRule="auto"/>
        <w:ind w:left="13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0"/>
        <w:gridCol w:w="1618"/>
        <w:gridCol w:w="1738"/>
        <w:gridCol w:w="2693"/>
        <w:gridCol w:w="1382"/>
        <w:gridCol w:w="1877"/>
        <w:gridCol w:w="1699"/>
        <w:gridCol w:w="1853"/>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被投资企业的名称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被投资企业的主营业务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被投资企业的注 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被投资企业的总资产 （万元）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被投资企业的净资产</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被投资企业的净利润 （万元）</w:t>
            </w:r>
          </w:p>
        </w:tc>
      </w:tr>
      <w:tr>
        <w:trPr>
          <w:trHeight w:val="7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公司控股股东、实 际控制人、董事长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北京神州云科信息服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云计算应用服务、互联网信息服 务、软件开发、系统集成等领域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1100</w:t>
            </w:r>
            <w:r>
              <w:rPr>
                <w:color w:val="000000"/>
                <w:spacing w:val="0"/>
                <w:w w:val="100"/>
                <w:position w:val="0"/>
              </w:rPr>
              <w:t>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-190.17.</w:t>
            </w:r>
          </w:p>
        </w:tc>
      </w:tr>
      <w:tr>
        <w:trPr>
          <w:trHeight w:val="566"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被投资企业的重大在建项目的进 展情况</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36"/>
        <w:keepNext/>
        <w:keepLines/>
        <w:widowControl w:val="0"/>
        <w:shd w:val="clear" w:color="auto" w:fill="auto"/>
        <w:bidi w:val="0"/>
        <w:spacing w:before="0" w:after="280" w:line="240" w:lineRule="auto"/>
        <w:ind w:left="0" w:right="0" w:firstLine="14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4</w:t>
      </w:r>
      <w:bookmarkEnd w:id="369"/>
      <w:r>
        <w:rPr>
          <w:color w:val="000000"/>
          <w:spacing w:val="0"/>
          <w:w w:val="100"/>
          <w:position w:val="0"/>
        </w:rPr>
        <w:t>、关联债权债务往来</w:t>
      </w:r>
      <w:bookmarkEnd w:id="367"/>
      <w:bookmarkEnd w:id="368"/>
      <w:bookmarkEnd w:id="370"/>
    </w:p>
    <w:p>
      <w:pPr>
        <w:pStyle w:val="Style32"/>
        <w:keepNext w:val="0"/>
        <w:keepLines w:val="0"/>
        <w:widowControl w:val="0"/>
        <w:shd w:val="clear" w:color="auto" w:fill="auto"/>
        <w:bidi w:val="0"/>
        <w:spacing w:before="0" w:after="0" w:line="264" w:lineRule="exact"/>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64" w:lineRule="exact"/>
        <w:ind w:left="140" w:right="0" w:firstLine="0"/>
        <w:jc w:val="left"/>
      </w:pPr>
      <w:r>
        <w:rPr>
          <w:color w:val="000000"/>
          <w:spacing w:val="0"/>
          <w:w w:val="100"/>
          <w:position w:val="0"/>
        </w:rPr>
        <w:t xml:space="preserve">是否存在非经营性关联债权债务往来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2"/>
        <w:keepNext w:val="0"/>
        <w:keepLines w:val="0"/>
        <w:widowControl w:val="0"/>
        <w:shd w:val="clear" w:color="auto" w:fill="auto"/>
        <w:bidi w:val="0"/>
        <w:spacing w:before="0" w:after="280" w:line="264" w:lineRule="exact"/>
        <w:ind w:left="0" w:right="0" w:firstLine="140"/>
        <w:jc w:val="left"/>
        <w:sectPr>
          <w:headerReference w:type="default" r:id="rId15"/>
          <w:footerReference w:type="default" r:id="rId16"/>
          <w:footnotePr>
            <w:pos w:val="pageBottom"/>
            <w:numFmt w:val="decimal"/>
            <w:numRestart w:val="continuous"/>
          </w:footnotePr>
          <w:pgSz w:w="16840" w:h="11900" w:orient="landscape"/>
          <w:pgMar w:top="1102" w:right="1407" w:bottom="1213" w:left="1297" w:header="0" w:footer="3" w:gutter="0"/>
          <w:cols w:space="720"/>
          <w:noEndnote/>
          <w:rtlGutter w:val="0"/>
          <w:docGrid w:linePitch="360"/>
        </w:sectPr>
      </w:pPr>
      <w:r>
        <w:rPr>
          <w:color w:val="000000"/>
          <w:spacing w:val="0"/>
          <w:w w:val="100"/>
          <w:position w:val="0"/>
        </w:rPr>
        <w:t>应收关联方债权</w:t>
      </w:r>
    </w:p>
    <w:p>
      <w:pPr>
        <w:widowControl w:val="0"/>
        <w:spacing w:after="419" w:line="1" w:lineRule="exact"/>
      </w:pPr>
    </w:p>
    <w:tbl>
      <w:tblPr>
        <w:tblOverlap w:val="never"/>
        <w:jc w:val="center"/>
        <w:tblLayout w:type="fixed"/>
      </w:tblPr>
      <w:tblGrid>
        <w:gridCol w:w="936"/>
        <w:gridCol w:w="946"/>
        <w:gridCol w:w="955"/>
        <w:gridCol w:w="960"/>
        <w:gridCol w:w="955"/>
        <w:gridCol w:w="960"/>
        <w:gridCol w:w="955"/>
        <w:gridCol w:w="955"/>
        <w:gridCol w:w="960"/>
        <w:gridCol w:w="998"/>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righ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本期利息 （万元）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北京神州 数码索贝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流动资金周 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北京神州 数码置业 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北京神州 数码置业 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13,675.00</w:t>
            </w:r>
          </w:p>
        </w:tc>
      </w:tr>
      <w:tr>
        <w:trPr>
          <w:trHeight w:val="566"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公司对北京神州数码索贝科技有限公司及北京神州数码置业发展有限公司提供的借款对公司经营 成果及财务状况影响较小。</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5</w:t>
      </w:r>
      <w:bookmarkEnd w:id="373"/>
      <w:r>
        <w:rPr>
          <w:color w:val="000000"/>
          <w:spacing w:val="0"/>
          <w:w w:val="100"/>
          <w:position w:val="0"/>
        </w:rPr>
        <w:t>、其他重大关联交易</w:t>
      </w:r>
      <w:bookmarkEnd w:id="371"/>
      <w:bookmarkEnd w:id="372"/>
      <w:bookmarkEnd w:id="374"/>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公司报告期无其他重大关联交易。</w:t>
      </w:r>
    </w:p>
    <w:p>
      <w:pPr>
        <w:pStyle w:val="Style28"/>
        <w:keepNext/>
        <w:keepLines/>
        <w:widowControl w:val="0"/>
        <w:shd w:val="clear" w:color="auto" w:fill="auto"/>
        <w:bidi w:val="0"/>
        <w:spacing w:before="0" w:after="320" w:line="240" w:lineRule="auto"/>
        <w:ind w:left="0" w:right="0" w:firstLine="0"/>
        <w:jc w:val="both"/>
      </w:pPr>
      <w:bookmarkStart w:id="375" w:name="bookmark375"/>
      <w:bookmarkStart w:id="376" w:name="bookmark376"/>
      <w:bookmarkStart w:id="377" w:name="bookmark377"/>
      <w:r>
        <w:rPr>
          <w:color w:val="000000"/>
          <w:spacing w:val="0"/>
          <w:w w:val="100"/>
          <w:position w:val="0"/>
        </w:rPr>
        <w:t>十七、重大合同及其履行情况</w:t>
      </w:r>
      <w:bookmarkEnd w:id="375"/>
      <w:bookmarkEnd w:id="376"/>
      <w:bookmarkEnd w:id="377"/>
    </w:p>
    <w:p>
      <w:pPr>
        <w:pStyle w:val="Style36"/>
        <w:keepNext/>
        <w:keepLines/>
        <w:widowControl w:val="0"/>
        <w:shd w:val="clear" w:color="auto" w:fill="auto"/>
        <w:tabs>
          <w:tab w:pos="368" w:val="left"/>
        </w:tabs>
        <w:bidi w:val="0"/>
        <w:spacing w:before="0" w:after="32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托管、承包、租赁事项情况</w:t>
      </w:r>
      <w:bookmarkEnd w:id="378"/>
      <w:bookmarkEnd w:id="379"/>
      <w:bookmarkEnd w:id="381"/>
    </w:p>
    <w:p>
      <w:pPr>
        <w:pStyle w:val="Style36"/>
        <w:keepNext/>
        <w:keepLines/>
        <w:widowControl w:val="0"/>
        <w:shd w:val="clear" w:color="auto" w:fill="auto"/>
        <w:tabs>
          <w:tab w:pos="493" w:val="left"/>
        </w:tabs>
        <w:bidi w:val="0"/>
        <w:spacing w:before="0" w:after="320" w:line="240" w:lineRule="auto"/>
        <w:ind w:left="0" w:right="0" w:firstLine="0"/>
        <w:jc w:val="both"/>
      </w:pPr>
      <w:bookmarkStart w:id="378" w:name="bookmark378"/>
      <w:bookmarkStart w:id="379" w:name="bookmark379"/>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8"/>
      <w:bookmarkEnd w:id="379"/>
      <w:bookmarkEnd w:id="383"/>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after="320" w:line="240" w:lineRule="auto"/>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4"/>
      <w:bookmarkEnd w:id="385"/>
      <w:bookmarkEnd w:id="387"/>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after="32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8"/>
      <w:bookmarkEnd w:id="389"/>
      <w:bookmarkEnd w:id="391"/>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20" w:line="240" w:lineRule="auto"/>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w:t>
        <w:tab/>
        <w:t>重大担保</w:t>
      </w:r>
      <w:bookmarkEnd w:id="392"/>
      <w:bookmarkEnd w:id="393"/>
      <w:bookmarkEnd w:id="395"/>
    </w:p>
    <w:p>
      <w:pPr>
        <w:pStyle w:val="Style32"/>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6"/>
      <w:bookmarkEnd w:id="397"/>
      <w:bookmarkEnd w:id="399"/>
    </w:p>
    <w:p>
      <w:pPr>
        <w:pStyle w:val="Style3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14"/>
        <w:gridCol w:w="922"/>
        <w:gridCol w:w="926"/>
        <w:gridCol w:w="1296"/>
        <w:gridCol w:w="1066"/>
        <w:gridCol w:w="1032"/>
        <w:gridCol w:w="1046"/>
        <w:gridCol w:w="797"/>
        <w:gridCol w:w="787"/>
      </w:tblGrid>
      <w:tr>
        <w:trPr>
          <w:trHeight w:val="326"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是否为关 联方担保</w:t>
            </w:r>
          </w:p>
        </w:tc>
      </w:tr>
      <w:tr>
        <w:trPr>
          <w:trHeight w:val="322"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是否为关 联方担保</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神码供应链、神码北 京、神码中国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8,590.67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97,675.61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所有保证义 务最晚的履 行期届满之 日起两年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神码香港、神码科技 发展、神码中国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无明确到期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无明确到期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无明确到期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无明确到期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1,026.93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无明确到期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神码中国、神码科技 发展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2,738.83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1032"/>
        <w:gridCol w:w="1046"/>
        <w:gridCol w:w="797"/>
        <w:gridCol w:w="787"/>
      </w:tblGrid>
      <w:tr>
        <w:trPr>
          <w:trHeight w:val="7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自主协议约 定的相应债 务履行期限 届满之日起 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8,515.88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numPr>
                <w:ilvl w:val="0"/>
                <w:numId w:val="9"/>
              </w:numPr>
              <w:shd w:val="clear" w:color="auto" w:fill="auto"/>
              <w:tabs>
                <w:tab w:pos="418" w:val="left"/>
              </w:tabs>
              <w:bidi w:val="0"/>
              <w:spacing w:before="0" w:after="0" w:line="235"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p>
          <w:p>
            <w:pPr>
              <w:pStyle w:val="Style24"/>
              <w:keepNext w:val="0"/>
              <w:keepLines w:val="0"/>
              <w:widowControl w:val="0"/>
              <w:numPr>
                <w:ilvl w:val="0"/>
                <w:numId w:val="9"/>
              </w:numPr>
              <w:shd w:val="clear" w:color="auto" w:fill="auto"/>
              <w:tabs>
                <w:tab w:pos="418" w:val="left"/>
              </w:tabs>
              <w:bidi w:val="0"/>
              <w:spacing w:before="0" w:after="0" w:line="235"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神码科技发展、神码 澳门、系统信息香 港、神码香港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2,912.93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5,288.87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神码科技发展、神码 澳门、神码网络香 港、神码香港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14,985.52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神码科技发展、神码 澳门、神码网络香港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25,045.16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11,521.27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神码科技发展、神码 澳门、神码网络香港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39,196.63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神码科技发展、神码 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4,913.63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34,884.33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17,556.52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13,346.5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4"/>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42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自债务发生 期届满日起 至债务发生 期内被担保 债务所对应 的最后一笔 债务</w:t>
            </w:r>
            <w:r>
              <w:rPr>
                <w:rFonts w:ascii="Times New Roman" w:eastAsia="Times New Roman" w:hAnsi="Times New Roman" w:cs="Times New Roman"/>
                <w:color w:val="000000"/>
                <w:spacing w:val="0"/>
                <w:w w:val="100"/>
                <w:position w:val="0"/>
              </w:rPr>
              <w:t>/</w:t>
            </w:r>
            <w:r>
              <w:rPr>
                <w:color w:val="000000"/>
                <w:spacing w:val="0"/>
                <w:w w:val="100"/>
                <w:position w:val="0"/>
              </w:rPr>
              <w:t>融资的 履行期限届 满日之后两 年止。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1032"/>
        <w:gridCol w:w="1046"/>
        <w:gridCol w:w="797"/>
        <w:gridCol w:w="787"/>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rPr>
              <w:t>-2016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42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神码中国、神码广 州、神码上海、神码 北京、神码供应链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62,055.02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自保证书签 署之日起至 银行收到保 证人、保证 人的清算人 或接管人终 止本保证书 的书面通知 后一个日历 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7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自担保书生 效之日起至</w:t>
            </w:r>
          </w:p>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《授信协 议》项下每 笔融资的到 期日另加两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17,583.5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p>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神码科技发展、神码 澳门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26,338.34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日至</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4"/>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神码科技发展、神码 澳门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33,550.11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日至</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4"/>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6,976.87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日至</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神码科技发展、神码 澳门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numPr>
                <w:ilvl w:val="0"/>
                <w:numId w:val="11"/>
              </w:numPr>
              <w:shd w:val="clear" w:color="auto" w:fill="auto"/>
              <w:tabs>
                <w:tab w:pos="418" w:val="left"/>
              </w:tabs>
              <w:bidi w:val="0"/>
              <w:spacing w:before="0" w:after="0" w:line="233"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至</w:t>
            </w:r>
          </w:p>
          <w:p>
            <w:pPr>
              <w:pStyle w:val="Style24"/>
              <w:keepNext w:val="0"/>
              <w:keepLines w:val="0"/>
              <w:widowControl w:val="0"/>
              <w:numPr>
                <w:ilvl w:val="0"/>
                <w:numId w:val="11"/>
              </w:numPr>
              <w:shd w:val="clear" w:color="auto" w:fill="auto"/>
              <w:tabs>
                <w:tab w:pos="418" w:val="left"/>
              </w:tabs>
              <w:bidi w:val="0"/>
              <w:spacing w:before="0" w:after="0" w:line="233"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7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神码上海、神码广州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自担保书生 效之日起至</w:t>
            </w:r>
          </w:p>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《授信协 议》项下每 笔融资的到 期日另加两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主合同项下 债务的履行 期限届满日 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主合同项下 债务履行期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4"/>
        <w:gridCol w:w="917"/>
        <w:gridCol w:w="922"/>
        <w:gridCol w:w="1306"/>
        <w:gridCol w:w="1051"/>
        <w:gridCol w:w="1046"/>
        <w:gridCol w:w="1046"/>
        <w:gridCol w:w="792"/>
        <w:gridCol w:w="792"/>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届满之日起 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主合同项下 债务履行期 届满之日起 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31,582.79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主合同项下 债务履行期 限届满之日 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自主合同债 务人履行债 务期限届满 之日起两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16"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1,502,246.36</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601,015.02</w:t>
            </w:r>
          </w:p>
        </w:tc>
      </w:tr>
      <w:tr>
        <w:trPr>
          <w:trHeight w:val="55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1,502,246.36</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601,015.02</w:t>
            </w:r>
          </w:p>
        </w:tc>
      </w:tr>
      <w:tr>
        <w:trPr>
          <w:trHeight w:val="322"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是否为关 联方担保</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45,169.34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日至</w:t>
            </w:r>
          </w:p>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41,145.62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21,739.16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p>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4"/>
        <w:gridCol w:w="917"/>
        <w:gridCol w:w="917"/>
        <w:gridCol w:w="1310"/>
        <w:gridCol w:w="1046"/>
        <w:gridCol w:w="1051"/>
        <w:gridCol w:w="1046"/>
        <w:gridCol w:w="787"/>
        <w:gridCol w:w="797"/>
      </w:tblGrid>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46,512.44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24,698.87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4"/>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9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自每笔债权 合同债务履 行期届满之 日起至该债 权合同约定 的债务履行 期届满之日 后两年止。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自每笔债权 合同债务履 行期届满之 日起至该债 权合同约定 的债务履行 期届满之日 后两年止。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29,954.48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从签署日起 至主合同项 下的借款期 限届满之次 日起两年。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35,150.85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从签署日起 至主合同项 下的借款期 限届满之次 日起两年。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4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29,885.73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1" w:lineRule="exact"/>
              <w:ind w:left="0" w:right="0" w:firstLine="0"/>
              <w:jc w:val="both"/>
            </w:pPr>
            <w:r>
              <w:rPr>
                <w:color w:val="000000"/>
                <w:spacing w:val="0"/>
                <w:w w:val="100"/>
                <w:position w:val="0"/>
              </w:rPr>
              <w:t>从签署日起 至主合同项 下被保证人 债务履行期 届满之后两 年止。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从签署日起 至被保证人 债务履行期 届满之后两 年止。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从签署日起 至被保证人 债务履行期 届满之后两 年止。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从签署日起 至被保证人 债务履行期 届满之后两 年止。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4"/>
        <w:gridCol w:w="917"/>
        <w:gridCol w:w="917"/>
        <w:gridCol w:w="1310"/>
        <w:gridCol w:w="1046"/>
        <w:gridCol w:w="1051"/>
        <w:gridCol w:w="1046"/>
        <w:gridCol w:w="787"/>
        <w:gridCol w:w="797"/>
      </w:tblGrid>
      <w:tr>
        <w:trPr>
          <w:trHeight w:val="7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7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自担保书生 效之日起至</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《授信协 议》项下每 笔融资的到 期日另加两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7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自担保书生 效之日起至</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《授信协 议》项下每 笔融资的到 期日另加两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77,688.69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主合同项下 被担保债务 的履行期届 满之后两年 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主合同项下 被担保债务 的履行期届 满之后两年 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主合同项下 被担保债务 的履行期届 满之后两年 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神码科技发展、神码 澳门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日至</w:t>
            </w:r>
          </w:p>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p>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p>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主合同项下 债务履行期 届满之日起 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主合同项下 债务履行期 届满之日起 两年。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4"/>
        <w:gridCol w:w="922"/>
        <w:gridCol w:w="912"/>
        <w:gridCol w:w="1310"/>
        <w:gridCol w:w="1046"/>
        <w:gridCol w:w="1051"/>
        <w:gridCol w:w="1046"/>
        <w:gridCol w:w="787"/>
        <w:gridCol w:w="797"/>
      </w:tblGrid>
      <w:tr>
        <w:trPr>
          <w:trHeight w:val="21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71,177.79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自《授信合 作协议》生 效之日至该 协议及其修 订或补充所 规定的授信 额度使用期 限届满之日 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自主合同债 务人履行债 务期限届满 之日起两年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p>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16"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1,133,389.31</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524,852.07</w:t>
            </w:r>
          </w:p>
        </w:tc>
      </w:tr>
      <w:tr>
        <w:trPr>
          <w:trHeight w:val="55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1,133,389.31</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524,852.07</w:t>
            </w:r>
          </w:p>
        </w:tc>
      </w:tr>
      <w:tr>
        <w:trPr>
          <w:trHeight w:val="322"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55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2,635,635.67</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报告期内担保实际发生额 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1,125,867.09</w:t>
            </w:r>
          </w:p>
        </w:tc>
      </w:tr>
      <w:tr>
        <w:trPr>
          <w:trHeight w:val="55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报告期末已审批的担保额度合计 </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2,635,635.67</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left"/>
            </w:pPr>
            <w:r>
              <w:rPr>
                <w:color w:val="000000"/>
                <w:spacing w:val="0"/>
                <w:w w:val="100"/>
                <w:position w:val="0"/>
              </w:rPr>
              <w:t>报告期末实际担保余额合 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1,125,867.09</w:t>
            </w:r>
          </w:p>
        </w:tc>
      </w:tr>
      <w:tr>
        <w:trPr>
          <w:trHeight w:val="326"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425.15%</w:t>
            </w:r>
          </w:p>
        </w:tc>
      </w:tr>
      <w:tr>
        <w:trPr>
          <w:trHeight w:val="322"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557"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1,125,867.09</w:t>
            </w:r>
          </w:p>
        </w:tc>
      </w:tr>
      <w:tr>
        <w:trPr>
          <w:trHeight w:val="326"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993,458.92</w:t>
            </w:r>
          </w:p>
        </w:tc>
      </w:tr>
      <w:tr>
        <w:trPr>
          <w:trHeight w:val="3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1,125,867.09</w:t>
            </w:r>
          </w:p>
        </w:tc>
      </w:tr>
      <w:tr>
        <w:trPr>
          <w:trHeight w:val="557"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对未到期担保，报告期内已发生担保责任或可能承担连带清 偿责任的情况说明（如有）</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6"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226" w:lineRule="exact"/>
        <w:ind w:left="0" w:right="0" w:firstLine="0"/>
        <w:jc w:val="left"/>
      </w:pPr>
      <w:r>
        <w:rPr>
          <w:color w:val="000000"/>
          <w:spacing w:val="0"/>
          <w:w w:val="100"/>
          <w:position w:val="0"/>
        </w:rPr>
        <w:t>采用复合方式担保的具体情况说明</w:t>
      </w:r>
    </w:p>
    <w:p>
      <w:pPr>
        <w:pStyle w:val="Style32"/>
        <w:keepNext w:val="0"/>
        <w:keepLines w:val="0"/>
        <w:widowControl w:val="0"/>
        <w:shd w:val="clear" w:color="auto" w:fill="auto"/>
        <w:bidi w:val="0"/>
        <w:spacing w:before="0" w:after="60" w:line="226" w:lineRule="exact"/>
        <w:ind w:left="0" w:right="0" w:firstLine="0"/>
        <w:jc w:val="left"/>
      </w:pPr>
      <w:r>
        <w:rPr>
          <w:color w:val="000000"/>
          <w:spacing w:val="0"/>
          <w:w w:val="100"/>
          <w:position w:val="0"/>
        </w:rPr>
        <w:t>截止报告期末，公司存在三笔共同担保的情形，其在公司与子公司担保、子公司与子公司担保中均有列出，分别是:</w:t>
      </w:r>
    </w:p>
    <w:p>
      <w:pPr>
        <w:pStyle w:val="Style32"/>
        <w:keepNext w:val="0"/>
        <w:keepLines w:val="0"/>
        <w:widowControl w:val="0"/>
        <w:shd w:val="clear" w:color="auto" w:fill="auto"/>
        <w:tabs>
          <w:tab w:pos="334" w:val="left"/>
        </w:tabs>
        <w:bidi w:val="0"/>
        <w:spacing w:before="0" w:after="0" w:line="262" w:lineRule="auto"/>
        <w:ind w:left="0" w:right="0" w:firstLine="0"/>
        <w:jc w:val="left"/>
      </w:pPr>
      <w:bookmarkStart w:id="400" w:name="bookmark400"/>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本公司及神码中国共同为神码科技发展、神码澳门提供担保</w:t>
      </w:r>
      <w:r>
        <w:rPr>
          <w:rFonts w:ascii="Times New Roman" w:eastAsia="Times New Roman" w:hAnsi="Times New Roman" w:cs="Times New Roman"/>
          <w:color w:val="000000"/>
          <w:spacing w:val="0"/>
          <w:w w:val="100"/>
          <w:position w:val="0"/>
        </w:rPr>
        <w:t>34750</w:t>
      </w:r>
      <w:r>
        <w:rPr>
          <w:color w:val="000000"/>
          <w:spacing w:val="0"/>
          <w:w w:val="100"/>
          <w:position w:val="0"/>
        </w:rPr>
        <w:t>万元；</w:t>
      </w:r>
    </w:p>
    <w:p>
      <w:pPr>
        <w:pStyle w:val="Style32"/>
        <w:keepNext w:val="0"/>
        <w:keepLines w:val="0"/>
        <w:widowControl w:val="0"/>
        <w:shd w:val="clear" w:color="auto" w:fill="auto"/>
        <w:tabs>
          <w:tab w:pos="354" w:val="left"/>
        </w:tabs>
        <w:bidi w:val="0"/>
        <w:spacing w:before="0" w:after="0" w:line="262" w:lineRule="auto"/>
        <w:ind w:left="0" w:right="0" w:firstLine="0"/>
        <w:jc w:val="left"/>
      </w:pPr>
      <w:bookmarkStart w:id="401" w:name="bookmark401"/>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125100</w:t>
      </w:r>
      <w:r>
        <w:rPr>
          <w:color w:val="000000"/>
          <w:spacing w:val="0"/>
          <w:w w:val="100"/>
          <w:position w:val="0"/>
        </w:rPr>
        <w:t>万元；</w:t>
      </w:r>
    </w:p>
    <w:p>
      <w:pPr>
        <w:pStyle w:val="Style32"/>
        <w:keepNext w:val="0"/>
        <w:keepLines w:val="0"/>
        <w:widowControl w:val="0"/>
        <w:shd w:val="clear" w:color="auto" w:fill="auto"/>
        <w:tabs>
          <w:tab w:pos="354" w:val="left"/>
        </w:tabs>
        <w:bidi w:val="0"/>
        <w:spacing w:before="0" w:after="0" w:line="262" w:lineRule="auto"/>
        <w:ind w:left="0" w:right="0" w:firstLine="0"/>
        <w:jc w:val="left"/>
      </w:pPr>
      <w:bookmarkStart w:id="402" w:name="bookmark402"/>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本公司及神码中国共同为神码深圳提供担保</w:t>
      </w:r>
      <w:r>
        <w:rPr>
          <w:rFonts w:ascii="Times New Roman" w:eastAsia="Times New Roman" w:hAnsi="Times New Roman" w:cs="Times New Roman"/>
          <w:color w:val="000000"/>
          <w:spacing w:val="0"/>
          <w:w w:val="100"/>
          <w:position w:val="0"/>
        </w:rPr>
        <w:t>9000</w:t>
      </w:r>
      <w:r>
        <w:rPr>
          <w:color w:val="000000"/>
          <w:spacing w:val="0"/>
          <w:w w:val="100"/>
          <w:position w:val="0"/>
        </w:rPr>
        <w:t>万元。</w:t>
      </w:r>
    </w:p>
    <w:p>
      <w:pPr>
        <w:pStyle w:val="Style32"/>
        <w:keepNext w:val="0"/>
        <w:keepLines w:val="0"/>
        <w:widowControl w:val="0"/>
        <w:shd w:val="clear" w:color="auto" w:fill="auto"/>
        <w:bidi w:val="0"/>
        <w:spacing w:before="0" w:after="320" w:line="226" w:lineRule="exact"/>
        <w:ind w:left="0" w:right="0" w:firstLine="0"/>
        <w:jc w:val="left"/>
      </w:pPr>
      <w:r>
        <w:rPr>
          <w:color w:val="000000"/>
          <w:spacing w:val="0"/>
          <w:w w:val="100"/>
          <w:position w:val="0"/>
        </w:rPr>
        <w:t>由此实际情况计算得出的公司报告期末已审批的担保额度合计为</w:t>
      </w:r>
      <w:r>
        <w:rPr>
          <w:rFonts w:ascii="Times New Roman" w:eastAsia="Times New Roman" w:hAnsi="Times New Roman" w:cs="Times New Roman"/>
          <w:color w:val="000000"/>
          <w:spacing w:val="0"/>
          <w:w w:val="100"/>
          <w:position w:val="0"/>
        </w:rPr>
        <w:t>2,466,785.67</w:t>
      </w:r>
      <w:r>
        <w:rPr>
          <w:color w:val="000000"/>
          <w:spacing w:val="0"/>
          <w:w w:val="100"/>
          <w:position w:val="0"/>
        </w:rPr>
        <w:t xml:space="preserve">万元，报告期末实际担保余额合计为 </w:t>
      </w:r>
      <w:r>
        <w:rPr>
          <w:rFonts w:ascii="Times New Roman" w:eastAsia="Times New Roman" w:hAnsi="Times New Roman" w:cs="Times New Roman"/>
          <w:color w:val="000000"/>
          <w:spacing w:val="0"/>
          <w:w w:val="100"/>
          <w:position w:val="0"/>
        </w:rPr>
        <w:t>1015866.98</w:t>
      </w:r>
      <w:r>
        <w:rPr>
          <w:color w:val="000000"/>
          <w:spacing w:val="0"/>
          <w:w w:val="100"/>
          <w:position w:val="0"/>
        </w:rPr>
        <w:t>万元。由于没有超出公司预计额度使用范畴，公司认可按照年报编制规则进行披露。</w:t>
      </w:r>
    </w:p>
    <w:p>
      <w:pPr>
        <w:pStyle w:val="Style36"/>
        <w:keepNext/>
        <w:keepLines/>
        <w:widowControl w:val="0"/>
        <w:shd w:val="clear" w:color="auto" w:fill="auto"/>
        <w:bidi w:val="0"/>
        <w:spacing w:before="0" w:after="32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3"/>
      <w:bookmarkEnd w:id="404"/>
      <w:bookmarkEnd w:id="406"/>
    </w:p>
    <w:p>
      <w:pPr>
        <w:pStyle w:val="Style32"/>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226" w:lineRule="exact"/>
        <w:ind w:left="0" w:right="0" w:firstLine="0"/>
        <w:jc w:val="left"/>
      </w:pPr>
      <w:r>
        <w:rPr>
          <w:color w:val="000000"/>
          <w:spacing w:val="0"/>
          <w:w w:val="100"/>
          <w:position w:val="0"/>
        </w:rPr>
        <w:t>公司报告期无违规对外担保情况。</w:t>
      </w:r>
      <w:r>
        <w:br w:type="page"/>
      </w:r>
    </w:p>
    <w:p>
      <w:pPr>
        <w:pStyle w:val="Style36"/>
        <w:keepNext/>
        <w:keepLines/>
        <w:widowControl w:val="0"/>
        <w:shd w:val="clear" w:color="auto" w:fill="auto"/>
        <w:bidi w:val="0"/>
        <w:spacing w:before="0" w:after="34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3</w:t>
      </w:r>
      <w:bookmarkEnd w:id="409"/>
      <w:r>
        <w:rPr>
          <w:color w:val="000000"/>
          <w:spacing w:val="0"/>
          <w:w w:val="100"/>
          <w:position w:val="0"/>
        </w:rPr>
        <w:t>、委托他人进行现金资产管理情况</w:t>
      </w:r>
      <w:bookmarkEnd w:id="407"/>
      <w:bookmarkEnd w:id="408"/>
      <w:bookmarkEnd w:id="410"/>
    </w:p>
    <w:p>
      <w:pPr>
        <w:pStyle w:val="Style36"/>
        <w:keepNext/>
        <w:keepLines/>
        <w:widowControl w:val="0"/>
        <w:numPr>
          <w:ilvl w:val="0"/>
          <w:numId w:val="13"/>
        </w:numPr>
        <w:shd w:val="clear" w:color="auto" w:fill="auto"/>
        <w:bidi w:val="0"/>
        <w:spacing w:before="0" w:after="280" w:line="240" w:lineRule="auto"/>
        <w:ind w:left="0" w:right="0" w:firstLine="0"/>
        <w:jc w:val="left"/>
      </w:pPr>
      <w:bookmarkStart w:id="407" w:name="bookmark407"/>
      <w:bookmarkStart w:id="408" w:name="bookmark408"/>
      <w:bookmarkStart w:id="411" w:name="bookmark411"/>
      <w:bookmarkStart w:id="412" w:name="bookmark412"/>
      <w:bookmarkEnd w:id="411"/>
      <w:r>
        <w:rPr>
          <w:color w:val="000000"/>
          <w:spacing w:val="0"/>
          <w:w w:val="100"/>
          <w:position w:val="0"/>
        </w:rPr>
        <w:t>委托理财情况</w:t>
      </w:r>
      <w:bookmarkEnd w:id="407"/>
      <w:bookmarkEnd w:id="408"/>
      <w:bookmarkEnd w:id="41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835"/>
        <w:gridCol w:w="835"/>
        <w:gridCol w:w="878"/>
        <w:gridCol w:w="802"/>
        <w:gridCol w:w="806"/>
        <w:gridCol w:w="802"/>
        <w:gridCol w:w="802"/>
        <w:gridCol w:w="806"/>
        <w:gridCol w:w="802"/>
        <w:gridCol w:w="802"/>
        <w:gridCol w:w="61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300" w:right="0" w:hanging="300"/>
              <w:jc w:val="both"/>
            </w:pPr>
            <w:r>
              <w:rPr>
                <w:color w:val="000000"/>
                <w:spacing w:val="0"/>
                <w:w w:val="100"/>
                <w:position w:val="0"/>
              </w:rPr>
              <w:t>受托人名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220" w:right="0" w:hanging="220"/>
              <w:jc w:val="both"/>
            </w:pPr>
            <w:r>
              <w:rPr>
                <w:color w:val="000000"/>
                <w:spacing w:val="0"/>
                <w:w w:val="100"/>
                <w:position w:val="0"/>
              </w:rPr>
              <w:t>报酬确定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计提减值 准备金额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报告期 损益实 际收回 情况</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中诚信托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按会计年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度确认利</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11.62</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51.45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中航信托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180.82</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190.52</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上海长江 财富资产 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非保本浮 动收益型 信托产品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94.13</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9.88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到期收回</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28.75</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11"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02"/>
        <w:gridCol w:w="835"/>
        <w:gridCol w:w="835"/>
        <w:gridCol w:w="878"/>
        <w:gridCol w:w="802"/>
        <w:gridCol w:w="806"/>
        <w:gridCol w:w="802"/>
        <w:gridCol w:w="802"/>
        <w:gridCol w:w="806"/>
        <w:gridCol w:w="802"/>
        <w:gridCol w:w="802"/>
        <w:gridCol w:w="61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300" w:right="0" w:hanging="300"/>
              <w:jc w:val="both"/>
            </w:pPr>
            <w:r>
              <w:rPr>
                <w:color w:val="000000"/>
                <w:spacing w:val="0"/>
                <w:w w:val="100"/>
                <w:position w:val="0"/>
              </w:rPr>
              <w:t>受托人名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220" w:right="0" w:hanging="220"/>
              <w:jc w:val="both"/>
            </w:pPr>
            <w:r>
              <w:rPr>
                <w:color w:val="000000"/>
                <w:spacing w:val="0"/>
                <w:w w:val="100"/>
                <w:position w:val="0"/>
              </w:rPr>
              <w:t>报酬确定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计提减值 准备金额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报告期 损益实 际收回 情况</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16.11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15.53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7.63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12.89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12.43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6.86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9.04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11.28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23.18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16.92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16.51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20.14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19.66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15.17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32.24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15.89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16.45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到期收回</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17.2</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16"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02"/>
        <w:gridCol w:w="835"/>
        <w:gridCol w:w="835"/>
        <w:gridCol w:w="878"/>
        <w:gridCol w:w="802"/>
        <w:gridCol w:w="806"/>
        <w:gridCol w:w="802"/>
        <w:gridCol w:w="802"/>
        <w:gridCol w:w="806"/>
        <w:gridCol w:w="802"/>
        <w:gridCol w:w="802"/>
        <w:gridCol w:w="61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300" w:right="0" w:hanging="300"/>
              <w:jc w:val="both"/>
            </w:pPr>
            <w:r>
              <w:rPr>
                <w:color w:val="000000"/>
                <w:spacing w:val="0"/>
                <w:w w:val="100"/>
                <w:position w:val="0"/>
              </w:rPr>
              <w:t>受托人名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220" w:right="0" w:hanging="220"/>
              <w:jc w:val="both"/>
            </w:pPr>
            <w:r>
              <w:rPr>
                <w:color w:val="000000"/>
                <w:spacing w:val="0"/>
                <w:w w:val="100"/>
                <w:position w:val="0"/>
              </w:rPr>
              <w:t>报酬确定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计提减值 准备金额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报告期 损益实 际收回 情况</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14.44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到期收回 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博时基金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到期收回</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4.65</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16"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802"/>
        <w:gridCol w:w="835"/>
        <w:gridCol w:w="835"/>
        <w:gridCol w:w="878"/>
        <w:gridCol w:w="802"/>
        <w:gridCol w:w="806"/>
        <w:gridCol w:w="802"/>
        <w:gridCol w:w="802"/>
        <w:gridCol w:w="806"/>
        <w:gridCol w:w="802"/>
        <w:gridCol w:w="802"/>
        <w:gridCol w:w="61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计提减值 准备金额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报告期 损益实 际收回 情况</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博时基金 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到期收回 本息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博时基金 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到期收回 本息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r>
      <w:tr>
        <w:trPr>
          <w:trHeight w:val="326"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413,000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1,129.72</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自有闲置资金</w:t>
            </w:r>
          </w:p>
        </w:tc>
      </w:tr>
      <w:tr>
        <w:trPr>
          <w:trHeight w:val="55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6"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委托理财审批董事会公告披露 日期</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55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委托理财审批股东会公告披露 日期</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331"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both"/>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3"/>
      <w:bookmarkEnd w:id="414"/>
      <w:bookmarkEnd w:id="416"/>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公司报告期不存在委托贷款。</w:t>
      </w:r>
    </w:p>
    <w:p>
      <w:pPr>
        <w:pStyle w:val="Style36"/>
        <w:keepNext/>
        <w:keepLines/>
        <w:widowControl w:val="0"/>
        <w:shd w:val="clear" w:color="auto" w:fill="auto"/>
        <w:bidi w:val="0"/>
        <w:spacing w:before="0" w:after="320" w:line="240" w:lineRule="auto"/>
        <w:ind w:left="0" w:right="0" w:firstLine="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4</w:t>
      </w:r>
      <w:bookmarkEnd w:id="419"/>
      <w:r>
        <w:rPr>
          <w:color w:val="000000"/>
          <w:spacing w:val="0"/>
          <w:w w:val="100"/>
          <w:position w:val="0"/>
        </w:rPr>
        <w:t>、其他重大合同</w:t>
      </w:r>
      <w:bookmarkEnd w:id="417"/>
      <w:bookmarkEnd w:id="418"/>
      <w:bookmarkEnd w:id="420"/>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2"/>
        <w:keepNext w:val="0"/>
        <w:keepLines w:val="0"/>
        <w:widowControl w:val="0"/>
        <w:shd w:val="clear" w:color="auto" w:fill="auto"/>
        <w:bidi w:val="0"/>
        <w:spacing w:before="0" w:after="580" w:line="240" w:lineRule="auto"/>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320" w:line="240" w:lineRule="auto"/>
        <w:ind w:left="0" w:right="0" w:firstLine="0"/>
        <w:jc w:val="both"/>
      </w:pPr>
      <w:bookmarkStart w:id="421" w:name="bookmark421"/>
      <w:bookmarkStart w:id="422" w:name="bookmark422"/>
      <w:bookmarkStart w:id="423" w:name="bookmark423"/>
      <w:r>
        <w:rPr>
          <w:color w:val="000000"/>
          <w:spacing w:val="0"/>
          <w:w w:val="100"/>
          <w:position w:val="0"/>
        </w:rPr>
        <w:t>十八、社会责任情况</w:t>
      </w:r>
      <w:bookmarkEnd w:id="421"/>
      <w:bookmarkEnd w:id="422"/>
      <w:bookmarkEnd w:id="423"/>
    </w:p>
    <w:p>
      <w:pPr>
        <w:pStyle w:val="Style36"/>
        <w:keepNext/>
        <w:keepLines/>
        <w:widowControl w:val="0"/>
        <w:shd w:val="clear" w:color="auto" w:fill="auto"/>
        <w:tabs>
          <w:tab w:pos="368" w:val="left"/>
        </w:tabs>
        <w:bidi w:val="0"/>
        <w:spacing w:before="0" w:after="160" w:line="240" w:lineRule="auto"/>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w:t>
        <w:tab/>
        <w:t>履行精准扶贫社会责任情况</w:t>
      </w:r>
      <w:bookmarkEnd w:id="424"/>
      <w:bookmarkEnd w:id="425"/>
      <w:bookmarkEnd w:id="427"/>
    </w:p>
    <w:p>
      <w:pPr>
        <w:pStyle w:val="Style32"/>
        <w:keepNext w:val="0"/>
        <w:keepLines w:val="0"/>
        <w:widowControl w:val="0"/>
        <w:shd w:val="clear" w:color="auto" w:fill="auto"/>
        <w:bidi w:val="0"/>
        <w:spacing w:before="0" w:after="320" w:line="35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160" w:line="240" w:lineRule="auto"/>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履行其他社会责任的情况</w:t>
      </w:r>
      <w:bookmarkEnd w:id="428"/>
      <w:bookmarkEnd w:id="429"/>
      <w:bookmarkEnd w:id="431"/>
    </w:p>
    <w:p>
      <w:pPr>
        <w:pStyle w:val="Style32"/>
        <w:keepNext w:val="0"/>
        <w:keepLines w:val="0"/>
        <w:widowControl w:val="0"/>
        <w:shd w:val="clear" w:color="auto" w:fill="auto"/>
        <w:bidi w:val="0"/>
        <w:spacing w:before="0" w:after="320" w:line="355" w:lineRule="exact"/>
        <w:ind w:left="0" w:right="0" w:firstLine="380"/>
        <w:jc w:val="both"/>
      </w:pPr>
      <w:r>
        <w:rPr>
          <w:color w:val="000000"/>
          <w:spacing w:val="0"/>
          <w:w w:val="100"/>
          <w:position w:val="0"/>
        </w:rPr>
        <w:t>报告期内，公司高度重视企业社会责任工作，在业务经营和发展的过程中，努力做到经济效益与社会效益、短期利益与 长远收益兼顾，实现公司与社会的健康和谐发展。</w:t>
      </w:r>
    </w:p>
    <w:p>
      <w:pPr>
        <w:pStyle w:val="Style32"/>
        <w:keepNext w:val="0"/>
        <w:keepLines w:val="0"/>
        <w:widowControl w:val="0"/>
        <w:shd w:val="clear" w:color="auto" w:fill="auto"/>
        <w:bidi w:val="0"/>
        <w:spacing w:before="0" w:after="0" w:line="353" w:lineRule="exact"/>
        <w:ind w:left="0" w:right="0" w:firstLine="0"/>
        <w:jc w:val="both"/>
      </w:pPr>
      <w:bookmarkStart w:id="432" w:name="bookmark432"/>
      <w:r>
        <w:rPr>
          <w:b/>
          <w:bCs/>
          <w:color w:val="000000"/>
          <w:spacing w:val="0"/>
          <w:w w:val="100"/>
          <w:position w:val="0"/>
        </w:rPr>
        <w:t>（</w:t>
      </w:r>
      <w:bookmarkEnd w:id="432"/>
      <w:r>
        <w:rPr>
          <w:b/>
          <w:bCs/>
          <w:color w:val="000000"/>
          <w:spacing w:val="0"/>
          <w:w w:val="100"/>
          <w:position w:val="0"/>
        </w:rPr>
        <w:t>1）、维护股东权益，提升股东价值</w:t>
      </w:r>
    </w:p>
    <w:p>
      <w:pPr>
        <w:pStyle w:val="Style32"/>
        <w:keepNext w:val="0"/>
        <w:keepLines w:val="0"/>
        <w:widowControl w:val="0"/>
        <w:shd w:val="clear" w:color="auto" w:fill="auto"/>
        <w:bidi w:val="0"/>
        <w:spacing w:before="0" w:after="40" w:line="353" w:lineRule="exact"/>
        <w:ind w:left="0" w:right="0" w:firstLine="380"/>
        <w:jc w:val="both"/>
      </w:pPr>
      <w:r>
        <w:rPr>
          <w:color w:val="000000"/>
          <w:spacing w:val="0"/>
          <w:w w:val="100"/>
          <w:position w:val="0"/>
          <w:sz w:val="17"/>
          <w:szCs w:val="17"/>
        </w:rPr>
        <w:t>2016</w:t>
      </w:r>
      <w:r>
        <w:rPr>
          <w:color w:val="000000"/>
          <w:spacing w:val="0"/>
          <w:w w:val="100"/>
          <w:position w:val="0"/>
        </w:rPr>
        <w:t>年，公司按照《公司法》、《证券法》等有关法律法规的规定，进一步健全公司治理机制，完善公司治理结构，加 强战略业务布局，保护股东权益，并实现股东价值的增长。公司通过资本运作成功购买神州控股</w:t>
      </w:r>
      <w:r>
        <w:rPr>
          <w:color w:val="000000"/>
          <w:spacing w:val="0"/>
          <w:w w:val="100"/>
          <w:position w:val="0"/>
          <w:sz w:val="17"/>
          <w:szCs w:val="17"/>
        </w:rPr>
        <w:t>IT</w:t>
      </w:r>
      <w:r>
        <w:rPr>
          <w:color w:val="000000"/>
          <w:spacing w:val="0"/>
          <w:w w:val="100"/>
          <w:position w:val="0"/>
        </w:rPr>
        <w:t>分销资产，出售盈利较弱 的原电话机与饲料业务，完善新</w:t>
      </w:r>
      <w:r>
        <w:rPr>
          <w:color w:val="000000"/>
          <w:spacing w:val="0"/>
          <w:w w:val="100"/>
          <w:position w:val="0"/>
          <w:sz w:val="17"/>
          <w:szCs w:val="17"/>
        </w:rPr>
        <w:t>IT</w:t>
      </w:r>
      <w:r>
        <w:rPr>
          <w:color w:val="000000"/>
          <w:spacing w:val="0"/>
          <w:w w:val="100"/>
          <w:position w:val="0"/>
        </w:rPr>
        <w:t xml:space="preserve">产业布局，为公司全面提升业务价值和盈利能力注入了活力；公司业务布局赢得了资本市 </w:t>
      </w:r>
      <w:r>
        <w:rPr>
          <w:color w:val="000000"/>
          <w:spacing w:val="0"/>
          <w:w w:val="100"/>
          <w:position w:val="0"/>
        </w:rPr>
        <w:t>场的高度认可，推动了公司市值的持续增长，股东价值得到了提高。</w:t>
      </w:r>
    </w:p>
    <w:p>
      <w:pPr>
        <w:pStyle w:val="Style32"/>
        <w:keepNext w:val="0"/>
        <w:keepLines w:val="0"/>
        <w:widowControl w:val="0"/>
        <w:numPr>
          <w:ilvl w:val="0"/>
          <w:numId w:val="13"/>
        </w:numPr>
        <w:shd w:val="clear" w:color="auto" w:fill="auto"/>
        <w:bidi w:val="0"/>
        <w:spacing w:before="0" w:after="40" w:line="352" w:lineRule="exact"/>
        <w:ind w:left="0" w:right="0" w:firstLine="0"/>
        <w:jc w:val="left"/>
      </w:pPr>
      <w:bookmarkStart w:id="433" w:name="bookmark433"/>
      <w:bookmarkEnd w:id="433"/>
      <w:r>
        <w:rPr>
          <w:b/>
          <w:bCs/>
          <w:color w:val="000000"/>
          <w:spacing w:val="0"/>
          <w:w w:val="100"/>
          <w:position w:val="0"/>
        </w:rPr>
        <w:t>、持续深入开展员工培训培养，提升员工个人价值和社会价值，积极参与社会各项事务</w:t>
      </w:r>
    </w:p>
    <w:p>
      <w:pPr>
        <w:pStyle w:val="Style32"/>
        <w:keepNext w:val="0"/>
        <w:keepLines w:val="0"/>
        <w:widowControl w:val="0"/>
        <w:shd w:val="clear" w:color="auto" w:fill="auto"/>
        <w:bidi w:val="0"/>
        <w:spacing w:before="0" w:after="420" w:line="352" w:lineRule="exact"/>
        <w:ind w:left="0" w:right="0"/>
        <w:jc w:val="both"/>
      </w:pPr>
      <w:r>
        <w:rPr>
          <w:color w:val="000000"/>
          <w:spacing w:val="0"/>
          <w:w w:val="100"/>
          <w:position w:val="0"/>
        </w:rPr>
        <w:t>公司重视员工的职业生涯发展规划以及个人素质的提升，为公司和社会积累更多的人才财富，结合健康向上的企业文 化，积极发挥工会的作用，处理好与员工的关系、最大程度保障员工的权利；同时公司积极参与各项社会事务，经常开展 荣军、贫困山区捐款捐物的活动，在抗震救灾相应方面，第一时间发动公司管理者和员工关注和捐赠，提升企业及员工的 社会责任感。</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8"/>
        <w:keepNext/>
        <w:keepLines/>
        <w:widowControl w:val="0"/>
        <w:shd w:val="clear" w:color="auto" w:fill="auto"/>
        <w:bidi w:val="0"/>
        <w:spacing w:before="0" w:after="320" w:line="240" w:lineRule="auto"/>
        <w:ind w:left="0" w:right="0" w:firstLine="0"/>
        <w:jc w:val="left"/>
      </w:pPr>
      <w:bookmarkStart w:id="434" w:name="bookmark434"/>
      <w:bookmarkStart w:id="435" w:name="bookmark435"/>
      <w:bookmarkStart w:id="436" w:name="bookmark436"/>
      <w:r>
        <w:rPr>
          <w:color w:val="000000"/>
          <w:spacing w:val="0"/>
          <w:w w:val="100"/>
          <w:position w:val="0"/>
        </w:rPr>
        <w:t>十九、其他重大事项的说明</w:t>
      </w:r>
      <w:bookmarkEnd w:id="434"/>
      <w:bookmarkEnd w:id="435"/>
      <w:bookmarkEnd w:id="436"/>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报告期内公司披露的公告均可在巨潮资讯网</w:t>
      </w:r>
      <w:r>
        <w:rPr>
          <w:rFonts w:ascii="Times New Roman" w:eastAsia="Times New Roman" w:hAnsi="Times New Roman" w:cs="Times New Roman"/>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及《证券时报》查阅。</w:t>
      </w:r>
    </w:p>
    <w:tbl>
      <w:tblPr>
        <w:tblOverlap w:val="never"/>
        <w:jc w:val="center"/>
        <w:tblLayout w:type="fixed"/>
      </w:tblPr>
      <w:tblGrid>
        <w:gridCol w:w="773"/>
        <w:gridCol w:w="5328"/>
        <w:gridCol w:w="2126"/>
        <w:gridCol w:w="1421"/>
      </w:tblGrid>
      <w:tr>
        <w:trPr>
          <w:trHeight w:val="278" w:hRule="exact"/>
        </w:trPr>
        <w:tc>
          <w:tcPr>
            <w:gridSpan w:val="2"/>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刊载的报刊名称及版面</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刊载日期</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2016/1/16</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关于筹划重组停牌期满申请继续停牌公告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2016/1/30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年度业绩预告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2016/1/30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2016/2/4</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对外担保公告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2016/2/4</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2016/2/4</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2016/2/6</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重大资产重组实施进展公告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2016/2/16</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2016/2/18</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关于签署募集资金四方监管协议的公告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2016/2/19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关于向银行申请并购贷款的公告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第八届董事会第六次会议决议公告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第八届监事会第五次会议决议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年年度报告摘要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2016/2/27</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关于重大资产重组购买资产完成过户的公告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2016/3/5</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关于重大资产重组购买资产完成过户的公告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关于公司董事长、董事、独立董事辞职的公告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关于公司监事会主席、监事辞职的公告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第八届监事会</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关于选举产生第八届监事会职工代表监事的公告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关于利用自有闲置资金开展委托理财投资的公告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关于召开股东大会审议继续停牌相关事项的公告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2016/3/10</w:t>
            </w:r>
          </w:p>
        </w:tc>
      </w:tr>
      <w:tr>
        <w:trPr>
          <w:trHeight w:val="2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深信泰丰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年第二次临时股东大会的通知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2016/3/10</w:t>
            </w:r>
          </w:p>
        </w:tc>
      </w:tr>
    </w:tbl>
    <w:p>
      <w:pPr>
        <w:spacing w:lineRule="exact" w:line="1"/>
        <w:rPr>
          <w:sz w:val="2"/>
          <w:szCs w:val="2"/>
        </w:rPr>
      </w:pPr>
      <w:r>
        <w:br w:type="page"/>
      </w:r>
    </w:p>
    <w:tbl>
      <w:tblPr>
        <w:tblOverlap w:val="never"/>
        <w:jc w:val="center"/>
        <w:tblLayout w:type="fixed"/>
      </w:tblPr>
      <w:tblGrid>
        <w:gridCol w:w="6101"/>
        <w:gridCol w:w="2126"/>
        <w:gridCol w:w="1421"/>
      </w:tblGrid>
      <w:tr>
        <w:trPr>
          <w:trHeight w:val="278"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刊载的报刊名称及版面</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刊载日期</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年第二次临时股东大会通知的更正公告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深信泰丰：关于利用自有闲置资金开展委托理财投资的补充公告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2016/3/11</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2016/3/15</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深信泰丰：关于重大资产重组交易对价支付完成的公告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2016/3/22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深信泰丰：关于重大资产重组交易对价支付完成公告的更正公告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2016/3/23</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深信泰丰：重大资产重组事项进展暨继续停牌公告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2016/3/24</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2016/3/25</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深信泰丰：关于重大资产重组继续停牌公告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深信泰丰：第八届董事会第七次会议决议公告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深信泰丰：第八届监事会第六次会议决议公告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w:t>
            </w:r>
            <w:r>
              <w:rPr>
                <w:rFonts w:ascii="Times New Roman" w:eastAsia="Times New Roman" w:hAnsi="Times New Roman" w:cs="Times New Roman"/>
                <w:color w:val="000000"/>
                <w:spacing w:val="0"/>
                <w:w w:val="100"/>
                <w:position w:val="0"/>
              </w:rPr>
              <w:t>2016</w:t>
            </w:r>
            <w:r>
              <w:rPr>
                <w:color w:val="000000"/>
                <w:spacing w:val="0"/>
                <w:w w:val="100"/>
                <w:position w:val="0"/>
              </w:rPr>
              <w:t>年度日常关联交易预计公告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深信泰丰：关于开展衍生品投资业务的公告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深信泰丰：关于改聘公司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深信泰丰：关于重大资产出售暨关联交易的一般风险提示公告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深信泰丰：关于重大资产重组相关方承诺情况的公告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深信泰丰：关于重大资产重组相关方承诺情况的更正公告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2016/4/2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深信泰丰：重大资产重组事项停牌进展公告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2016/4/8</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2016/4/13</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深信泰丰：重大资产出售暨关联交易报告书修订说明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2016/4/14</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深信泰丰：关于公司股票暂不复牌的提示性公告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2016/4/14</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深信泰丰：关于终止筹划收购北京维盛网域科技有限公司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股权重大资产 重组事项暨公司证券复牌公告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B91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2016/4/15</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w:t>
            </w:r>
            <w:r>
              <w:rPr>
                <w:rFonts w:ascii="Times New Roman" w:eastAsia="Times New Roman" w:hAnsi="Times New Roman" w:cs="Times New Roman"/>
                <w:color w:val="000000"/>
                <w:spacing w:val="0"/>
                <w:w w:val="100"/>
                <w:position w:val="0"/>
              </w:rPr>
              <w:t>2016</w:t>
            </w:r>
            <w:r>
              <w:rPr>
                <w:color w:val="000000"/>
                <w:spacing w:val="0"/>
                <w:w w:val="100"/>
                <w:position w:val="0"/>
              </w:rPr>
              <w:t>年第一季度业绩预告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2016/4/15</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w:t>
            </w:r>
            <w:r>
              <w:rPr>
                <w:rFonts w:ascii="Times New Roman" w:eastAsia="Times New Roman" w:hAnsi="Times New Roman" w:cs="Times New Roman"/>
                <w:color w:val="000000"/>
                <w:spacing w:val="0"/>
                <w:w w:val="100"/>
                <w:position w:val="0"/>
              </w:rPr>
              <w:t>2016</w:t>
            </w:r>
            <w:r>
              <w:rPr>
                <w:color w:val="000000"/>
                <w:spacing w:val="0"/>
                <w:w w:val="100"/>
                <w:position w:val="0"/>
              </w:rPr>
              <w:t>年度第三次临时股东大会决议公告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2016/4/16</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深信泰丰：股票交易异常波动公告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深信泰丰：关于变更公司名称、证券简称的公告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2016/4/23</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神州数码：第八届董事会第八次会议决议公告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rPr>
              <w:t>2016</w:t>
            </w:r>
            <w:r>
              <w:rPr>
                <w:color w:val="000000"/>
                <w:spacing w:val="0"/>
                <w:w w:val="100"/>
                <w:position w:val="0"/>
              </w:rPr>
              <w:t>年第一季度报告正文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2016/4/29</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神州数码：关于公司下属子公司神州数码（中国）有限公司向平安银行办理 质押贷款的公告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神州数码：关于审议授信及担保事项的公告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神州数码：新增对外担保及担保条款变更的公告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神州数码：关于重大资产出售暨关联交易之标的资产过户完成的公告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2016/5/4</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年第四次临时股东大会的通知提示性公告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神州数码：关于重大资产出售暨关联交易实施完成的公告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神州数码：关于重大资产重组相关方承诺情况的公告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神州数码：关于公司委托理财投资的实施公告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rPr>
              <w:t>2016</w:t>
            </w:r>
            <w:r>
              <w:rPr>
                <w:color w:val="000000"/>
                <w:spacing w:val="0"/>
                <w:w w:val="100"/>
                <w:position w:val="0"/>
              </w:rPr>
              <w:t>年度第四次临时股东大会决议公告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2016/5/18</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神州数码：第八届董事会第九次会议决议公告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神州数码：关于增加</w:t>
            </w:r>
            <w:r>
              <w:rPr>
                <w:rFonts w:ascii="Times New Roman" w:eastAsia="Times New Roman" w:hAnsi="Times New Roman" w:cs="Times New Roman"/>
                <w:color w:val="000000"/>
                <w:spacing w:val="0"/>
                <w:w w:val="100"/>
                <w:position w:val="0"/>
              </w:rPr>
              <w:t>IT</w:t>
            </w:r>
            <w:r>
              <w:rPr>
                <w:color w:val="000000"/>
                <w:spacing w:val="0"/>
                <w:w w:val="100"/>
                <w:position w:val="0"/>
              </w:rPr>
              <w:t>分销业务会计政策和会计估计的公告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神州数码：关于使用自有资金进行证券投资的公告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2016/5/27</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神州数码：第八届监事会第七次会议决议公告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神州数码：关于募集资金专用账户销户的公告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2016/6/3</w:t>
            </w:r>
          </w:p>
        </w:tc>
      </w:tr>
      <w:tr>
        <w:trPr>
          <w:trHeight w:val="2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神州数码：关于变更公司联系地址和联系方式的公告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2016/6/3</w:t>
            </w:r>
          </w:p>
        </w:tc>
      </w:tr>
    </w:tbl>
    <w:p>
      <w:pPr>
        <w:spacing w:lineRule="exact" w:line="1"/>
        <w:rPr>
          <w:sz w:val="2"/>
          <w:szCs w:val="2"/>
        </w:rPr>
      </w:pPr>
      <w:r>
        <w:br w:type="page"/>
      </w:r>
    </w:p>
    <w:tbl>
      <w:tblPr>
        <w:tblOverlap w:val="never"/>
        <w:jc w:val="center"/>
        <w:tblLayout w:type="fixed"/>
      </w:tblPr>
      <w:tblGrid>
        <w:gridCol w:w="773"/>
        <w:gridCol w:w="5328"/>
        <w:gridCol w:w="2126"/>
        <w:gridCol w:w="1421"/>
      </w:tblGrid>
      <w:tr>
        <w:trPr>
          <w:trHeight w:val="278" w:hRule="exact"/>
        </w:trPr>
        <w:tc>
          <w:tcPr>
            <w:gridSpan w:val="2"/>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刊载的报刊名称及版面</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刊载日期</w:t>
            </w:r>
          </w:p>
        </w:tc>
      </w:tr>
      <w:tr>
        <w:trPr>
          <w:trHeight w:val="91" w:hRule="exact"/>
        </w:trPr>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2016/6/3</w:t>
            </w:r>
          </w:p>
        </w:tc>
      </w:tr>
      <w:tr>
        <w:trPr>
          <w:trHeight w:val="1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关于证券事务代表辞职的公告</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2016/6/4</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关于筹划非公开发行股票事项的停牌公告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2016/6/7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年度第五次临时股东大会决议公告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2016/6/14</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关于变更公司网站的公告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2016/6/14</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关于公司控股股东进行股权质押式回购交易的公告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2016/6/18</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关于公司股票复牌的公告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第八届董事会第十次会议决议公告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股股票摊薄即期回报及采取填补措施的公告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 措施的承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140" w:right="0" w:firstLine="0"/>
              <w:jc w:val="left"/>
            </w:pPr>
            <w:r>
              <w:rPr>
                <w:color w:val="000000"/>
                <w:spacing w:val="0"/>
                <w:w w:val="100"/>
                <w:position w:val="0"/>
              </w:rPr>
              <w:t>董事、高级管理人员关于非公开发行股票摊薄即期回报采取填补 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49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神州数码：关于本次非公开发行股票涉及关联交易暨签订附条件生效的股份 认购合同的公告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26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神州数码：关于非公开发行股票认购对象穿透后涉及出资人数量情况的公告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50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both"/>
            </w:pPr>
            <w:r>
              <w:rPr>
                <w:color w:val="000000"/>
                <w:spacing w:val="0"/>
                <w:w w:val="100"/>
                <w:position w:val="0"/>
              </w:rPr>
              <w:t>神州数码：关于控股股东、实际控制人认购本次非公开发行股份锁定期安排 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49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神州数码：关于最近五年不存在被证券监管部门和交易所采取监管措施和处 罚情况的公告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50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神州数码：关于北京神州数码有限公司向北京神州数码供应链服务有限公司 增资的公告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49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神州数码：公司与关联方共同收购北京神州云科信息服务有限公司暨关联交 易的公告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第八届监事会第八次会议决议公告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股东股份被质押的公告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2016/6/23</w:t>
            </w: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 易的补充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140" w:right="0" w:firstLine="0"/>
              <w:jc w:val="left"/>
            </w:pPr>
            <w:r>
              <w:rPr>
                <w:color w:val="000000"/>
                <w:spacing w:val="0"/>
                <w:w w:val="100"/>
                <w:position w:val="0"/>
              </w:rPr>
              <w:t>关于与关联方共同收购北京神州云科信息服务有限公司暨关联交 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2016/6/30</w:t>
            </w:r>
          </w:p>
        </w:tc>
      </w:tr>
      <w:tr>
        <w:trPr>
          <w:trHeight w:val="26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2016/7/8</w:t>
            </w:r>
          </w:p>
        </w:tc>
      </w:tr>
      <w:tr>
        <w:trPr>
          <w:trHeight w:val="49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神州数码：关于与关联方共同收购北京神州云科信息服务有限公司暨关联交 易的进展公告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2016/7/9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年度第六次临时股东大会决议公告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2016/7/9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第八届董事会第十一次会议决议公告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2016/7/9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关于与北京万科企业有限公司合作开发房地产业务的公告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2016/7/9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2016/7/9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年第七次临时股东大会通知的更正公告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2016/7/15</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年第七次临时股东大会的通知（更新后）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2016/7/15</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半年业绩预告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2016/7/15</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2016/7/21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年度第七次临时股东大会决议公告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2016/7/27</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2016/8/6</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关于股权分置改革限售股份解除限售提示性公告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第八届董事会第十二次会议决议公告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 资的公告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关于神州数码（中国）有限公司向神州数码（深圳）有限公司增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r>
        <w:trPr>
          <w:trHeight w:val="26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神州数码：关于北京神州数码置业发展有限公司股权转让的进展公告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r>
        <w:trPr>
          <w:trHeight w:val="49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both"/>
            </w:pPr>
            <w:r>
              <w:rPr>
                <w:color w:val="000000"/>
                <w:spacing w:val="0"/>
                <w:w w:val="100"/>
                <w:position w:val="0"/>
              </w:rPr>
              <w:t>神州数码：关于为北京神州数码置业发展有限公司提供财务资助暨关联交易 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r>
        <w:trPr>
          <w:trHeight w:val="504"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神州数码：关于为北京神州数码置业发展有限公司提供担保暨关联交易的公 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r>
        <w:trPr>
          <w:trHeight w:val="26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股股票预案（修订稿）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r>
              <w:rPr>
                <w:color w:val="000000"/>
                <w:spacing w:val="0"/>
                <w:w w:val="100"/>
                <w:position w:val="0"/>
              </w:rPr>
              <w:t>、</w:t>
            </w:r>
            <w:r>
              <w:rPr>
                <w:rFonts w:ascii="Times New Roman" w:eastAsia="Times New Roman" w:hAnsi="Times New Roman" w:cs="Times New Roman"/>
                <w:color w:val="000000"/>
                <w:spacing w:val="0"/>
                <w:w w:val="100"/>
                <w:position w:val="0"/>
              </w:rPr>
              <w:t>B11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r>
        <w:trPr>
          <w:trHeight w:val="278"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神州数码：关于募集资金</w:t>
            </w:r>
            <w:r>
              <w:rPr>
                <w:rFonts w:ascii="Times New Roman" w:eastAsia="Times New Roman" w:hAnsi="Times New Roman" w:cs="Times New Roman"/>
                <w:color w:val="000000"/>
                <w:spacing w:val="0"/>
                <w:w w:val="100"/>
                <w:position w:val="0"/>
              </w:rPr>
              <w:t>2016</w:t>
            </w:r>
            <w:r>
              <w:rPr>
                <w:color w:val="000000"/>
                <w:spacing w:val="0"/>
                <w:w w:val="100"/>
                <w:position w:val="0"/>
              </w:rPr>
              <w:t>年上半年存放与使用情况的专项报告的公告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bl>
    <w:p>
      <w:pPr>
        <w:spacing w:lineRule="exact" w:line="1"/>
        <w:rPr>
          <w:sz w:val="2"/>
          <w:szCs w:val="2"/>
        </w:rPr>
      </w:pPr>
      <w:r>
        <w:br w:type="page"/>
      </w:r>
    </w:p>
    <w:tbl>
      <w:tblPr>
        <w:tblOverlap w:val="never"/>
        <w:jc w:val="center"/>
        <w:tblLayout w:type="fixed"/>
      </w:tblPr>
      <w:tblGrid>
        <w:gridCol w:w="773"/>
        <w:gridCol w:w="5328"/>
        <w:gridCol w:w="2126"/>
        <w:gridCol w:w="1421"/>
      </w:tblGrid>
      <w:tr>
        <w:trPr>
          <w:trHeight w:val="278" w:hRule="exact"/>
        </w:trPr>
        <w:tc>
          <w:tcPr>
            <w:gridSpan w:val="2"/>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刊载的报刊名称及版面</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刊载日期</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年第八次临时股东大会的通知（已取消）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年第八次临时股东大会通知的更正公告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2016/8/31</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年第八次临时股东大会的通知（更新后）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2016/8/31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重大诉讼进展的公告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2016/9/6</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关于更换独立财务顾问主办人的公告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2016/9/6</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关于收到《中国证监会行政许可申请受理通知书》的公告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2016/9/8</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年第八次临时股东大会的提示性公告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2016/9/13</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年度第八次临时股东大会决议公告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2016/9/22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关于公司股东股票质押式回购交易提前购回的公告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2016/10/10</w:t>
            </w:r>
          </w:p>
        </w:tc>
      </w:tr>
      <w:tr>
        <w:trPr>
          <w:trHeight w:val="26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神州数码集团股份有限公司重大诉讼进展的公告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2016/10/13</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第三季度业绩预告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2016/10/15</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第八届董事会第十三次会议决议公告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2016/10/28</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 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关于注销长沙神州数码有限公司、神州数码（合肥）有限公司的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B174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2016/10/28</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年第三季度报告正文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2016/10/28</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第八届董事会第十四次会议决议公告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股股票预案修订情况说明的公告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股股票预案（二次修订稿）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关于与认购对象签署股份认购协议的补充协议的公告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年第九次临时股东大会的通知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2016/11/10</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 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关于延期回复《中国证监会行政许可项目审查反馈意见通知书》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2016/11/10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年第九次临时股东大会的提示性公告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2016/11/22</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关于变更注册地址事项完成工商变更登记的公告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2016/11/24</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关于股改限售股份减持的公告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年度第九次临时股东大会决议公告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关于公司股东部分股权解除质押及再质押的公告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2016/11/29</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第八届董事会第十五次会议决议公告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关于非公开发行股票申请文件反馈意见回复的公告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关于非公开发行股票相关承诺事项的公告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2016/12/1</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关于股改限售股份减持的公告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2016/12/30</w:t>
            </w:r>
          </w:p>
        </w:tc>
      </w:tr>
      <w:tr>
        <w:trPr>
          <w:trHeight w:val="2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关于重大仲裁的公告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r>
              <w:rPr>
                <w:rFonts w:ascii="Times New Roman" w:eastAsia="Times New Roman" w:hAnsi="Times New Roman" w:cs="Times New Roman"/>
                <w:color w:val="000000"/>
                <w:spacing w:val="0"/>
                <w:w w:val="100"/>
                <w:position w:val="0"/>
              </w:rPr>
              <w:t>B120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2016/12/31</w:t>
            </w:r>
          </w:p>
        </w:tc>
      </w:tr>
    </w:tbl>
    <w:p>
      <w:pPr>
        <w:widowControl w:val="0"/>
        <w:spacing w:after="719" w:line="1" w:lineRule="exact"/>
      </w:pPr>
    </w:p>
    <w:p>
      <w:pPr>
        <w:pStyle w:val="Style28"/>
        <w:keepNext/>
        <w:keepLines/>
        <w:widowControl w:val="0"/>
        <w:shd w:val="clear" w:color="auto" w:fill="auto"/>
        <w:bidi w:val="0"/>
        <w:spacing w:before="0" w:after="340" w:line="240" w:lineRule="auto"/>
        <w:ind w:left="0" w:right="0" w:firstLine="0"/>
        <w:jc w:val="left"/>
      </w:pPr>
      <w:bookmarkStart w:id="437" w:name="bookmark437"/>
      <w:bookmarkStart w:id="438" w:name="bookmark438"/>
      <w:bookmarkStart w:id="439" w:name="bookmark439"/>
      <w:r>
        <w:rPr>
          <w:color w:val="000000"/>
          <w:spacing w:val="0"/>
          <w:w w:val="100"/>
          <w:position w:val="0"/>
        </w:rPr>
        <w:t>二十、公司子公司重大事项</w:t>
      </w:r>
      <w:bookmarkEnd w:id="437"/>
      <w:bookmarkEnd w:id="438"/>
      <w:bookmarkEnd w:id="439"/>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2"/>
        <w:keepNext/>
        <w:keepLines/>
        <w:widowControl w:val="0"/>
        <w:shd w:val="clear" w:color="auto" w:fill="auto"/>
        <w:bidi w:val="0"/>
        <w:spacing w:before="0" w:after="960" w:line="240" w:lineRule="auto"/>
        <w:ind w:left="0" w:right="0" w:firstLine="0"/>
        <w:jc w:val="center"/>
      </w:pPr>
      <w:bookmarkStart w:id="440" w:name="bookmark440"/>
      <w:bookmarkStart w:id="441" w:name="bookmark441"/>
      <w:bookmarkStart w:id="442" w:name="bookmark442"/>
      <w:r>
        <w:rPr>
          <w:color w:val="000000"/>
          <w:spacing w:val="0"/>
          <w:w w:val="100"/>
          <w:position w:val="0"/>
        </w:rPr>
        <w:t>第六节股份变动及股东情况</w:t>
      </w:r>
      <w:bookmarkEnd w:id="440"/>
      <w:bookmarkEnd w:id="441"/>
      <w:bookmarkEnd w:id="442"/>
    </w:p>
    <w:p>
      <w:pPr>
        <w:pStyle w:val="Style28"/>
        <w:keepNext/>
        <w:keepLines/>
        <w:widowControl w:val="0"/>
        <w:shd w:val="clear" w:color="auto" w:fill="auto"/>
        <w:bidi w:val="0"/>
        <w:spacing w:before="0" w:after="340" w:line="240" w:lineRule="auto"/>
        <w:ind w:left="0" w:right="0" w:firstLine="0"/>
        <w:jc w:val="both"/>
      </w:pPr>
      <w:bookmarkStart w:id="443" w:name="bookmark443"/>
      <w:bookmarkStart w:id="444" w:name="bookmark444"/>
      <w:bookmarkStart w:id="445" w:name="bookmark445"/>
      <w:bookmarkStart w:id="446" w:name="bookmark446"/>
      <w:bookmarkStart w:id="447" w:name="bookmark447"/>
      <w:r>
        <w:rPr>
          <w:color w:val="000000"/>
          <w:spacing w:val="0"/>
          <w:w w:val="100"/>
          <w:position w:val="0"/>
        </w:rPr>
        <w:t>一</w:t>
      </w:r>
      <w:bookmarkEnd w:id="446"/>
      <w:r>
        <w:rPr>
          <w:color w:val="000000"/>
          <w:spacing w:val="0"/>
          <w:w w:val="100"/>
          <w:position w:val="0"/>
        </w:rPr>
        <w:t>、股份变动情况</w:t>
      </w:r>
      <w:bookmarkEnd w:id="444"/>
      <w:bookmarkEnd w:id="445"/>
      <w:bookmarkEnd w:id="447"/>
      <w:bookmarkEnd w:id="443"/>
    </w:p>
    <w:p>
      <w:pPr>
        <w:pStyle w:val="Style36"/>
        <w:keepNext/>
        <w:keepLines/>
        <w:widowControl w:val="0"/>
        <w:shd w:val="clear" w:color="auto" w:fill="auto"/>
        <w:bidi w:val="0"/>
        <w:spacing w:before="0" w:after="300" w:line="240" w:lineRule="auto"/>
        <w:ind w:left="0" w:right="0" w:firstLine="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、股份变动情况</w:t>
      </w:r>
      <w:bookmarkEnd w:id="448"/>
      <w:bookmarkEnd w:id="449"/>
      <w:bookmarkEnd w:id="451"/>
    </w:p>
    <w:p>
      <w:pPr>
        <w:pStyle w:val="Style3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单位：股</w:t>
      </w:r>
    </w:p>
    <w:tbl>
      <w:tblPr>
        <w:tblOverlap w:val="never"/>
        <w:jc w:val="center"/>
        <w:tblLayout w:type="fixed"/>
      </w:tblPr>
      <w:tblGrid>
        <w:gridCol w:w="1954"/>
        <w:gridCol w:w="994"/>
        <w:gridCol w:w="821"/>
        <w:gridCol w:w="1022"/>
        <w:gridCol w:w="710"/>
        <w:gridCol w:w="706"/>
        <w:gridCol w:w="1051"/>
        <w:gridCol w:w="989"/>
        <w:gridCol w:w="994"/>
        <w:gridCol w:w="806"/>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17,916,723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296,096,903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278,184,430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296,101,153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296,096,903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296,086,101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296,101,153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29,610,352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266,487,203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266,476,401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266,490,801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340,056,808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357,969,281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340,056,808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357,969,281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357,973,531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296,096,903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296,096,903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654,070,434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9" w:line="1" w:lineRule="exact"/>
      </w:pP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53" w:lineRule="exact"/>
        <w:ind w:left="0" w:right="0" w:firstLine="0"/>
        <w:jc w:val="both"/>
      </w:pPr>
      <w:bookmarkStart w:id="452" w:name="bookmark452"/>
      <w:r>
        <w:rPr>
          <w:rFonts w:ascii="Times New Roman" w:eastAsia="Times New Roman" w:hAnsi="Times New Roman" w:cs="Times New Roman"/>
          <w:color w:val="000000"/>
          <w:spacing w:val="0"/>
          <w:w w:val="100"/>
          <w:position w:val="0"/>
        </w:rPr>
        <w:t>1</w:t>
      </w:r>
      <w:bookmarkEnd w:id="452"/>
      <w:r>
        <w:rPr>
          <w:color w:val="000000"/>
          <w:spacing w:val="0"/>
          <w:w w:val="100"/>
          <w:position w:val="0"/>
        </w:rPr>
        <w:t>、 公司重大资产购买（构成借壳上市）暨非公开发行股票之关联交易项目，向特定对象非公开发行股份</w:t>
      </w:r>
      <w:r>
        <w:rPr>
          <w:rFonts w:ascii="Times New Roman" w:eastAsia="Times New Roman" w:hAnsi="Times New Roman" w:cs="Times New Roman"/>
          <w:color w:val="000000"/>
          <w:spacing w:val="0"/>
          <w:w w:val="100"/>
          <w:position w:val="0"/>
        </w:rPr>
        <w:t>296,096,903</w:t>
      </w:r>
      <w:r>
        <w:rPr>
          <w:color w:val="000000"/>
          <w:spacing w:val="0"/>
          <w:w w:val="100"/>
          <w:position w:val="0"/>
        </w:rPr>
        <w:t>股， 锁定期三年。</w:t>
      </w:r>
    </w:p>
    <w:p>
      <w:pPr>
        <w:pStyle w:val="Style32"/>
        <w:keepNext w:val="0"/>
        <w:keepLines w:val="0"/>
        <w:widowControl w:val="0"/>
        <w:shd w:val="clear" w:color="auto" w:fill="auto"/>
        <w:tabs>
          <w:tab w:pos="354" w:val="left"/>
        </w:tabs>
        <w:bidi w:val="0"/>
        <w:spacing w:before="0" w:after="40" w:line="353" w:lineRule="exact"/>
        <w:ind w:left="0" w:right="0" w:firstLine="0"/>
        <w:jc w:val="both"/>
      </w:pPr>
      <w:bookmarkStart w:id="453" w:name="bookmark453"/>
      <w:r>
        <w:rPr>
          <w:rFonts w:ascii="Times New Roman" w:eastAsia="Times New Roman" w:hAnsi="Times New Roman" w:cs="Times New Roman"/>
          <w:color w:val="000000"/>
          <w:spacing w:val="0"/>
          <w:w w:val="100"/>
          <w:position w:val="0"/>
        </w:rPr>
        <w:t>2</w:t>
      </w:r>
      <w:bookmarkEnd w:id="453"/>
      <w:r>
        <w:rPr>
          <w:color w:val="000000"/>
          <w:spacing w:val="0"/>
          <w:w w:val="100"/>
          <w:position w:val="0"/>
        </w:rPr>
        <w:t>、</w:t>
        <w:tab/>
        <w:t>公司原高管林小浓先生持有无限售流通股份</w:t>
      </w:r>
      <w:r>
        <w:rPr>
          <w:rFonts w:ascii="Times New Roman" w:eastAsia="Times New Roman" w:hAnsi="Times New Roman" w:cs="Times New Roman"/>
          <w:color w:val="000000"/>
          <w:spacing w:val="0"/>
          <w:w w:val="100"/>
          <w:position w:val="0"/>
        </w:rPr>
        <w:t>2500</w:t>
      </w:r>
      <w:r>
        <w:rPr>
          <w:color w:val="000000"/>
          <w:spacing w:val="0"/>
          <w:w w:val="100"/>
          <w:position w:val="0"/>
        </w:rPr>
        <w:t>股、高管锁定股</w:t>
      </w:r>
      <w:r>
        <w:rPr>
          <w:color w:val="000000"/>
          <w:spacing w:val="0"/>
          <w:w w:val="100"/>
          <w:position w:val="0"/>
          <w:sz w:val="17"/>
          <w:szCs w:val="17"/>
        </w:rPr>
        <w:t>7500</w:t>
      </w:r>
      <w:r>
        <w:rPr>
          <w:color w:val="000000"/>
          <w:spacing w:val="0"/>
          <w:w w:val="100"/>
          <w:position w:val="0"/>
        </w:rPr>
        <w:t>股，原高管梁侠女士持有无限售流通股份</w:t>
      </w:r>
      <w:r>
        <w:rPr>
          <w:rFonts w:ascii="Times New Roman" w:eastAsia="Times New Roman" w:hAnsi="Times New Roman" w:cs="Times New Roman"/>
          <w:color w:val="000000"/>
          <w:spacing w:val="0"/>
          <w:w w:val="100"/>
          <w:position w:val="0"/>
        </w:rPr>
        <w:t>1101</w:t>
      </w:r>
      <w:r>
        <w:rPr>
          <w:color w:val="000000"/>
          <w:spacing w:val="0"/>
          <w:w w:val="100"/>
          <w:position w:val="0"/>
        </w:rPr>
        <w:t>股、 高管锁定股</w:t>
      </w:r>
      <w:r>
        <w:rPr>
          <w:color w:val="000000"/>
          <w:spacing w:val="0"/>
          <w:w w:val="100"/>
          <w:position w:val="0"/>
          <w:sz w:val="17"/>
          <w:szCs w:val="17"/>
        </w:rPr>
        <w:t>3302</w:t>
      </w:r>
      <w:r>
        <w:rPr>
          <w:color w:val="000000"/>
          <w:spacing w:val="0"/>
          <w:w w:val="100"/>
          <w:position w:val="0"/>
        </w:rPr>
        <w:t>股，因两位在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月离任，其所持无限售流通股份转为有限售条件股份，锁定期自离任起六个月。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日，梁侠女士减持</w:t>
      </w:r>
      <w:r>
        <w:rPr>
          <w:rFonts w:ascii="Times New Roman" w:eastAsia="Times New Roman" w:hAnsi="Times New Roman" w:cs="Times New Roman"/>
          <w:color w:val="000000"/>
          <w:spacing w:val="0"/>
          <w:w w:val="100"/>
          <w:position w:val="0"/>
        </w:rPr>
        <w:t>4403</w:t>
      </w:r>
      <w:r>
        <w:rPr>
          <w:color w:val="000000"/>
          <w:spacing w:val="0"/>
          <w:w w:val="100"/>
          <w:position w:val="0"/>
        </w:rPr>
        <w:t>股，林小浓先生减持</w:t>
      </w:r>
      <w:r>
        <w:rPr>
          <w:rFonts w:ascii="Times New Roman" w:eastAsia="Times New Roman" w:hAnsi="Times New Roman" w:cs="Times New Roman"/>
          <w:color w:val="000000"/>
          <w:spacing w:val="0"/>
          <w:w w:val="100"/>
          <w:position w:val="0"/>
        </w:rPr>
        <w:t>10000</w:t>
      </w:r>
      <w:r>
        <w:rPr>
          <w:color w:val="000000"/>
          <w:spacing w:val="0"/>
          <w:w w:val="100"/>
          <w:position w:val="0"/>
        </w:rPr>
        <w:t>股。公司原高管费永洁女士</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月申报离任，锁定期自离任起 六个月，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日，费永洁女士增持股份</w:t>
      </w:r>
      <w:r>
        <w:rPr>
          <w:rFonts w:ascii="Times New Roman" w:eastAsia="Times New Roman" w:hAnsi="Times New Roman" w:cs="Times New Roman"/>
          <w:color w:val="000000"/>
          <w:spacing w:val="0"/>
          <w:w w:val="100"/>
          <w:position w:val="0"/>
        </w:rPr>
        <w:t>1000</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日，原高管费永洁女士减持</w:t>
      </w:r>
      <w:r>
        <w:rPr>
          <w:rFonts w:ascii="Times New Roman" w:eastAsia="Times New Roman" w:hAnsi="Times New Roman" w:cs="Times New Roman"/>
          <w:color w:val="000000"/>
          <w:spacing w:val="0"/>
          <w:w w:val="100"/>
          <w:position w:val="0"/>
        </w:rPr>
        <w:t>1000</w:t>
      </w:r>
      <w:r>
        <w:rPr>
          <w:color w:val="000000"/>
          <w:spacing w:val="0"/>
          <w:w w:val="100"/>
          <w:position w:val="0"/>
        </w:rPr>
        <w:t>股。</w:t>
      </w:r>
    </w:p>
    <w:p>
      <w:pPr>
        <w:pStyle w:val="Style32"/>
        <w:keepNext w:val="0"/>
        <w:keepLines w:val="0"/>
        <w:widowControl w:val="0"/>
        <w:shd w:val="clear" w:color="auto" w:fill="auto"/>
        <w:tabs>
          <w:tab w:pos="358" w:val="left"/>
        </w:tabs>
        <w:bidi w:val="0"/>
        <w:spacing w:before="0" w:after="520" w:line="350" w:lineRule="exact"/>
        <w:ind w:left="0" w:right="0" w:firstLine="0"/>
        <w:jc w:val="both"/>
      </w:pPr>
      <w:bookmarkStart w:id="454" w:name="bookmark454"/>
      <w:r>
        <w:rPr>
          <w:rFonts w:ascii="Times New Roman" w:eastAsia="Times New Roman" w:hAnsi="Times New Roman" w:cs="Times New Roman"/>
          <w:color w:val="000000"/>
          <w:spacing w:val="0"/>
          <w:w w:val="100"/>
          <w:position w:val="0"/>
        </w:rPr>
        <w:t>3</w:t>
      </w:r>
      <w:bookmarkEnd w:id="454"/>
      <w:r>
        <w:rPr>
          <w:color w:val="000000"/>
          <w:spacing w:val="0"/>
          <w:w w:val="100"/>
          <w:position w:val="0"/>
        </w:rPr>
        <w:t>、</w:t>
        <w:tab/>
        <w:t>深圳市中级人民法院于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日裁定受理深圳泰丰电子有限公司破产清算一案，并指定广东经天律师事务所为管理 人，目前该案在清算过程中，基于本破产案件清算工作需要，管理人向中国证券登记结算有限责任公司深圳分公司申请开立 </w:t>
      </w:r>
      <w:r>
        <w:rPr>
          <w:rFonts w:ascii="Times New Roman" w:eastAsia="Times New Roman" w:hAnsi="Times New Roman" w:cs="Times New Roman"/>
          <w:color w:val="000000"/>
          <w:spacing w:val="0"/>
          <w:w w:val="100"/>
          <w:position w:val="0"/>
        </w:rPr>
        <w:t>“</w:t>
      </w:r>
      <w:r>
        <w:rPr>
          <w:color w:val="000000"/>
          <w:spacing w:val="0"/>
          <w:w w:val="100"/>
          <w:position w:val="0"/>
        </w:rPr>
        <w:t>深圳泰丰电子有限公司破产企业财产处置专用账户匚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日，中国证券登记结算有限责任公司深圳分公司出具《证 券过户登记确认书》，确认</w:t>
      </w:r>
      <w:r>
        <w:rPr>
          <w:rFonts w:ascii="Times New Roman" w:eastAsia="Times New Roman" w:hAnsi="Times New Roman" w:cs="Times New Roman"/>
          <w:color w:val="000000"/>
          <w:spacing w:val="0"/>
          <w:w w:val="100"/>
          <w:position w:val="0"/>
        </w:rPr>
        <w:t>17,901,671</w:t>
      </w:r>
      <w:r>
        <w:rPr>
          <w:color w:val="000000"/>
          <w:spacing w:val="0"/>
          <w:w w:val="100"/>
          <w:position w:val="0"/>
        </w:rPr>
        <w:t>股已由华润深国投信托有限公司名下过户登记至过管理人开立的前述证券账户中。</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日，前述账户中的</w:t>
      </w:r>
      <w:r>
        <w:rPr>
          <w:rFonts w:ascii="Times New Roman" w:eastAsia="Times New Roman" w:hAnsi="Times New Roman" w:cs="Times New Roman"/>
          <w:color w:val="000000"/>
          <w:spacing w:val="0"/>
          <w:w w:val="100"/>
          <w:position w:val="0"/>
        </w:rPr>
        <w:t>17,901,671</w:t>
      </w:r>
      <w:r>
        <w:rPr>
          <w:color w:val="000000"/>
          <w:spacing w:val="0"/>
          <w:w w:val="100"/>
          <w:position w:val="0"/>
        </w:rPr>
        <w:t>股解除限售，上市流通。</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股份变动的批准情况</w:t>
      </w:r>
    </w:p>
    <w:p>
      <w:pPr>
        <w:pStyle w:val="Style32"/>
        <w:keepNext w:val="0"/>
        <w:keepLines w:val="0"/>
        <w:widowControl w:val="0"/>
        <w:shd w:val="clear" w:color="auto" w:fill="auto"/>
        <w:bidi w:val="0"/>
        <w:spacing w:before="0" w:after="40" w:line="22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40" w:line="226"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日，中国证券监督管理委员会核准深圳市深信泰丰（集团）股份有限公司非公开发行股票及重大资产重组 （证监许可【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2952</w:t>
      </w:r>
      <w:r>
        <w:rPr>
          <w:color w:val="000000"/>
          <w:spacing w:val="0"/>
          <w:w w:val="100"/>
          <w:position w:val="0"/>
        </w:rPr>
        <w:t>号）。</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1</w:t>
      </w:r>
      <w:r>
        <w:rPr>
          <w:color w:val="000000"/>
          <w:spacing w:val="0"/>
          <w:w w:val="100"/>
          <w:position w:val="0"/>
        </w:rPr>
        <w:t>日，公司通过非公开发行方式，发行</w:t>
      </w:r>
      <w:r>
        <w:rPr>
          <w:rFonts w:ascii="Times New Roman" w:eastAsia="Times New Roman" w:hAnsi="Times New Roman" w:cs="Times New Roman"/>
          <w:color w:val="000000"/>
          <w:spacing w:val="0"/>
          <w:w w:val="100"/>
          <w:position w:val="0"/>
        </w:rPr>
        <w:t>296,096,903</w:t>
      </w:r>
      <w:r>
        <w:rPr>
          <w:color w:val="000000"/>
          <w:spacing w:val="0"/>
          <w:w w:val="100"/>
          <w:position w:val="0"/>
        </w:rPr>
        <w:t>股新股，股本增加到</w:t>
      </w:r>
    </w:p>
    <w:p>
      <w:pPr>
        <w:pStyle w:val="Style52"/>
        <w:keepNext w:val="0"/>
        <w:keepLines w:val="0"/>
        <w:widowControl w:val="0"/>
        <w:shd w:val="clear" w:color="auto" w:fill="auto"/>
        <w:bidi w:val="0"/>
        <w:spacing w:before="0"/>
        <w:ind w:left="0" w:right="0" w:firstLine="0"/>
        <w:jc w:val="left"/>
      </w:pPr>
      <w:r>
        <w:rPr>
          <w:color w:val="000000"/>
          <w:spacing w:val="0"/>
          <w:w w:val="100"/>
          <w:position w:val="0"/>
        </w:rPr>
        <w:t>654,070,434</w:t>
      </w:r>
      <w:r>
        <w:rPr>
          <w:rFonts w:ascii="SimSun" w:eastAsia="SimSun" w:hAnsi="SimSun" w:cs="SimSun"/>
          <w:color w:val="000000"/>
          <w:spacing w:val="0"/>
          <w:w w:val="100"/>
          <w:position w:val="0"/>
        </w:rPr>
        <w:t>股。</w:t>
      </w:r>
    </w:p>
    <w:p>
      <w:pPr>
        <w:pStyle w:val="Style32"/>
        <w:keepNext w:val="0"/>
        <w:keepLines w:val="0"/>
        <w:widowControl w:val="0"/>
        <w:shd w:val="clear" w:color="auto" w:fill="auto"/>
        <w:bidi w:val="0"/>
        <w:spacing w:before="0" w:after="40" w:line="228" w:lineRule="exact"/>
        <w:ind w:left="0" w:right="0" w:firstLine="0"/>
        <w:jc w:val="left"/>
      </w:pPr>
      <w:r>
        <w:rPr>
          <w:color w:val="000000"/>
          <w:spacing w:val="0"/>
          <w:w w:val="100"/>
          <w:position w:val="0"/>
        </w:rPr>
        <w:t>股份变动的过户情况</w:t>
      </w:r>
    </w:p>
    <w:p>
      <w:pPr>
        <w:pStyle w:val="Style32"/>
        <w:keepNext w:val="0"/>
        <w:keepLines w:val="0"/>
        <w:widowControl w:val="0"/>
        <w:shd w:val="clear" w:color="auto" w:fill="auto"/>
        <w:bidi w:val="0"/>
        <w:spacing w:before="0" w:after="40" w:line="22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80" w:line="22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日，非公开发行的股份</w:t>
      </w:r>
      <w:r>
        <w:rPr>
          <w:rFonts w:ascii="Times New Roman" w:eastAsia="Times New Roman" w:hAnsi="Times New Roman" w:cs="Times New Roman"/>
          <w:color w:val="000000"/>
          <w:spacing w:val="0"/>
          <w:w w:val="100"/>
          <w:position w:val="0"/>
        </w:rPr>
        <w:t>296,096,903</w:t>
      </w:r>
      <w:r>
        <w:rPr>
          <w:color w:val="000000"/>
          <w:spacing w:val="0"/>
          <w:w w:val="100"/>
          <w:position w:val="0"/>
        </w:rPr>
        <w:t>股，正式登记到相关认购人名下。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日，该部分股份正式上市。</w:t>
      </w:r>
    </w:p>
    <w:p>
      <w:pPr>
        <w:pStyle w:val="Style32"/>
        <w:keepNext w:val="0"/>
        <w:keepLines w:val="0"/>
        <w:widowControl w:val="0"/>
        <w:shd w:val="clear" w:color="auto" w:fill="auto"/>
        <w:bidi w:val="0"/>
        <w:spacing w:before="0" w:after="40" w:line="228"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40" w:line="22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80" w:line="23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日，非公开发行的股份</w:t>
      </w:r>
      <w:r>
        <w:rPr>
          <w:rFonts w:ascii="Times New Roman" w:eastAsia="Times New Roman" w:hAnsi="Times New Roman" w:cs="Times New Roman"/>
          <w:color w:val="000000"/>
          <w:spacing w:val="0"/>
          <w:w w:val="100"/>
          <w:position w:val="0"/>
        </w:rPr>
        <w:t>296,096,903</w:t>
      </w:r>
      <w:r>
        <w:rPr>
          <w:color w:val="000000"/>
          <w:spacing w:val="0"/>
          <w:w w:val="100"/>
          <w:position w:val="0"/>
        </w:rPr>
        <w:t>股，已于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日上市。按新股本</w:t>
      </w:r>
      <w:r>
        <w:rPr>
          <w:color w:val="000000"/>
          <w:spacing w:val="0"/>
          <w:w w:val="100"/>
          <w:position w:val="0"/>
          <w:sz w:val="17"/>
          <w:szCs w:val="17"/>
        </w:rPr>
        <w:t>654, 070,434</w:t>
      </w:r>
      <w:r>
        <w:rPr>
          <w:color w:val="000000"/>
          <w:spacing w:val="0"/>
          <w:w w:val="100"/>
          <w:position w:val="0"/>
        </w:rPr>
        <w:t>股摊薄计算，</w:t>
      </w:r>
      <w:r>
        <w:rPr>
          <w:color w:val="000000"/>
          <w:spacing w:val="0"/>
          <w:w w:val="100"/>
          <w:position w:val="0"/>
          <w:sz w:val="17"/>
          <w:szCs w:val="17"/>
        </w:rPr>
        <w:t>2016</w:t>
      </w:r>
      <w:r>
        <w:rPr>
          <w:color w:val="000000"/>
          <w:spacing w:val="0"/>
          <w:w w:val="100"/>
          <w:position w:val="0"/>
        </w:rPr>
        <w:t>年每股 收益为</w:t>
      </w:r>
      <w:r>
        <w:rPr>
          <w:color w:val="000000"/>
          <w:spacing w:val="0"/>
          <w:w w:val="100"/>
          <w:position w:val="0"/>
          <w:sz w:val="17"/>
          <w:szCs w:val="17"/>
        </w:rPr>
        <w:t>0.6174,</w:t>
      </w:r>
      <w:r>
        <w:rPr>
          <w:color w:val="000000"/>
          <w:spacing w:val="0"/>
          <w:w w:val="100"/>
          <w:position w:val="0"/>
        </w:rPr>
        <w:t>稀释每股收益</w:t>
      </w:r>
      <w:r>
        <w:rPr>
          <w:color w:val="000000"/>
          <w:spacing w:val="0"/>
          <w:w w:val="100"/>
          <w:position w:val="0"/>
          <w:sz w:val="17"/>
          <w:szCs w:val="17"/>
        </w:rPr>
        <w:t>0.6174；</w:t>
      </w:r>
      <w:r>
        <w:rPr>
          <w:color w:val="000000"/>
          <w:spacing w:val="0"/>
          <w:w w:val="100"/>
          <w:position w:val="0"/>
        </w:rPr>
        <w:t>比较期间</w:t>
      </w:r>
      <w:r>
        <w:rPr>
          <w:color w:val="000000"/>
          <w:spacing w:val="0"/>
          <w:w w:val="100"/>
          <w:position w:val="0"/>
          <w:sz w:val="17"/>
          <w:szCs w:val="17"/>
        </w:rPr>
        <w:t>2015</w:t>
      </w:r>
      <w:r>
        <w:rPr>
          <w:color w:val="000000"/>
          <w:spacing w:val="0"/>
          <w:w w:val="100"/>
          <w:position w:val="0"/>
        </w:rPr>
        <w:t>年每股收益为</w:t>
      </w:r>
      <w:r>
        <w:rPr>
          <w:color w:val="000000"/>
          <w:spacing w:val="0"/>
          <w:w w:val="100"/>
          <w:position w:val="0"/>
          <w:sz w:val="17"/>
          <w:szCs w:val="17"/>
        </w:rPr>
        <w:t>0.0327,</w:t>
      </w:r>
      <w:r>
        <w:rPr>
          <w:color w:val="000000"/>
          <w:spacing w:val="0"/>
          <w:w w:val="100"/>
          <w:position w:val="0"/>
        </w:rPr>
        <w:t>稀释每股收益</w:t>
      </w:r>
      <w:r>
        <w:rPr>
          <w:color w:val="000000"/>
          <w:spacing w:val="0"/>
          <w:w w:val="100"/>
          <w:position w:val="0"/>
          <w:sz w:val="17"/>
          <w:szCs w:val="17"/>
        </w:rPr>
        <w:t>0.0327</w:t>
      </w:r>
      <w:r>
        <w:rPr>
          <w:color w:val="000000"/>
          <w:spacing w:val="0"/>
          <w:w w:val="100"/>
          <w:position w:val="0"/>
        </w:rPr>
        <w:t>。</w:t>
      </w:r>
    </w:p>
    <w:p>
      <w:pPr>
        <w:pStyle w:val="Style32"/>
        <w:keepNext w:val="0"/>
        <w:keepLines w:val="0"/>
        <w:widowControl w:val="0"/>
        <w:shd w:val="clear" w:color="auto" w:fill="auto"/>
        <w:bidi w:val="0"/>
        <w:spacing w:before="0" w:after="40" w:line="228" w:lineRule="exact"/>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280" w:line="22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8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、限售股份变动情况</w:t>
      </w:r>
      <w:bookmarkEnd w:id="455"/>
      <w:bookmarkEnd w:id="456"/>
      <w:bookmarkEnd w:id="458"/>
    </w:p>
    <w:p>
      <w:pPr>
        <w:pStyle w:val="Style32"/>
        <w:keepNext w:val="0"/>
        <w:keepLines w:val="0"/>
        <w:widowControl w:val="0"/>
        <w:shd w:val="clear" w:color="auto" w:fill="auto"/>
        <w:bidi w:val="0"/>
        <w:spacing w:before="0" w:after="40" w:line="228"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4"/>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4403 </w:t>
            </w:r>
            <w:r>
              <w:rPr>
                <w:color w:val="000000"/>
                <w:spacing w:val="0"/>
                <w:w w:val="100"/>
                <w:position w:val="0"/>
              </w:rPr>
              <w:t>股</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林小浓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10000 </w:t>
            </w:r>
            <w:r>
              <w:rPr>
                <w:color w:val="000000"/>
                <w:spacing w:val="0"/>
                <w:w w:val="100"/>
                <w:position w:val="0"/>
              </w:rPr>
              <w:t>股</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华润深国投信托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日过户</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17901671 </w:t>
            </w:r>
            <w:r>
              <w:rPr>
                <w:color w:val="000000"/>
                <w:spacing w:val="0"/>
                <w:w w:val="100"/>
                <w:position w:val="0"/>
              </w:rPr>
              <w:t>股</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6,729,500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6729500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rPr>
              <w:t xml:space="preserve">6729500 </w:t>
            </w:r>
            <w:r>
              <w:rPr>
                <w:color w:val="000000"/>
                <w:spacing w:val="0"/>
                <w:w w:val="100"/>
                <w:position w:val="0"/>
              </w:rPr>
              <w:t>股</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154,777,803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154,777,803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154777803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rPr>
              <w:t xml:space="preserve">154777803 </w:t>
            </w:r>
            <w:r>
              <w:rPr>
                <w:color w:val="000000"/>
                <w:spacing w:val="0"/>
                <w:w w:val="100"/>
                <w:position w:val="0"/>
              </w:rPr>
              <w:t>股</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王廷月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26,917,900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26917900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rPr>
              <w:t xml:space="preserve">26917900 </w:t>
            </w:r>
            <w:r>
              <w:rPr>
                <w:color w:val="000000"/>
                <w:spacing w:val="0"/>
                <w:w w:val="100"/>
                <w:position w:val="0"/>
              </w:rPr>
              <w:t>股</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64,603,000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64603000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rPr>
              <w:t xml:space="preserve">64603000 </w:t>
            </w:r>
            <w:r>
              <w:rPr>
                <w:color w:val="000000"/>
                <w:spacing w:val="0"/>
                <w:w w:val="100"/>
                <w:position w:val="0"/>
              </w:rPr>
              <w:t>股</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钱学宁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13,459,000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13459000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rPr>
              <w:t xml:space="preserve">13459000 </w:t>
            </w:r>
            <w:r>
              <w:rPr>
                <w:color w:val="000000"/>
                <w:spacing w:val="0"/>
                <w:w w:val="100"/>
                <w:position w:val="0"/>
              </w:rPr>
              <w:t>股</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中信建投基金</w:t>
            </w:r>
            <w:r>
              <w:rPr>
                <w:rFonts w:ascii="Times New Roman" w:eastAsia="Times New Roman" w:hAnsi="Times New Roman" w:cs="Times New Roman"/>
                <w:color w:val="000000"/>
                <w:spacing w:val="0"/>
                <w:w w:val="100"/>
                <w:position w:val="0"/>
              </w:rPr>
              <w:t>-</w:t>
            </w:r>
            <w:r>
              <w:rPr>
                <w:color w:val="000000"/>
                <w:spacing w:val="0"/>
                <w:w w:val="100"/>
                <w:position w:val="0"/>
              </w:rPr>
              <w:t>中 信证券</w:t>
            </w:r>
            <w:r>
              <w:rPr>
                <w:rFonts w:ascii="Times New Roman" w:eastAsia="Times New Roman" w:hAnsi="Times New Roman" w:cs="Times New Roman"/>
                <w:color w:val="000000"/>
                <w:spacing w:val="0"/>
                <w:w w:val="100"/>
                <w:position w:val="0"/>
              </w:rPr>
              <w:t>-</w:t>
            </w:r>
            <w:r>
              <w:rPr>
                <w:color w:val="000000"/>
                <w:spacing w:val="0"/>
                <w:w w:val="100"/>
                <w:position w:val="0"/>
              </w:rPr>
              <w:t>中信建投 基金定增</w:t>
            </w:r>
            <w:r>
              <w:rPr>
                <w:rFonts w:ascii="Times New Roman" w:eastAsia="Times New Roman" w:hAnsi="Times New Roman" w:cs="Times New Roman"/>
                <w:color w:val="000000"/>
                <w:spacing w:val="0"/>
                <w:w w:val="100"/>
                <w:position w:val="0"/>
              </w:rPr>
              <w:t>16</w:t>
            </w:r>
            <w:r>
              <w:rPr>
                <w:color w:val="000000"/>
                <w:spacing w:val="0"/>
                <w:w w:val="100"/>
                <w:position w:val="0"/>
              </w:rPr>
              <w:t>号资 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29,609,700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29609700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rPr>
              <w:t xml:space="preserve">6729505 </w:t>
            </w:r>
            <w:r>
              <w:rPr>
                <w:color w:val="000000"/>
                <w:spacing w:val="0"/>
                <w:w w:val="100"/>
                <w:position w:val="0"/>
              </w:rPr>
              <w:t>股</w:t>
            </w:r>
          </w:p>
        </w:tc>
      </w:tr>
      <w:tr>
        <w:trPr>
          <w:trHeight w:val="52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深圳泰丰电子有 限公司破产企业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17,901,671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17,901,671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首发类限售股过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4"/>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51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财产处置专用账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户至此账户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17901671 </w:t>
            </w:r>
            <w:r>
              <w:rPr>
                <w:color w:val="000000"/>
                <w:spacing w:val="0"/>
                <w:w w:val="100"/>
                <w:position w:val="0"/>
              </w:rPr>
              <w:t>股</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深圳市深信泰丰 （集团）股份有 限公司管理人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持有方申请解除 时方可解除</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持有人申请解除 时方可解除</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17,916,723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35,817,745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314,002,175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296,101,153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二</w:t>
      </w:r>
      <w:bookmarkEnd w:id="461"/>
      <w:r>
        <w:rPr>
          <w:color w:val="000000"/>
          <w:spacing w:val="0"/>
          <w:w w:val="100"/>
          <w:position w:val="0"/>
        </w:rPr>
        <w:t>、证券发行与上市情况</w:t>
      </w:r>
      <w:bookmarkEnd w:id="459"/>
      <w:bookmarkEnd w:id="460"/>
      <w:bookmarkEnd w:id="462"/>
    </w:p>
    <w:p>
      <w:pPr>
        <w:pStyle w:val="Style36"/>
        <w:keepNext/>
        <w:keepLines/>
        <w:widowControl w:val="0"/>
        <w:shd w:val="clear" w:color="auto" w:fill="auto"/>
        <w:bidi w:val="0"/>
        <w:spacing w:before="0" w:after="32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1</w:t>
      </w:r>
      <w:bookmarkEnd w:id="465"/>
      <w:r>
        <w:rPr>
          <w:color w:val="000000"/>
          <w:spacing w:val="0"/>
          <w:w w:val="100"/>
          <w:position w:val="0"/>
        </w:rPr>
        <w:t>、报告期内证券发行（不含优先股）情况</w:t>
      </w:r>
      <w:bookmarkEnd w:id="463"/>
      <w:bookmarkEnd w:id="464"/>
      <w:bookmarkEnd w:id="466"/>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675"/>
        <w:gridCol w:w="1291"/>
        <w:gridCol w:w="1296"/>
        <w:gridCol w:w="1661"/>
        <w:gridCol w:w="1296"/>
        <w:gridCol w:w="1306"/>
      </w:tblGrid>
      <w:tr>
        <w:trPr>
          <w:trHeight w:val="60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26"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股票类</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发行股份购买资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296,096,903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296,096,903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可转换公司债券、分离交易的可转换公司债券、公司债类</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其他衍生证券类</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2"/>
        <w:keepNext w:val="0"/>
        <w:keepLines w:val="0"/>
        <w:widowControl w:val="0"/>
        <w:shd w:val="clear" w:color="auto" w:fill="auto"/>
        <w:tabs>
          <w:tab w:pos="5874" w:val="left"/>
        </w:tabs>
        <w:bidi w:val="0"/>
        <w:spacing w:before="0" w:after="0" w:line="353" w:lineRule="exact"/>
        <w:ind w:left="0" w:right="0" w:firstLine="3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日，公司非公开发行股票及重大资产重组事项获得中国证监会《关于核准深圳市深信泰丰（集团）股 份有限公司非公开发行股票及重大资产重组的批复》（证监许可【</w:t>
      </w:r>
      <w:r>
        <w:rPr>
          <w:rFonts w:ascii="Times New Roman" w:eastAsia="Times New Roman" w:hAnsi="Times New Roman" w:cs="Times New Roman"/>
          <w:color w:val="000000"/>
          <w:spacing w:val="0"/>
          <w:w w:val="100"/>
          <w:position w:val="0"/>
        </w:rPr>
        <w:t>2015</w:t>
      </w:r>
      <w:r>
        <w:rPr>
          <w:color w:val="000000"/>
          <w:spacing w:val="0"/>
          <w:w w:val="100"/>
          <w:position w:val="0"/>
        </w:rPr>
        <w:t>】</w:t>
        <w:tab/>
      </w:r>
      <w:r>
        <w:rPr>
          <w:rFonts w:ascii="Times New Roman" w:eastAsia="Times New Roman" w:hAnsi="Times New Roman" w:cs="Times New Roman"/>
          <w:color w:val="000000"/>
          <w:spacing w:val="0"/>
          <w:w w:val="100"/>
          <w:position w:val="0"/>
        </w:rPr>
        <w:t>2952</w:t>
      </w:r>
      <w:r>
        <w:rPr>
          <w:color w:val="000000"/>
          <w:spacing w:val="0"/>
          <w:w w:val="100"/>
          <w:position w:val="0"/>
        </w:rPr>
        <w:t>号）的核准。公司非公开发行股份</w:t>
      </w:r>
    </w:p>
    <w:p>
      <w:pPr>
        <w:pStyle w:val="Style32"/>
        <w:keepNext w:val="0"/>
        <w:keepLines w:val="0"/>
        <w:widowControl w:val="0"/>
        <w:shd w:val="clear" w:color="auto" w:fill="auto"/>
        <w:bidi w:val="0"/>
        <w:spacing w:before="0" w:after="700" w:line="353" w:lineRule="exact"/>
        <w:ind w:left="0" w:right="0" w:firstLine="0"/>
        <w:jc w:val="left"/>
      </w:pPr>
      <w:r>
        <w:rPr>
          <w:rFonts w:ascii="Times New Roman" w:eastAsia="Times New Roman" w:hAnsi="Times New Roman" w:cs="Times New Roman"/>
          <w:color w:val="000000"/>
          <w:spacing w:val="0"/>
          <w:w w:val="100"/>
          <w:position w:val="0"/>
        </w:rPr>
        <w:t>296,096,903</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日，公司在中国证券登记结算有限责任公司深圳分公司办理完相关手续，新增股票于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日在深圳证券交易所上市。</w:t>
      </w:r>
    </w:p>
    <w:p>
      <w:pPr>
        <w:pStyle w:val="Style36"/>
        <w:keepNext/>
        <w:keepLines/>
        <w:widowControl w:val="0"/>
        <w:shd w:val="clear" w:color="auto" w:fill="auto"/>
        <w:bidi w:val="0"/>
        <w:spacing w:before="0" w:after="32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2</w:t>
      </w:r>
      <w:bookmarkEnd w:id="469"/>
      <w:r>
        <w:rPr>
          <w:color w:val="000000"/>
          <w:spacing w:val="0"/>
          <w:w w:val="100"/>
          <w:position w:val="0"/>
        </w:rPr>
        <w:t>、公司股份总数及股东结构的变动、公司资产和负债结构的变动情况说明</w:t>
      </w:r>
      <w:bookmarkEnd w:id="467"/>
      <w:bookmarkEnd w:id="468"/>
      <w:bookmarkEnd w:id="47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日，公司非公开发行股票及重大资产重组事项获得中国证监会《关于核准深圳市深信泰丰（集团）股份有限 公司非公开发行股票及重大资产重组的批复》（证监许可【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2952</w:t>
      </w:r>
      <w:r>
        <w:rPr>
          <w:color w:val="000000"/>
          <w:spacing w:val="0"/>
          <w:w w:val="100"/>
          <w:position w:val="0"/>
        </w:rPr>
        <w:t xml:space="preserve">号）的核准。公司向郭为、王晓岩等发行股份 </w:t>
      </w:r>
      <w:r>
        <w:rPr>
          <w:rFonts w:ascii="Times New Roman" w:eastAsia="Times New Roman" w:hAnsi="Times New Roman" w:cs="Times New Roman"/>
          <w:color w:val="000000"/>
          <w:spacing w:val="0"/>
          <w:w w:val="100"/>
          <w:position w:val="0"/>
        </w:rPr>
        <w:t>296,096,903</w:t>
      </w:r>
      <w:r>
        <w:rPr>
          <w:color w:val="000000"/>
          <w:spacing w:val="0"/>
          <w:w w:val="100"/>
          <w:position w:val="0"/>
        </w:rPr>
        <w:t>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日上市流通，股份总数变更为</w:t>
      </w:r>
      <w:r>
        <w:rPr>
          <w:rFonts w:ascii="Times New Roman" w:eastAsia="Times New Roman" w:hAnsi="Times New Roman" w:cs="Times New Roman"/>
          <w:color w:val="000000"/>
          <w:spacing w:val="0"/>
          <w:w w:val="100"/>
          <w:position w:val="0"/>
        </w:rPr>
        <w:t>654,070,434</w:t>
      </w:r>
      <w:r>
        <w:rPr>
          <w:color w:val="000000"/>
          <w:spacing w:val="0"/>
          <w:w w:val="100"/>
          <w:position w:val="0"/>
        </w:rPr>
        <w:t>股，具体情况如下：</w:t>
      </w:r>
    </w:p>
    <w:p>
      <w:pPr>
        <w:pStyle w:val="Style32"/>
        <w:keepNext w:val="0"/>
        <w:keepLines w:val="0"/>
        <w:widowControl w:val="0"/>
        <w:shd w:val="clear" w:color="auto" w:fill="auto"/>
        <w:bidi w:val="0"/>
        <w:spacing w:before="0" w:line="3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）公司股份总数及股东结构的变动：</w:t>
      </w:r>
    </w:p>
    <w:tbl>
      <w:tblPr>
        <w:tblOverlap w:val="never"/>
        <w:jc w:val="left"/>
        <w:tblLayout w:type="fixed"/>
      </w:tblPr>
      <w:tblGrid>
        <w:gridCol w:w="3264"/>
        <w:gridCol w:w="1325"/>
        <w:gridCol w:w="1090"/>
        <w:gridCol w:w="1613"/>
        <w:gridCol w:w="1022"/>
      </w:tblGrid>
      <w:tr>
        <w:trPr>
          <w:trHeight w:val="389" w:hRule="exact"/>
        </w:trPr>
        <w:tc>
          <w:tcPr>
            <w:vMerge w:val="restart"/>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股份类型</w:t>
            </w:r>
          </w:p>
        </w:tc>
        <w:tc>
          <w:tcPr>
            <w:gridSpan w:val="2"/>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gridSpan w:val="2"/>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35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一、有限售条件的流通股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17,916,723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296,101,153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154,777,803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23.66%</w:t>
            </w:r>
          </w:p>
        </w:tc>
      </w:tr>
      <w:tr>
        <w:trPr>
          <w:trHeight w:val="3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王晓岩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64,603,000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9.88%</w:t>
            </w:r>
          </w:p>
        </w:tc>
      </w:tr>
    </w:tbl>
    <w:p>
      <w:pPr>
        <w:spacing w:lineRule="exact" w:line="1"/>
        <w:rPr>
          <w:sz w:val="2"/>
          <w:szCs w:val="2"/>
        </w:rPr>
      </w:pPr>
      <w:r>
        <w:br w:type="page"/>
      </w:r>
    </w:p>
    <w:tbl>
      <w:tblPr>
        <w:tblOverlap w:val="never"/>
        <w:jc w:val="left"/>
        <w:tblLayout w:type="fixed"/>
      </w:tblPr>
      <w:tblGrid>
        <w:gridCol w:w="3264"/>
        <w:gridCol w:w="1325"/>
        <w:gridCol w:w="1090"/>
        <w:gridCol w:w="1613"/>
        <w:gridCol w:w="1022"/>
      </w:tblGrid>
      <w:tr>
        <w:trPr>
          <w:trHeight w:val="389" w:hRule="exact"/>
        </w:trPr>
        <w:tc>
          <w:tcPr>
            <w:vMerge w:val="restart"/>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股份类型</w:t>
            </w:r>
          </w:p>
        </w:tc>
        <w:tc>
          <w:tcPr>
            <w:gridSpan w:val="2"/>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gridSpan w:val="2"/>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35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王廷月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26,917,900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440"/>
              <w:jc w:val="left"/>
            </w:pPr>
            <w:r>
              <w:rPr>
                <w:color w:val="000000"/>
                <w:spacing w:val="0"/>
                <w:w w:val="100"/>
                <w:position w:val="0"/>
              </w:rPr>
              <w:t>中信建投基金定增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号资产管理计 划</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29,609,700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华润深国投信托有限公司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17,901,671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钱学宁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13,459,000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6,729,500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林小浓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梁侠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二、无限售条件的流通股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340,056,808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357,969,281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54.73%</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其中：中国希格玛有限公司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78,306,968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80,185,746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12.26%</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林小浓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梁侠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其他社会股东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261,746,239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277,783,535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42.47%</w:t>
            </w: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357,973,531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654,070,434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239" w:line="1" w:lineRule="exact"/>
      </w:pPr>
    </w:p>
    <w:p>
      <w:pPr>
        <w:pStyle w:val="Style30"/>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)公司资产和负债结构的变动情况:</w:t>
      </w:r>
    </w:p>
    <w:tbl>
      <w:tblPr>
        <w:tblOverlap w:val="never"/>
        <w:jc w:val="left"/>
        <w:tblLayout w:type="fixed"/>
      </w:tblPr>
      <w:tblGrid>
        <w:gridCol w:w="1829"/>
        <w:gridCol w:w="1704"/>
        <w:gridCol w:w="1454"/>
        <w:gridCol w:w="1661"/>
        <w:gridCol w:w="1666"/>
      </w:tblGrid>
      <w:tr>
        <w:trPr>
          <w:trHeight w:val="389" w:hRule="exact"/>
        </w:trPr>
        <w:tc>
          <w:tcPr>
            <w:vMerge w:val="restart"/>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2"/>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r>
      <w:tr>
        <w:trPr>
          <w:trHeight w:val="590"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占总资产</w:t>
            </w:r>
            <w:r>
              <w:rPr>
                <w:rFonts w:ascii="Times New Roman" w:eastAsia="Times New Roman" w:hAnsi="Times New Roman" w:cs="Times New Roman"/>
                <w:color w:val="000000"/>
                <w:spacing w:val="0"/>
                <w:w w:val="100"/>
                <w:position w:val="0"/>
              </w:rPr>
              <w:t>/</w:t>
            </w:r>
            <w:r>
              <w:rPr>
                <w:color w:val="000000"/>
                <w:spacing w:val="0"/>
                <w:w w:val="100"/>
                <w:position w:val="0"/>
              </w:rPr>
              <w:t>总负债 的比例</w:t>
            </w:r>
          </w:p>
        </w:tc>
        <w:tc>
          <w:tcPr>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占总资产</w:t>
            </w:r>
            <w:r>
              <w:rPr>
                <w:rFonts w:ascii="Times New Roman" w:eastAsia="Times New Roman" w:hAnsi="Times New Roman" w:cs="Times New Roman"/>
                <w:color w:val="000000"/>
                <w:spacing w:val="0"/>
                <w:w w:val="100"/>
                <w:position w:val="0"/>
              </w:rPr>
              <w:t>/</w:t>
            </w:r>
            <w:r>
              <w:rPr>
                <w:color w:val="000000"/>
                <w:spacing w:val="0"/>
                <w:w w:val="100"/>
                <w:position w:val="0"/>
              </w:rPr>
              <w:t>总负债的 比例</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15,607,897,620.96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343,846,577.54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76.75%</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1,429,271,955.00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104,161,721.13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23.25%</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17,037,169,575.96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448,008,298.67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12,761,698,325.21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260,862,830.16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99.94%</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1,624,798,035.36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145,609.62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14,386,496,360.57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261,008,439.78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2,650,673,215.39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186,999,858.89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41.74%</w:t>
            </w:r>
          </w:p>
        </w:tc>
      </w:tr>
      <w:tr>
        <w:trPr>
          <w:trHeight w:val="3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归属母公司所有者权益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2,648,163,405.59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186,999,858.89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41.74%</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3</w:t>
      </w:r>
      <w:bookmarkEnd w:id="473"/>
      <w:r>
        <w:rPr>
          <w:color w:val="000000"/>
          <w:spacing w:val="0"/>
          <w:w w:val="100"/>
          <w:position w:val="0"/>
        </w:rPr>
        <w:t>、现存的内部职工股情况</w:t>
      </w:r>
      <w:bookmarkEnd w:id="471"/>
      <w:bookmarkEnd w:id="472"/>
      <w:bookmarkEnd w:id="474"/>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三</w:t>
      </w:r>
      <w:bookmarkEnd w:id="477"/>
      <w:r>
        <w:rPr>
          <w:color w:val="000000"/>
          <w:spacing w:val="0"/>
          <w:w w:val="100"/>
          <w:position w:val="0"/>
        </w:rPr>
        <w:t>、股东和实际控制人情况</w:t>
      </w:r>
      <w:bookmarkEnd w:id="475"/>
      <w:bookmarkEnd w:id="476"/>
      <w:bookmarkEnd w:id="478"/>
    </w:p>
    <w:p>
      <w:pPr>
        <w:pStyle w:val="Style36"/>
        <w:keepNext/>
        <w:keepLines/>
        <w:widowControl w:val="0"/>
        <w:shd w:val="clear" w:color="auto" w:fill="auto"/>
        <w:bidi w:val="0"/>
        <w:spacing w:before="0" w:after="32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、公司股东数量及持股情况</w:t>
      </w:r>
      <w:bookmarkEnd w:id="479"/>
      <w:bookmarkEnd w:id="480"/>
      <w:bookmarkEnd w:id="482"/>
      <w:r>
        <w:br w:type="page"/>
      </w:r>
    </w:p>
    <w:p>
      <w:pPr>
        <w:pStyle w:val="Style3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单位：股</w:t>
      </w:r>
    </w:p>
    <w:tbl>
      <w:tblPr>
        <w:tblOverlap w:val="never"/>
        <w:jc w:val="center"/>
        <w:tblLayout w:type="fixed"/>
      </w:tblPr>
      <w:tblGrid>
        <w:gridCol w:w="1205"/>
        <w:gridCol w:w="269"/>
        <w:gridCol w:w="1032"/>
        <w:gridCol w:w="816"/>
        <w:gridCol w:w="965"/>
        <w:gridCol w:w="331"/>
        <w:gridCol w:w="739"/>
        <w:gridCol w:w="994"/>
        <w:gridCol w:w="221"/>
        <w:gridCol w:w="912"/>
        <w:gridCol w:w="442"/>
        <w:gridCol w:w="552"/>
        <w:gridCol w:w="422"/>
        <w:gridCol w:w="720"/>
      </w:tblGrid>
      <w:tr>
        <w:trPr>
          <w:trHeight w:val="12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1220" w:right="0" w:firstLine="0"/>
              <w:jc w:val="left"/>
            </w:pPr>
            <w:r>
              <w:rPr>
                <w:color w:val="000000"/>
                <w:spacing w:val="0"/>
                <w:w w:val="100"/>
                <w:position w:val="0"/>
              </w:rPr>
              <w:t>年</w:t>
            </w:r>
          </w:p>
          <w:p>
            <w:pPr>
              <w:pStyle w:val="Style24"/>
              <w:keepNext w:val="0"/>
              <w:keepLines w:val="0"/>
              <w:widowControl w:val="0"/>
              <w:shd w:val="clear" w:color="auto" w:fill="auto"/>
              <w:bidi w:val="0"/>
              <w:spacing w:before="0" w:after="140" w:line="149" w:lineRule="exact"/>
              <w:ind w:left="0" w:right="0" w:firstLine="0"/>
              <w:jc w:val="right"/>
            </w:pPr>
            <w:r>
              <w:rPr>
                <w:color w:val="000000"/>
                <w:spacing w:val="0"/>
                <w:w w:val="100"/>
                <w:position w:val="0"/>
              </w:rPr>
              <w:t xml:space="preserve">露 </w:t>
            </w:r>
            <w:r>
              <w:rPr>
                <w:rFonts w:ascii="Times New Roman" w:eastAsia="Times New Roman" w:hAnsi="Times New Roman" w:cs="Times New Roman"/>
                <w:color w:val="000000"/>
                <w:spacing w:val="0"/>
                <w:w w:val="100"/>
                <w:position w:val="0"/>
              </w:rPr>
              <w:t xml:space="preserve">27,964 </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120" w:line="240" w:lineRule="auto"/>
              <w:ind w:left="1220" w:right="0" w:firstLine="0"/>
              <w:jc w:val="left"/>
            </w:pPr>
            <w:r>
              <w:rPr>
                <w:color w:val="000000"/>
                <w:spacing w:val="0"/>
                <w:w w:val="100"/>
                <w:position w:val="0"/>
              </w:rPr>
              <w:t>股</w:t>
            </w:r>
          </w:p>
        </w:tc>
        <w:tc>
          <w:tcPr>
            <w:tcBorders>
              <w:top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「度报告披 暮日前上一 弓末普通股 殳东总数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31,763</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报告期末表决权恢复的 优先股股东总数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年度报告披 露日前上一 月末表决权 恢复的优先 股股东总数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持有有限售 条件的股份</w:t>
            </w:r>
          </w:p>
          <w:p>
            <w:pPr>
              <w:pStyle w:val="Style24"/>
              <w:keepNext w:val="0"/>
              <w:keepLines w:val="0"/>
              <w:widowControl w:val="0"/>
              <w:shd w:val="clear" w:color="auto" w:fill="auto"/>
              <w:bidi w:val="0"/>
              <w:spacing w:before="0" w:after="0" w:line="235" w:lineRule="exact"/>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持有无限售 条件的股份</w:t>
            </w:r>
          </w:p>
          <w:p>
            <w:pPr>
              <w:pStyle w:val="Style24"/>
              <w:keepNext w:val="0"/>
              <w:keepLines w:val="0"/>
              <w:widowControl w:val="0"/>
              <w:shd w:val="clear" w:color="auto" w:fill="auto"/>
              <w:bidi w:val="0"/>
              <w:spacing w:before="0" w:after="0" w:line="235" w:lineRule="exact"/>
              <w:ind w:left="0" w:right="0" w:firstLine="380"/>
              <w:jc w:val="lef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70"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154,777,803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154,777,803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154,777,803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141,959,200</w:t>
            </w:r>
          </w:p>
        </w:tc>
      </w:tr>
      <w:tr>
        <w:trPr>
          <w:trHeight w:val="55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中国希格玛有限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80,185,746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1,878,778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80,185,746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70,130,000</w:t>
            </w:r>
          </w:p>
        </w:tc>
      </w:tr>
      <w:tr>
        <w:trPr>
          <w:trHeight w:val="3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64,603,000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64,603,000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64,603,000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64,603,000</w:t>
            </w:r>
          </w:p>
        </w:tc>
      </w:tr>
      <w:tr>
        <w:trPr>
          <w:trHeight w:val="10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中信建投基金一 中信证券一中信 建投基金定增</w:t>
            </w:r>
            <w:r>
              <w:rPr>
                <w:rFonts w:ascii="Times New Roman" w:eastAsia="Times New Roman" w:hAnsi="Times New Roman" w:cs="Times New Roman"/>
                <w:color w:val="000000"/>
                <w:spacing w:val="0"/>
                <w:w w:val="100"/>
                <w:position w:val="0"/>
              </w:rPr>
              <w:t xml:space="preserve">16 </w:t>
            </w:r>
            <w:r>
              <w:rPr>
                <w:color w:val="000000"/>
                <w:spacing w:val="0"/>
                <w:w w:val="100"/>
                <w:position w:val="0"/>
              </w:rPr>
              <w:t>号资产管理计划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29,609,700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29,609,700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29,609,700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王廷月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26,917,900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26,917,900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26,917,900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26,917,900</w:t>
            </w:r>
          </w:p>
        </w:tc>
      </w:tr>
      <w:tr>
        <w:trPr>
          <w:trHeight w:val="79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深圳市宝安建设 投资集团有限公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26,261,759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26,261,759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中国银行股份有 限公司一富国改 革动力混合型证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13,637,439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13,637,439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13,637,439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钱学宁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13,459,000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13,459,000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13,459,000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12,285,600</w:t>
            </w:r>
          </w:p>
        </w:tc>
      </w:tr>
      <w:tr>
        <w:trPr>
          <w:trHeight w:val="10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中国建设银行股 份有限公司一富 国城镇发展股票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7,612,483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7,612,483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7,612,483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6,729,500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6,729,500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6,729,500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1,850,000</w:t>
            </w:r>
          </w:p>
        </w:tc>
      </w:tr>
      <w:tr>
        <w:trPr>
          <w:trHeight w:val="55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上述股东关联关系或一致行动 的说明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王晓岩先生与中国希格玛有限公司之间根据《企业会计准则第</w:t>
            </w:r>
            <w:r>
              <w:rPr>
                <w:rFonts w:ascii="Times New Roman" w:eastAsia="Times New Roman" w:hAnsi="Times New Roman" w:cs="Times New Roman"/>
                <w:color w:val="000000"/>
                <w:spacing w:val="0"/>
                <w:w w:val="100"/>
                <w:position w:val="0"/>
              </w:rPr>
              <w:t>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关联方披露》的规 定存在关联关系。中信建投基金一中信证券一中信建投基金定增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号资产管理计划与郭 为先生为一致行动人。未知其余股东之间是否存在关联关系或存在《上市公司收购管理办 法》规定的一致行动人的情形。</w:t>
            </w:r>
          </w:p>
        </w:tc>
      </w:tr>
      <w:tr>
        <w:trPr>
          <w:trHeight w:val="326"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22" w:hRule="exact"/>
        </w:trPr>
        <w:tc>
          <w:tcPr>
            <w:gridSpan w:val="3"/>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gridSpan w:val="3"/>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r>
      <w:tr>
        <w:trPr>
          <w:trHeight w:val="557"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c>
          <w:tcPr>
            <w:gridSpan w:val="7"/>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40" w:right="0" w:firstLine="0"/>
              <w:jc w:val="left"/>
            </w:pPr>
            <w:r>
              <w:rPr>
                <w:rFonts w:ascii="Times New Roman" w:eastAsia="Times New Roman" w:hAnsi="Times New Roman" w:cs="Times New Roman"/>
                <w:color w:val="000000"/>
                <w:spacing w:val="0"/>
                <w:w w:val="100"/>
                <w:position w:val="0"/>
              </w:rPr>
              <w:t>80,185,746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80,185,746</w:t>
            </w:r>
          </w:p>
        </w:tc>
      </w:tr>
      <w:tr>
        <w:trPr>
          <w:trHeight w:val="557"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深圳市宝安建设投资集团有限 公司</w:t>
            </w:r>
          </w:p>
        </w:tc>
        <w:tc>
          <w:tcPr>
            <w:gridSpan w:val="7"/>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40" w:right="0" w:firstLine="0"/>
              <w:jc w:val="left"/>
            </w:pPr>
            <w:r>
              <w:rPr>
                <w:rFonts w:ascii="Times New Roman" w:eastAsia="Times New Roman" w:hAnsi="Times New Roman" w:cs="Times New Roman"/>
                <w:color w:val="000000"/>
                <w:spacing w:val="0"/>
                <w:w w:val="100"/>
                <w:position w:val="0"/>
              </w:rPr>
              <w:t>26,261,759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26,261,759</w:t>
            </w:r>
          </w:p>
        </w:tc>
      </w:tr>
      <w:tr>
        <w:trPr>
          <w:trHeight w:val="557"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中国银行股份有限公司一富国 改革动力混合型证券投资基金</w:t>
            </w:r>
          </w:p>
        </w:tc>
        <w:tc>
          <w:tcPr>
            <w:gridSpan w:val="7"/>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40" w:right="0" w:firstLine="0"/>
              <w:jc w:val="left"/>
            </w:pPr>
            <w:r>
              <w:rPr>
                <w:rFonts w:ascii="Times New Roman" w:eastAsia="Times New Roman" w:hAnsi="Times New Roman" w:cs="Times New Roman"/>
                <w:color w:val="000000"/>
                <w:spacing w:val="0"/>
                <w:w w:val="100"/>
                <w:position w:val="0"/>
              </w:rPr>
              <w:t>13,637,439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13,637,439</w:t>
            </w:r>
          </w:p>
        </w:tc>
      </w:tr>
      <w:tr>
        <w:trPr>
          <w:trHeight w:val="528" w:hRule="exact"/>
        </w:trPr>
        <w:tc>
          <w:tcPr>
            <w:gridSpan w:val="3"/>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中国建设银行股份有限公司一 富国城镇发展股票型证券投资</w:t>
            </w:r>
          </w:p>
        </w:tc>
        <w:tc>
          <w:tcPr>
            <w:gridSpan w:val="7"/>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7,612,483</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7,612,483</w:t>
            </w:r>
          </w:p>
        </w:tc>
      </w:tr>
    </w:tbl>
    <w:p>
      <w:pPr>
        <w:spacing w:lineRule="exact" w:line="1"/>
        <w:rPr>
          <w:sz w:val="2"/>
          <w:szCs w:val="2"/>
        </w:rPr>
      </w:pPr>
      <w:r>
        <w:br w:type="page"/>
      </w:r>
    </w:p>
    <w:tbl>
      <w:tblPr>
        <w:tblOverlap w:val="never"/>
        <w:jc w:val="center"/>
        <w:tblLayout w:type="fixed"/>
      </w:tblPr>
      <w:tblGrid>
        <w:gridCol w:w="2520"/>
        <w:gridCol w:w="4963"/>
        <w:gridCol w:w="994"/>
        <w:gridCol w:w="1142"/>
      </w:tblGrid>
      <w:tr>
        <w:trPr>
          <w:trHeight w:val="28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重庆国投股权投资管理有限公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6,540,700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6,540,700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5,716,918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5,716,918</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太平人寿保险有限公司一分红 一个险分红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4,909,734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4,909,734</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中国信达资产管理股份有限公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4,417,982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4,417,982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郑礼灿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3,394,493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3,394,493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全国社保基金一一四组合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3,333,493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3,333,493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 系或一致行动的说明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王晓岩先生与中国希格玛有限公司之间根据《企业会计准则第</w:t>
            </w:r>
            <w:r>
              <w:rPr>
                <w:rFonts w:ascii="Times New Roman" w:eastAsia="Times New Roman" w:hAnsi="Times New Roman" w:cs="Times New Roman"/>
                <w:color w:val="000000"/>
                <w:spacing w:val="0"/>
                <w:w w:val="100"/>
                <w:position w:val="0"/>
              </w:rPr>
              <w:t>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关联方披露》的规定 存在关联关系。未知其余股东之间是否存在关联关系或存在《上市公司收购管理办法》规 定的一致行动人的情形。</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 券业务情况说明</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widowControl w:val="0"/>
        <w:spacing w:after="299" w:line="1" w:lineRule="exact"/>
      </w:pPr>
    </w:p>
    <w:p>
      <w:pPr>
        <w:pStyle w:val="Style36"/>
        <w:keepNext/>
        <w:keepLines/>
        <w:widowControl w:val="0"/>
        <w:shd w:val="clear" w:color="auto" w:fill="auto"/>
        <w:bidi w:val="0"/>
        <w:spacing w:before="0" w:after="24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、公司控股股东情况</w:t>
      </w:r>
      <w:bookmarkEnd w:id="483"/>
      <w:bookmarkEnd w:id="484"/>
      <w:bookmarkEnd w:id="486"/>
    </w:p>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165"/>
        <w:gridCol w:w="399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神州数码集团股份有限公司董事长</w:t>
            </w:r>
          </w:p>
        </w:tc>
      </w:tr>
      <w:tr>
        <w:trPr>
          <w:trHeight w:val="80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报告期末，郭为直接持有香港上市公司神州控股（</w:t>
            </w:r>
            <w:r>
              <w:rPr>
                <w:rFonts w:ascii="Times New Roman" w:eastAsia="Times New Roman" w:hAnsi="Times New Roman" w:cs="Times New Roman"/>
                <w:color w:val="000000"/>
                <w:spacing w:val="0"/>
                <w:w w:val="100"/>
                <w:position w:val="0"/>
              </w:rPr>
              <w:t>HK.00861</w:t>
            </w:r>
            <w:r>
              <w:rPr>
                <w:color w:val="000000"/>
                <w:spacing w:val="0"/>
                <w:w w:val="100"/>
                <w:position w:val="0"/>
              </w:rPr>
              <w:t>）</w:t>
            </w:r>
            <w:r>
              <w:rPr>
                <w:color w:val="000000"/>
                <w:spacing w:val="0"/>
                <w:w w:val="100"/>
                <w:position w:val="0"/>
              </w:rPr>
              <w:t xml:space="preserve">股份比例 </w:t>
            </w:r>
            <w:r>
              <w:rPr>
                <w:rFonts w:ascii="Times New Roman" w:eastAsia="Times New Roman" w:hAnsi="Times New Roman" w:cs="Times New Roman"/>
                <w:color w:val="000000"/>
                <w:spacing w:val="0"/>
                <w:w w:val="100"/>
                <w:position w:val="0"/>
              </w:rPr>
              <w:t>4.633%</w:t>
            </w:r>
            <w:r>
              <w:rPr>
                <w:color w:val="000000"/>
                <w:spacing w:val="0"/>
                <w:w w:val="100"/>
                <w:position w:val="0"/>
              </w:rPr>
              <w:t>，通过其直接控制的公司</w:t>
            </w:r>
            <w:r>
              <w:rPr>
                <w:rFonts w:ascii="Times New Roman" w:eastAsia="Times New Roman" w:hAnsi="Times New Roman" w:cs="Times New Roman"/>
                <w:color w:val="000000"/>
                <w:spacing w:val="0"/>
                <w:w w:val="100"/>
                <w:position w:val="0"/>
              </w:rPr>
              <w:t>Kosalaki Investment Limited</w:t>
            </w:r>
            <w:r>
              <w:rPr>
                <w:color w:val="000000"/>
                <w:spacing w:val="0"/>
                <w:w w:val="100"/>
                <w:position w:val="0"/>
              </w:rPr>
              <w:t>间接持有神州控 股股份比例</w:t>
            </w:r>
            <w:r>
              <w:rPr>
                <w:rFonts w:ascii="Times New Roman" w:eastAsia="Times New Roman" w:hAnsi="Times New Roman" w:cs="Times New Roman"/>
                <w:color w:val="000000"/>
                <w:spacing w:val="0"/>
                <w:w w:val="100"/>
                <w:position w:val="0"/>
              </w:rPr>
              <w:t>5.622%</w:t>
            </w:r>
            <w:r>
              <w:rPr>
                <w:color w:val="000000"/>
                <w:spacing w:val="0"/>
                <w:w w:val="100"/>
                <w:position w:val="0"/>
              </w:rPr>
              <w:t>，合计持有神州控股股份比例</w:t>
            </w:r>
            <w:r>
              <w:rPr>
                <w:rFonts w:ascii="Times New Roman" w:eastAsia="Times New Roman" w:hAnsi="Times New Roman" w:cs="Times New Roman"/>
                <w:color w:val="000000"/>
                <w:spacing w:val="0"/>
                <w:w w:val="100"/>
                <w:position w:val="0"/>
              </w:rPr>
              <w:t>10.255%</w:t>
            </w:r>
            <w:r>
              <w:rPr>
                <w:color w:val="000000"/>
                <w:spacing w:val="0"/>
                <w:w w:val="100"/>
                <w:position w:val="0"/>
              </w:rPr>
              <w:t>。</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巨潮资讯网《重大资产购买（构成借壳上市）暨非公开发行 股票之非公开发行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股股票发行情况暨新增股份上市报告 书》</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bl>
    <w:p>
      <w:pPr>
        <w:widowControl w:val="0"/>
        <w:spacing w:after="299" w:line="1" w:lineRule="exact"/>
      </w:pPr>
    </w:p>
    <w:p>
      <w:pPr>
        <w:pStyle w:val="Style36"/>
        <w:keepNext/>
        <w:keepLines/>
        <w:widowControl w:val="0"/>
        <w:shd w:val="clear" w:color="auto" w:fill="auto"/>
        <w:bidi w:val="0"/>
        <w:spacing w:before="0" w:after="24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、公司实际控制人情况</w:t>
      </w:r>
      <w:bookmarkEnd w:id="487"/>
      <w:bookmarkEnd w:id="488"/>
      <w:bookmarkEnd w:id="490"/>
    </w:p>
    <w:p>
      <w:pPr>
        <w:pStyle w:val="Style3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31"/>
        <w:gridCol w:w="1992"/>
        <w:gridCol w:w="425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331"/>
        <w:gridCol w:w="625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神州数码集团股份有限公司董事长</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巨潮资讯网《重大资产购买（构成借壳上市）暨非公开发行 股票之非公开发行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股股票发行情况暨新增股份上市报告 书》</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419" w:line="1" w:lineRule="exact"/>
      </w:pPr>
    </w:p>
    <w:tbl>
      <w:tblPr>
        <w:tblOverlap w:val="never"/>
        <w:jc w:val="center"/>
        <w:tblLayout w:type="fixed"/>
      </w:tblPr>
      <w:tblGrid>
        <w:gridCol w:w="490"/>
        <w:gridCol w:w="768"/>
        <w:gridCol w:w="830"/>
        <w:gridCol w:w="494"/>
      </w:tblGrid>
      <w:tr>
        <w:trPr>
          <w:trHeight w:val="533" w:hRule="exact"/>
        </w:trPr>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郭为</w:t>
            </w:r>
          </w:p>
        </w:tc>
        <w:tc>
          <w:tcPr>
            <w:tcBorders>
              <w:left w:val="single" w:sz="4"/>
            </w:tcBorders>
            <w:shd w:val="clear" w:color="auto" w:fill="FFFFFF"/>
            <w:vAlign w:val="top"/>
          </w:tcPr>
          <w:p>
            <w:pPr>
              <w:widowControl w:val="0"/>
              <w:rPr>
                <w:sz w:val="10"/>
                <w:szCs w:val="10"/>
              </w:rPr>
            </w:pPr>
          </w:p>
        </w:tc>
      </w:tr>
      <w:tr>
        <w:trPr>
          <w:trHeight w:val="88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23.66%</w:t>
            </w:r>
          </w:p>
          <w:p>
            <w:pPr>
              <w:pStyle w:val="Style24"/>
              <w:keepNext w:val="0"/>
              <w:keepLines w:val="0"/>
              <w:widowControl w:val="0"/>
              <w:shd w:val="clear" w:color="auto" w:fill="auto"/>
              <w:bidi w:val="0"/>
              <w:spacing w:before="0" w:after="0" w:line="180" w:lineRule="auto"/>
              <w:ind w:left="0" w:right="0" w:firstLine="6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神州数码集团股份有限公司</w:t>
            </w:r>
          </w:p>
        </w:tc>
      </w:tr>
    </w:tbl>
    <w:p>
      <w:pPr>
        <w:widowControl w:val="0"/>
        <w:spacing w:after="419" w:line="1" w:lineRule="exact"/>
      </w:pPr>
    </w:p>
    <w:p>
      <w:pPr>
        <w:pStyle w:val="Style3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4</w:t>
      </w:r>
      <w:bookmarkEnd w:id="49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1"/>
      <w:bookmarkEnd w:id="492"/>
      <w:bookmarkEnd w:id="49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2"/>
        <w:gridCol w:w="1075"/>
        <w:gridCol w:w="1555"/>
        <w:gridCol w:w="1637"/>
        <w:gridCol w:w="2770"/>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96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10037</w:t>
            </w:r>
            <w:r>
              <w:rPr>
                <w:color w:val="000000"/>
                <w:spacing w:val="0"/>
                <w:w w:val="100"/>
                <w:position w:val="0"/>
              </w:rPr>
              <w:t>万人民币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高新技术、新工艺、新产品的开 发、生产、销售；化工原材料（危 险品除外）、建筑材料、计算机软 硬件、电子电器设备、有线通讯设 备、机械设备、家用电器的开发、 生产、销售；装饰装修工程；百货 的销售；上述范围的项目承包、技 术咨询、信息咨询。</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5</w:t>
      </w:r>
      <w:bookmarkEnd w:id="497"/>
      <w:r>
        <w:rPr>
          <w:color w:val="000000"/>
          <w:spacing w:val="0"/>
          <w:w w:val="100"/>
          <w:position w:val="0"/>
        </w:rPr>
        <w:t>、控股股东、实际控制人、重组方及其他承诺主体股份限制减持情况</w:t>
      </w:r>
      <w:bookmarkEnd w:id="495"/>
      <w:bookmarkEnd w:id="496"/>
      <w:bookmarkEnd w:id="498"/>
    </w:p>
    <w:p>
      <w:pPr>
        <w:pStyle w:val="Style32"/>
        <w:keepNext w:val="0"/>
        <w:keepLines w:val="0"/>
        <w:widowControl w:val="0"/>
        <w:shd w:val="clear" w:color="auto" w:fill="auto"/>
        <w:bidi w:val="0"/>
        <w:spacing w:before="0" w:after="30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306" w:right="853" w:bottom="1450" w:left="94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pgSz w:w="11900" w:h="16840"/>
          <w:pgMar w:top="1374" w:right="918" w:bottom="1441" w:left="1032" w:header="0" w:footer="3" w:gutter="0"/>
          <w:cols w:space="720"/>
          <w:noEndnote/>
          <w:rtlGutter w:val="0"/>
          <w:docGrid w:linePitch="360"/>
        </w:sectPr>
      </w:pPr>
    </w:p>
    <w:p>
      <w:pPr>
        <w:widowControl w:val="0"/>
        <w:spacing w:line="1" w:lineRule="exact"/>
      </w:pPr>
      <w:r>
        <mc:AlternateContent>
          <mc:Choice Requires="wps">
            <w:drawing>
              <wp:anchor distT="0" distB="508000" distL="0" distR="0" simplePos="0" relativeHeight="125829378" behindDoc="0" locked="0" layoutInCell="1" allowOverlap="1">
                <wp:simplePos x="0" y="0"/>
                <wp:positionH relativeFrom="page">
                  <wp:posOffset>2732405</wp:posOffset>
                </wp:positionH>
                <wp:positionV relativeFrom="paragraph">
                  <wp:posOffset>0</wp:posOffset>
                </wp:positionV>
                <wp:extent cx="2170430" cy="243840"/>
                <wp:wrapTopAndBottom/>
                <wp:docPr id="33" name="Shape 3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99" w:name="bookmark499"/>
                            <w:bookmarkStart w:id="500" w:name="bookmark500"/>
                            <w:bookmarkStart w:id="501" w:name="bookmark501"/>
                            <w:r>
                              <w:rPr>
                                <w:color w:val="000000"/>
                                <w:spacing w:val="0"/>
                                <w:w w:val="100"/>
                                <w:position w:val="0"/>
                              </w:rPr>
                              <w:t>第七节优先股相关情况</w:t>
                            </w:r>
                            <w:bookmarkEnd w:id="499"/>
                            <w:bookmarkEnd w:id="500"/>
                            <w:bookmarkEnd w:id="501"/>
                          </w:p>
                        </w:txbxContent>
                      </wps:txbx>
                      <wps:bodyPr wrap="none" lIns="0" tIns="0" rIns="0" bIns="0">
                        <a:noAutoFit/>
                      </wps:bodyPr>
                    </wps:wsp>
                  </a:graphicData>
                </a:graphic>
              </wp:anchor>
            </w:drawing>
          </mc:Choice>
          <mc:Fallback>
            <w:pict>
              <v:shape id="_x0000_s1059" type="#_x0000_t202" style="position:absolute;margin-left:215.15000000000001pt;margin-top:0;width:170.90000000000001pt;height:19.199999999999999pt;z-index:-125829375;mso-wrap-distance-left:0;mso-wrap-distance-right:0;mso-wrap-distance-bottom:40.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99" w:name="bookmark499"/>
                      <w:bookmarkStart w:id="500" w:name="bookmark500"/>
                      <w:bookmarkStart w:id="501" w:name="bookmark501"/>
                      <w:r>
                        <w:rPr>
                          <w:color w:val="000000"/>
                          <w:spacing w:val="0"/>
                          <w:w w:val="100"/>
                          <w:position w:val="0"/>
                        </w:rPr>
                        <w:t>第七节优先股相关情况</w:t>
                      </w:r>
                      <w:bookmarkEnd w:id="499"/>
                      <w:bookmarkEnd w:id="500"/>
                      <w:bookmarkEnd w:id="501"/>
                    </w:p>
                  </w:txbxContent>
                </v:textbox>
                <w10:wrap type="topAndBottom" anchorx="page"/>
              </v:shape>
            </w:pict>
          </mc:Fallback>
        </mc:AlternateContent>
      </w:r>
    </w:p>
    <w:p>
      <w:pPr>
        <w:pStyle w:val="Style32"/>
        <w:keepNext w:val="0"/>
        <w:keepLines w:val="0"/>
        <w:widowControl w:val="0"/>
        <w:shd w:val="clear" w:color="auto" w:fill="auto"/>
        <w:bidi w:val="0"/>
        <w:spacing w:before="0" w:after="40" w:line="240" w:lineRule="auto"/>
        <w:ind w:left="0" w:right="0" w:firstLine="0"/>
        <w:jc w:val="left"/>
      </w:pPr>
      <w:bookmarkStart w:id="502" w:name="bookmark50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02"/>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960" w:line="240" w:lineRule="auto"/>
        <w:ind w:left="0" w:right="0" w:firstLine="0"/>
        <w:jc w:val="center"/>
      </w:pPr>
      <w:bookmarkStart w:id="503" w:name="bookmark503"/>
      <w:bookmarkStart w:id="504" w:name="bookmark504"/>
      <w:bookmarkStart w:id="505" w:name="bookmark505"/>
      <w:r>
        <w:rPr>
          <w:color w:val="000000"/>
          <w:spacing w:val="0"/>
          <w:w w:val="100"/>
          <w:position w:val="0"/>
        </w:rPr>
        <w:t>第八节董事、监事、高级管理人员和员工情况</w:t>
      </w:r>
      <w:bookmarkEnd w:id="503"/>
      <w:bookmarkEnd w:id="504"/>
      <w:bookmarkEnd w:id="505"/>
    </w:p>
    <w:p>
      <w:pPr>
        <w:pStyle w:val="Style28"/>
        <w:keepNext/>
        <w:keepLines/>
        <w:widowControl w:val="0"/>
        <w:shd w:val="clear" w:color="auto" w:fill="auto"/>
        <w:bidi w:val="0"/>
        <w:spacing w:before="0" w:after="320" w:line="240" w:lineRule="auto"/>
        <w:ind w:left="0" w:right="0" w:firstLine="0"/>
        <w:jc w:val="left"/>
      </w:pPr>
      <w:bookmarkStart w:id="506" w:name="bookmark506"/>
      <w:bookmarkStart w:id="507" w:name="bookmark507"/>
      <w:bookmarkStart w:id="508" w:name="bookmark508"/>
      <w:bookmarkStart w:id="509" w:name="bookmark509"/>
      <w:bookmarkStart w:id="510" w:name="bookmark510"/>
      <w:r>
        <w:rPr>
          <w:color w:val="000000"/>
          <w:spacing w:val="0"/>
          <w:w w:val="100"/>
          <w:position w:val="0"/>
        </w:rPr>
        <w:t>一</w:t>
      </w:r>
      <w:bookmarkEnd w:id="509"/>
      <w:r>
        <w:rPr>
          <w:color w:val="000000"/>
          <w:spacing w:val="0"/>
          <w:w w:val="100"/>
          <w:position w:val="0"/>
        </w:rPr>
        <w:t>、董事、监事和高级管理人员持股变动</w:t>
      </w:r>
      <w:bookmarkEnd w:id="507"/>
      <w:bookmarkEnd w:id="508"/>
      <w:bookmarkEnd w:id="510"/>
      <w:bookmarkEnd w:id="506"/>
    </w:p>
    <w:tbl>
      <w:tblPr>
        <w:tblOverlap w:val="never"/>
        <w:jc w:val="center"/>
        <w:tblLayout w:type="fixed"/>
      </w:tblPr>
      <w:tblGrid>
        <w:gridCol w:w="802"/>
        <w:gridCol w:w="797"/>
        <w:gridCol w:w="499"/>
        <w:gridCol w:w="797"/>
        <w:gridCol w:w="605"/>
        <w:gridCol w:w="1008"/>
        <w:gridCol w:w="917"/>
        <w:gridCol w:w="797"/>
        <w:gridCol w:w="1152"/>
        <w:gridCol w:w="797"/>
        <w:gridCol w:w="797"/>
        <w:gridCol w:w="970"/>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本期增持股份 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30" w:lineRule="exact"/>
              <w:ind w:left="0" w:right="0" w:firstLine="0"/>
              <w:jc w:val="both"/>
            </w:pPr>
            <w:r>
              <w:rPr>
                <w:color w:val="000000"/>
                <w:spacing w:val="0"/>
                <w:w w:val="100"/>
                <w:position w:val="0"/>
              </w:rPr>
              <w:t>本期减持 股份数量</w:t>
            </w:r>
          </w:p>
          <w:p>
            <w:pPr>
              <w:pStyle w:val="Style24"/>
              <w:keepNext w:val="0"/>
              <w:keepLines w:val="0"/>
              <w:widowControl w:val="0"/>
              <w:shd w:val="clear" w:color="auto" w:fill="auto"/>
              <w:bidi w:val="0"/>
              <w:spacing w:before="0" w:after="0" w:line="230"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其他增减 变动 （股）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期末持股数 （股）</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154,777,803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154,777,803</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64,603,000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闫国荣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9,609,366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9,609,366</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张志强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侯松容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孙丹梅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刘娇娇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闫国荣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1,884,362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1,884,362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叶海强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3,230,122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张赐安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3,230,122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周立达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3,230,122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1,884,362</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晏群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鲁功亮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797"/>
        <w:gridCol w:w="499"/>
        <w:gridCol w:w="797"/>
        <w:gridCol w:w="605"/>
        <w:gridCol w:w="1008"/>
        <w:gridCol w:w="917"/>
        <w:gridCol w:w="797"/>
        <w:gridCol w:w="1152"/>
        <w:gridCol w:w="797"/>
        <w:gridCol w:w="797"/>
        <w:gridCol w:w="970"/>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本期增持股份 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本期减持 股份数量</w:t>
            </w:r>
          </w:p>
          <w:p>
            <w:pPr>
              <w:pStyle w:val="Style24"/>
              <w:keepNext w:val="0"/>
              <w:keepLines w:val="0"/>
              <w:widowControl w:val="0"/>
              <w:shd w:val="clear" w:color="auto" w:fill="auto"/>
              <w:bidi w:val="0"/>
              <w:spacing w:before="0" w:after="0" w:line="230"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其他增减 变动 （股）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期末持股数 （股）</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陈冬元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高良玉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梁缉永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王祖荣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龙志辉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晏群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林小浓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总经理助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孙德志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244,333,621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244,333,621</w:t>
            </w:r>
          </w:p>
        </w:tc>
      </w:tr>
      <w:tr>
        <w:trPr>
          <w:trHeight w:val="566" w:hRule="exact"/>
        </w:trPr>
        <w:tc>
          <w:tcPr>
            <w:gridSpan w:val="1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说明：以上现任高级管理人员通过中信建投基金定增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号资产管理计划认购公司股份，股票发行价格为</w:t>
            </w:r>
            <w:r>
              <w:rPr>
                <w:rFonts w:ascii="Times New Roman" w:eastAsia="Times New Roman" w:hAnsi="Times New Roman" w:cs="Times New Roman"/>
                <w:color w:val="000000"/>
                <w:spacing w:val="0"/>
                <w:w w:val="100"/>
                <w:position w:val="0"/>
              </w:rPr>
              <w:t>7.43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股，其中闫 国荣认购</w:t>
            </w:r>
            <w:r>
              <w:rPr>
                <w:rFonts w:ascii="Times New Roman" w:eastAsia="Times New Roman" w:hAnsi="Times New Roman" w:cs="Times New Roman"/>
                <w:color w:val="000000"/>
                <w:spacing w:val="0"/>
                <w:w w:val="100"/>
                <w:position w:val="0"/>
              </w:rPr>
              <w:t>71,999,423</w:t>
            </w:r>
            <w:r>
              <w:rPr>
                <w:color w:val="000000"/>
                <w:spacing w:val="0"/>
                <w:w w:val="100"/>
                <w:position w:val="0"/>
              </w:rPr>
              <w:t>元，叶海强、张赐安、周立达各认购</w:t>
            </w:r>
            <w:r>
              <w:rPr>
                <w:rFonts w:ascii="Times New Roman" w:eastAsia="Times New Roman" w:hAnsi="Times New Roman" w:cs="Times New Roman"/>
                <w:color w:val="000000"/>
                <w:spacing w:val="0"/>
                <w:w w:val="100"/>
                <w:position w:val="0"/>
              </w:rPr>
              <w:t>23,999,808</w:t>
            </w:r>
            <w:r>
              <w:rPr>
                <w:color w:val="000000"/>
                <w:spacing w:val="0"/>
                <w:w w:val="100"/>
                <w:position w:val="0"/>
              </w:rPr>
              <w:t>元，韩玉华、李岩、张云飞各认购</w:t>
            </w:r>
            <w:r>
              <w:rPr>
                <w:rFonts w:ascii="Times New Roman" w:eastAsia="Times New Roman" w:hAnsi="Times New Roman" w:cs="Times New Roman"/>
                <w:color w:val="000000"/>
                <w:spacing w:val="0"/>
                <w:w w:val="100"/>
                <w:position w:val="0"/>
              </w:rPr>
              <w:t>14,000,808</w:t>
            </w:r>
            <w:r>
              <w:rPr>
                <w:color w:val="000000"/>
                <w:spacing w:val="0"/>
                <w:w w:val="100"/>
                <w:position w:val="0"/>
              </w:rPr>
              <w:t>元。</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二</w:t>
      </w:r>
      <w:bookmarkEnd w:id="513"/>
      <w:r>
        <w:rPr>
          <w:color w:val="000000"/>
          <w:spacing w:val="0"/>
          <w:w w:val="100"/>
          <w:position w:val="0"/>
        </w:rPr>
        <w:t>、公司董事、监事、高级管理人员变动情况</w:t>
      </w:r>
      <w:bookmarkEnd w:id="511"/>
      <w:bookmarkEnd w:id="512"/>
      <w:bookmarkEnd w:id="514"/>
    </w:p>
    <w:tbl>
      <w:tblPr>
        <w:tblOverlap w:val="never"/>
        <w:jc w:val="center"/>
        <w:tblLayout w:type="fixed"/>
      </w:tblPr>
      <w:tblGrid>
        <w:gridCol w:w="1334"/>
        <w:gridCol w:w="1330"/>
        <w:gridCol w:w="1330"/>
        <w:gridCol w:w="1646"/>
        <w:gridCol w:w="4258"/>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晏群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公司重大资产重组，董事会改选</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鲁功亮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公司重大资产重组，董事会改选</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陈冬元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公司重大资产重组，董事会改选</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公司重大资产重组，董事会改选</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高良玉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梁缉永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公司重大资产重组，监事会改选</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王祖荣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公司重大资产重组，监事会改选</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龙志辉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公司重大资产重组，监事会改选</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晏群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公司重大资产重组，高管改选</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公司重大资产重组，高管改选</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公司重大资产重组，高管改选</w:t>
            </w:r>
          </w:p>
        </w:tc>
      </w:tr>
    </w:tbl>
    <w:p>
      <w:pPr>
        <w:widowControl w:val="0"/>
        <w:spacing w:line="1" w:lineRule="exact"/>
      </w:pPr>
    </w:p>
    <w:tbl>
      <w:tblPr>
        <w:tblOverlap w:val="never"/>
        <w:jc w:val="center"/>
        <w:tblLayout w:type="fixed"/>
      </w:tblPr>
      <w:tblGrid>
        <w:gridCol w:w="1334"/>
        <w:gridCol w:w="1330"/>
        <w:gridCol w:w="1330"/>
        <w:gridCol w:w="1646"/>
        <w:gridCol w:w="425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林小浓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公司重大资产重组，高管改选</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孙德志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公司重大资产重组，高管改选</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三</w:t>
      </w:r>
      <w:bookmarkEnd w:id="517"/>
      <w:r>
        <w:rPr>
          <w:color w:val="000000"/>
          <w:spacing w:val="0"/>
          <w:w w:val="100"/>
          <w:position w:val="0"/>
        </w:rPr>
        <w:t>、任职情况</w:t>
      </w:r>
      <w:bookmarkEnd w:id="515"/>
      <w:bookmarkEnd w:id="516"/>
      <w:bookmarkEnd w:id="518"/>
    </w:p>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tabs>
          <w:tab w:pos="471" w:val="left"/>
        </w:tabs>
        <w:bidi w:val="0"/>
        <w:spacing w:before="0" w:after="0" w:line="272" w:lineRule="exact"/>
        <w:ind w:left="0" w:right="0" w:firstLine="0"/>
        <w:jc w:val="left"/>
      </w:pPr>
      <w:bookmarkStart w:id="519" w:name="bookmark519"/>
      <w:r>
        <w:rPr>
          <w:color w:val="000000"/>
          <w:spacing w:val="0"/>
          <w:w w:val="100"/>
          <w:position w:val="0"/>
        </w:rPr>
        <w:t>（</w:t>
      </w:r>
      <w:bookmarkEnd w:id="519"/>
      <w:r>
        <w:rPr>
          <w:color w:val="000000"/>
          <w:spacing w:val="0"/>
          <w:w w:val="100"/>
          <w:position w:val="0"/>
        </w:rPr>
        <w:t>一）</w:t>
        <w:tab/>
        <w:t>董事会成员</w:t>
      </w:r>
    </w:p>
    <w:p>
      <w:pPr>
        <w:pStyle w:val="Style32"/>
        <w:keepNext w:val="0"/>
        <w:keepLines w:val="0"/>
        <w:widowControl w:val="0"/>
        <w:shd w:val="clear" w:color="auto" w:fill="auto"/>
        <w:bidi w:val="0"/>
        <w:spacing w:before="0" w:after="0" w:line="272" w:lineRule="exact"/>
        <w:ind w:left="0" w:right="0" w:firstLine="300"/>
        <w:jc w:val="left"/>
      </w:pPr>
      <w:r>
        <w:rPr>
          <w:color w:val="000000"/>
          <w:spacing w:val="0"/>
          <w:w w:val="100"/>
          <w:position w:val="0"/>
        </w:rPr>
        <w:t>郭为，男，</w:t>
      </w:r>
      <w:r>
        <w:rPr>
          <w:rFonts w:ascii="Times New Roman" w:eastAsia="Times New Roman" w:hAnsi="Times New Roman" w:cs="Times New Roman"/>
          <w:color w:val="000000"/>
          <w:spacing w:val="0"/>
          <w:w w:val="100"/>
          <w:position w:val="0"/>
        </w:rPr>
        <w:t>53</w:t>
      </w:r>
      <w:r>
        <w:rPr>
          <w:color w:val="000000"/>
          <w:spacing w:val="0"/>
          <w:w w:val="100"/>
          <w:position w:val="0"/>
        </w:rPr>
        <w:t>岁，毕业于中国科技大学，获硕士学位。</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月，任神州数码控股有限公司董事局主席兼 首席执行官；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月，任泰康人寿保险股份有限公司独立董事；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月至今，任神州数码控股有限公司 董事局主席；</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月，任鼎捷软件股份有限公司董事；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月至今，任神州数码信息服务股份有限公司 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月至今，任神州数码集团股份有限公司董事长。</w:t>
      </w:r>
    </w:p>
    <w:p>
      <w:pPr>
        <w:pStyle w:val="Style32"/>
        <w:keepNext w:val="0"/>
        <w:keepLines w:val="0"/>
        <w:widowControl w:val="0"/>
        <w:shd w:val="clear" w:color="auto" w:fill="auto"/>
        <w:bidi w:val="0"/>
        <w:spacing w:before="0" w:after="0" w:line="272" w:lineRule="exact"/>
        <w:ind w:left="0" w:right="0" w:firstLine="300"/>
        <w:jc w:val="left"/>
      </w:pPr>
      <w:r>
        <w:rPr>
          <w:color w:val="000000"/>
          <w:spacing w:val="0"/>
          <w:w w:val="100"/>
          <w:position w:val="0"/>
        </w:rPr>
        <w:t>王晓岩，男，</w:t>
      </w:r>
      <w:r>
        <w:rPr>
          <w:rFonts w:ascii="Times New Roman" w:eastAsia="Times New Roman" w:hAnsi="Times New Roman" w:cs="Times New Roman"/>
          <w:color w:val="000000"/>
          <w:spacing w:val="0"/>
          <w:w w:val="100"/>
          <w:position w:val="0"/>
        </w:rPr>
        <w:t>56</w:t>
      </w:r>
      <w:r>
        <w:rPr>
          <w:color w:val="000000"/>
          <w:spacing w:val="0"/>
          <w:w w:val="100"/>
          <w:position w:val="0"/>
        </w:rPr>
        <w:t>岁，毕业于中国人民银行总行金融研究所，获经济学硕士学位。</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月至今，任中国希格玛有限公 司总裁、高级经济师；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月至今，任北京东方太阳城房地产开发有限责任公司董事长；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 集团股份有限公司董事。</w:t>
      </w:r>
    </w:p>
    <w:p>
      <w:pPr>
        <w:pStyle w:val="Style32"/>
        <w:keepNext w:val="0"/>
        <w:keepLines w:val="0"/>
        <w:widowControl w:val="0"/>
        <w:shd w:val="clear" w:color="auto" w:fill="auto"/>
        <w:bidi w:val="0"/>
        <w:spacing w:before="0" w:after="0" w:line="272" w:lineRule="exact"/>
        <w:ind w:left="0" w:right="0" w:firstLine="300"/>
        <w:jc w:val="left"/>
      </w:pPr>
      <w:r>
        <w:rPr>
          <w:color w:val="000000"/>
          <w:spacing w:val="0"/>
          <w:w w:val="100"/>
          <w:position w:val="0"/>
        </w:rPr>
        <w:t>闫国荣，男，</w:t>
      </w:r>
      <w:r>
        <w:rPr>
          <w:color w:val="000000"/>
          <w:spacing w:val="0"/>
          <w:w w:val="100"/>
          <w:position w:val="0"/>
          <w:sz w:val="17"/>
          <w:szCs w:val="17"/>
        </w:rPr>
        <w:t>43</w:t>
      </w:r>
      <w:r>
        <w:rPr>
          <w:color w:val="000000"/>
          <w:spacing w:val="0"/>
          <w:w w:val="100"/>
          <w:position w:val="0"/>
        </w:rPr>
        <w:t>岁，</w:t>
      </w:r>
      <w:r>
        <w:rPr>
          <w:color w:val="000000"/>
          <w:spacing w:val="0"/>
          <w:w w:val="100"/>
          <w:position w:val="0"/>
          <w:sz w:val="17"/>
          <w:szCs w:val="17"/>
        </w:rPr>
        <w:t>1995</w:t>
      </w:r>
      <w:r>
        <w:rPr>
          <w:color w:val="000000"/>
          <w:spacing w:val="0"/>
          <w:w w:val="100"/>
          <w:position w:val="0"/>
        </w:rPr>
        <w:t>年获中国人民大学经济学学士学位，</w:t>
      </w:r>
      <w:r>
        <w:rPr>
          <w:color w:val="000000"/>
          <w:spacing w:val="0"/>
          <w:w w:val="100"/>
          <w:position w:val="0"/>
          <w:sz w:val="17"/>
          <w:szCs w:val="17"/>
        </w:rPr>
        <w:t>2005</w:t>
      </w:r>
      <w:r>
        <w:rPr>
          <w:color w:val="000000"/>
          <w:spacing w:val="0"/>
          <w:w w:val="100"/>
          <w:position w:val="0"/>
        </w:rPr>
        <w:t>年获长江商学院工商管理硕士学位。</w:t>
      </w:r>
      <w:r>
        <w:rPr>
          <w:color w:val="000000"/>
          <w:spacing w:val="0"/>
          <w:w w:val="100"/>
          <w:position w:val="0"/>
          <w:sz w:val="17"/>
          <w:szCs w:val="17"/>
        </w:rPr>
        <w:t>2000</w:t>
      </w:r>
      <w:r>
        <w:rPr>
          <w:color w:val="000000"/>
          <w:spacing w:val="0"/>
          <w:w w:val="100"/>
          <w:position w:val="0"/>
        </w:rPr>
        <w:t>年，联想 集团分拆后，闫国荣先生一直负责标的资产网络、增值业务的日常运营管理工作；历任神码中国副总经理、神码上海总经 理、神码广州董事；</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月至今，任神州数码集团股份有限公司董事。</w:t>
      </w:r>
    </w:p>
    <w:p>
      <w:pPr>
        <w:pStyle w:val="Style32"/>
        <w:keepNext w:val="0"/>
        <w:keepLines w:val="0"/>
        <w:widowControl w:val="0"/>
        <w:shd w:val="clear" w:color="auto" w:fill="auto"/>
        <w:bidi w:val="0"/>
        <w:spacing w:before="0" w:after="0" w:line="272" w:lineRule="exact"/>
        <w:ind w:left="0" w:right="0" w:firstLine="300"/>
        <w:jc w:val="left"/>
      </w:pPr>
      <w:r>
        <w:rPr>
          <w:color w:val="000000"/>
          <w:spacing w:val="0"/>
          <w:w w:val="100"/>
          <w:position w:val="0"/>
        </w:rPr>
        <w:t>郭江，男，</w:t>
      </w:r>
      <w:r>
        <w:rPr>
          <w:rFonts w:ascii="Times New Roman" w:eastAsia="Times New Roman" w:hAnsi="Times New Roman" w:cs="Times New Roman"/>
          <w:color w:val="000000"/>
          <w:spacing w:val="0"/>
          <w:w w:val="100"/>
          <w:position w:val="0"/>
        </w:rPr>
        <w:t>43</w:t>
      </w:r>
      <w:r>
        <w:rPr>
          <w:color w:val="000000"/>
          <w:spacing w:val="0"/>
          <w:w w:val="100"/>
          <w:position w:val="0"/>
        </w:rPr>
        <w:t>岁，</w:t>
      </w:r>
      <w:r>
        <w:rPr>
          <w:rFonts w:ascii="Times New Roman" w:eastAsia="Times New Roman" w:hAnsi="Times New Roman" w:cs="Times New Roman"/>
          <w:color w:val="000000"/>
          <w:spacing w:val="0"/>
          <w:w w:val="100"/>
          <w:position w:val="0"/>
        </w:rPr>
        <w:t>1994</w:t>
      </w:r>
      <w:r>
        <w:rPr>
          <w:color w:val="000000"/>
          <w:spacing w:val="0"/>
          <w:w w:val="100"/>
          <w:position w:val="0"/>
        </w:rPr>
        <w:t>年获黑龙江商学院学士学位。</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月至今，任慧聪网有限公司执行董事兼首席运营官、首席 执行官；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月至今，任科通芯城集团非执行董事；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月至今，任神州数码集团股份有限公司董事。</w:t>
      </w:r>
    </w:p>
    <w:p>
      <w:pPr>
        <w:pStyle w:val="Style32"/>
        <w:keepNext w:val="0"/>
        <w:keepLines w:val="0"/>
        <w:widowControl w:val="0"/>
        <w:shd w:val="clear" w:color="auto" w:fill="auto"/>
        <w:bidi w:val="0"/>
        <w:spacing w:before="0" w:after="0" w:line="272" w:lineRule="exact"/>
        <w:ind w:left="0" w:right="0" w:firstLine="300"/>
        <w:jc w:val="left"/>
      </w:pPr>
      <w:r>
        <w:rPr>
          <w:color w:val="000000"/>
          <w:spacing w:val="0"/>
          <w:w w:val="100"/>
          <w:position w:val="0"/>
        </w:rPr>
        <w:t>朱锦梅，女，</w:t>
      </w:r>
      <w:r>
        <w:rPr>
          <w:rFonts w:ascii="Times New Roman" w:eastAsia="Times New Roman" w:hAnsi="Times New Roman" w:cs="Times New Roman"/>
          <w:color w:val="000000"/>
          <w:spacing w:val="0"/>
          <w:w w:val="100"/>
          <w:position w:val="0"/>
        </w:rPr>
        <w:t>47</w:t>
      </w:r>
      <w:r>
        <w:rPr>
          <w:color w:val="000000"/>
          <w:spacing w:val="0"/>
          <w:w w:val="100"/>
          <w:position w:val="0"/>
        </w:rPr>
        <w:t>岁，毕业于澳大利亚国立大学，获管理学硕士学位。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月至今，任立信会计师事务所北京分所合 伙人；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月至今，任神州数码集团股份有限公司独立董事。</w:t>
      </w:r>
    </w:p>
    <w:p>
      <w:pPr>
        <w:pStyle w:val="Style32"/>
        <w:keepNext w:val="0"/>
        <w:keepLines w:val="0"/>
        <w:widowControl w:val="0"/>
        <w:shd w:val="clear" w:color="auto" w:fill="auto"/>
        <w:bidi w:val="0"/>
        <w:spacing w:before="0" w:after="0" w:line="272" w:lineRule="exact"/>
        <w:ind w:left="0" w:right="0" w:firstLine="300"/>
        <w:jc w:val="left"/>
      </w:pPr>
      <w:r>
        <w:rPr>
          <w:color w:val="000000"/>
          <w:spacing w:val="0"/>
          <w:w w:val="100"/>
          <w:position w:val="0"/>
        </w:rPr>
        <w:t>张志强，男，</w:t>
      </w:r>
      <w:r>
        <w:rPr>
          <w:rFonts w:ascii="Times New Roman" w:eastAsia="Times New Roman" w:hAnsi="Times New Roman" w:cs="Times New Roman"/>
          <w:color w:val="000000"/>
          <w:spacing w:val="0"/>
          <w:w w:val="100"/>
          <w:position w:val="0"/>
        </w:rPr>
        <w:t>52</w:t>
      </w:r>
      <w:r>
        <w:rPr>
          <w:color w:val="000000"/>
          <w:spacing w:val="0"/>
          <w:w w:val="100"/>
          <w:position w:val="0"/>
        </w:rPr>
        <w:t>岁，毕业于清华大学，获博士学位。</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月至今，任北京恒丰保险经纪有限公司董事长；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color w:val="000000"/>
          <w:spacing w:val="0"/>
          <w:w w:val="100"/>
          <w:position w:val="0"/>
          <w:sz w:val="17"/>
          <w:szCs w:val="17"/>
        </w:rPr>
        <w:t xml:space="preserve">5 </w:t>
      </w:r>
      <w:r>
        <w:rPr>
          <w:color w:val="000000"/>
          <w:spacing w:val="0"/>
          <w:w w:val="100"/>
          <w:position w:val="0"/>
        </w:rPr>
        <w:t>月至今，任神州数码集团股份有限公司独立董事。</w:t>
      </w:r>
    </w:p>
    <w:p>
      <w:pPr>
        <w:pStyle w:val="Style32"/>
        <w:keepNext w:val="0"/>
        <w:keepLines w:val="0"/>
        <w:widowControl w:val="0"/>
        <w:shd w:val="clear" w:color="auto" w:fill="auto"/>
        <w:bidi w:val="0"/>
        <w:spacing w:before="0" w:after="220" w:line="272" w:lineRule="exact"/>
        <w:ind w:left="0" w:right="0" w:firstLine="300"/>
        <w:jc w:val="left"/>
      </w:pPr>
      <w:r>
        <w:rPr>
          <w:color w:val="000000"/>
          <w:spacing w:val="0"/>
          <w:w w:val="100"/>
          <w:position w:val="0"/>
        </w:rPr>
        <w:t>侯松容，男，</w:t>
      </w:r>
      <w:r>
        <w:rPr>
          <w:rFonts w:ascii="Times New Roman" w:eastAsia="Times New Roman" w:hAnsi="Times New Roman" w:cs="Times New Roman"/>
          <w:color w:val="000000"/>
          <w:spacing w:val="0"/>
          <w:w w:val="100"/>
          <w:position w:val="0"/>
        </w:rPr>
        <w:t>48</w:t>
      </w:r>
      <w:r>
        <w:rPr>
          <w:color w:val="000000"/>
          <w:spacing w:val="0"/>
          <w:w w:val="100"/>
          <w:position w:val="0"/>
        </w:rPr>
        <w:t>岁，毕业于中国人民大学，获经济学硕士学位。</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月，任华侨城（亚洲）控股有限公 司董事局主席；</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月，任深圳华侨城股份有限公司总裁；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月至今，任上海广电电气（集团）股 份有限公司董事长、总裁；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color w:val="000000"/>
          <w:spacing w:val="0"/>
          <w:w w:val="100"/>
          <w:position w:val="0"/>
          <w:sz w:val="17"/>
          <w:szCs w:val="17"/>
        </w:rPr>
        <w:t>1</w:t>
      </w:r>
      <w:r>
        <w:rPr>
          <w:color w:val="000000"/>
          <w:spacing w:val="0"/>
          <w:w w:val="100"/>
          <w:position w:val="0"/>
        </w:rPr>
        <w:t>月至今，任山东沃华医药科技股份有限公司副董事长；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月至今，任神州数码集 团股份有限公司独立董事。</w:t>
      </w:r>
    </w:p>
    <w:p>
      <w:pPr>
        <w:pStyle w:val="Style32"/>
        <w:keepNext w:val="0"/>
        <w:keepLines w:val="0"/>
        <w:widowControl w:val="0"/>
        <w:shd w:val="clear" w:color="auto" w:fill="auto"/>
        <w:tabs>
          <w:tab w:pos="471" w:val="left"/>
        </w:tabs>
        <w:bidi w:val="0"/>
        <w:spacing w:before="0" w:after="0" w:line="273" w:lineRule="exact"/>
        <w:ind w:left="0" w:right="0" w:firstLine="0"/>
        <w:jc w:val="left"/>
      </w:pPr>
      <w:bookmarkStart w:id="520" w:name="bookmark520"/>
      <w:r>
        <w:rPr>
          <w:color w:val="000000"/>
          <w:spacing w:val="0"/>
          <w:w w:val="100"/>
          <w:position w:val="0"/>
        </w:rPr>
        <w:t>（</w:t>
      </w:r>
      <w:bookmarkEnd w:id="520"/>
      <w:r>
        <w:rPr>
          <w:color w:val="000000"/>
          <w:spacing w:val="0"/>
          <w:w w:val="100"/>
          <w:position w:val="0"/>
        </w:rPr>
        <w:t>二）</w:t>
        <w:tab/>
        <w:t>监事会成员</w:t>
      </w:r>
    </w:p>
    <w:p>
      <w:pPr>
        <w:pStyle w:val="Style32"/>
        <w:keepNext w:val="0"/>
        <w:keepLines w:val="0"/>
        <w:widowControl w:val="0"/>
        <w:shd w:val="clear" w:color="auto" w:fill="auto"/>
        <w:bidi w:val="0"/>
        <w:spacing w:before="0" w:after="0" w:line="273" w:lineRule="exact"/>
        <w:ind w:left="0" w:right="0" w:firstLine="300"/>
        <w:jc w:val="both"/>
      </w:pPr>
      <w:r>
        <w:rPr>
          <w:color w:val="000000"/>
          <w:spacing w:val="0"/>
          <w:w w:val="100"/>
          <w:position w:val="0"/>
        </w:rPr>
        <w:t>张梅，女，</w:t>
      </w:r>
      <w:r>
        <w:rPr>
          <w:color w:val="000000"/>
          <w:spacing w:val="0"/>
          <w:w w:val="100"/>
          <w:position w:val="0"/>
          <w:sz w:val="17"/>
          <w:szCs w:val="17"/>
        </w:rPr>
        <w:t>46</w:t>
      </w:r>
      <w:r>
        <w:rPr>
          <w:color w:val="000000"/>
          <w:spacing w:val="0"/>
          <w:w w:val="100"/>
          <w:position w:val="0"/>
        </w:rPr>
        <w:t>岁，毕业于中央民族大学，获法学学士学位。</w:t>
      </w:r>
      <w:r>
        <w:rPr>
          <w:color w:val="000000"/>
          <w:spacing w:val="0"/>
          <w:w w:val="100"/>
          <w:position w:val="0"/>
          <w:sz w:val="17"/>
          <w:szCs w:val="17"/>
        </w:rPr>
        <w:t>2000</w:t>
      </w:r>
      <w:r>
        <w:rPr>
          <w:color w:val="000000"/>
          <w:spacing w:val="0"/>
          <w:w w:val="100"/>
          <w:position w:val="0"/>
        </w:rPr>
        <w:t>年，联想集团分拆后，张梅女士历任</w:t>
      </w:r>
      <w:r>
        <w:rPr>
          <w:color w:val="000000"/>
          <w:spacing w:val="0"/>
          <w:w w:val="100"/>
          <w:position w:val="0"/>
          <w:sz w:val="17"/>
          <w:szCs w:val="17"/>
        </w:rPr>
        <w:t>LTL</w:t>
      </w:r>
      <w:r>
        <w:rPr>
          <w:color w:val="000000"/>
          <w:spacing w:val="0"/>
          <w:w w:val="100"/>
          <w:position w:val="0"/>
        </w:rPr>
        <w:t>市场实施部总 经理、品牌市场部副总经理、通本市场部总经理、消费电子战略本部企划办主任、神码中国副总经理、神码广州董事、神 码上海董事；</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w:t>
      </w:r>
      <w:r>
        <w:rPr>
          <w:color w:val="000000"/>
          <w:spacing w:val="0"/>
          <w:w w:val="100"/>
          <w:position w:val="0"/>
        </w:rPr>
        <w:t>月至今，任北京神州数码有限公司互联网运营部总经理；</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月至今，任神州数集团股份有限公 司监事会主席。</w:t>
      </w:r>
    </w:p>
    <w:p>
      <w:pPr>
        <w:pStyle w:val="Style32"/>
        <w:keepNext w:val="0"/>
        <w:keepLines w:val="0"/>
        <w:widowControl w:val="0"/>
        <w:shd w:val="clear" w:color="auto" w:fill="auto"/>
        <w:bidi w:val="0"/>
        <w:spacing w:before="0" w:after="0" w:line="273" w:lineRule="exact"/>
        <w:ind w:left="0" w:right="0" w:firstLine="300"/>
        <w:jc w:val="both"/>
      </w:pPr>
      <w:r>
        <w:rPr>
          <w:color w:val="000000"/>
          <w:spacing w:val="0"/>
          <w:w w:val="100"/>
          <w:position w:val="0"/>
        </w:rPr>
        <w:t>孙丹梅，女，</w:t>
      </w:r>
      <w:r>
        <w:rPr>
          <w:rFonts w:ascii="Times New Roman" w:eastAsia="Times New Roman" w:hAnsi="Times New Roman" w:cs="Times New Roman"/>
          <w:color w:val="000000"/>
          <w:spacing w:val="0"/>
          <w:w w:val="100"/>
          <w:position w:val="0"/>
        </w:rPr>
        <w:t>38</w:t>
      </w:r>
      <w:r>
        <w:rPr>
          <w:color w:val="000000"/>
          <w:spacing w:val="0"/>
          <w:w w:val="100"/>
          <w:position w:val="0"/>
        </w:rPr>
        <w:t>岁，毕业于首都经济贸易大学，获会计学硕士学位。</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月，任神州数码控股有限公司 财务部高级经理；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月，任联想控股有限公司财务经理；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月，任北京群柏创联信息 技术有限公司财务总监；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月至今，任神州数码（中国）有限公司财务中心证券部高级经理；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 州数码集团股份有限公司监事。</w:t>
      </w:r>
    </w:p>
    <w:p>
      <w:pPr>
        <w:pStyle w:val="Style32"/>
        <w:keepNext w:val="0"/>
        <w:keepLines w:val="0"/>
        <w:widowControl w:val="0"/>
        <w:shd w:val="clear" w:color="auto" w:fill="auto"/>
        <w:bidi w:val="0"/>
        <w:spacing w:before="0" w:after="320" w:line="272" w:lineRule="exact"/>
        <w:ind w:left="0" w:right="0" w:firstLine="300"/>
        <w:jc w:val="both"/>
      </w:pPr>
      <w:r>
        <w:rPr>
          <w:color w:val="000000"/>
          <w:spacing w:val="0"/>
          <w:w w:val="100"/>
          <w:position w:val="0"/>
        </w:rPr>
        <w:t>刘娇娇，女，</w:t>
      </w:r>
      <w:r>
        <w:rPr>
          <w:rFonts w:ascii="Times New Roman" w:eastAsia="Times New Roman" w:hAnsi="Times New Roman" w:cs="Times New Roman"/>
          <w:color w:val="000000"/>
          <w:spacing w:val="0"/>
          <w:w w:val="100"/>
          <w:position w:val="0"/>
        </w:rPr>
        <w:t>31</w:t>
      </w:r>
      <w:r>
        <w:rPr>
          <w:color w:val="000000"/>
          <w:spacing w:val="0"/>
          <w:w w:val="100"/>
          <w:position w:val="0"/>
        </w:rPr>
        <w:t>岁，毕业于北京理工大学，获会计学硕士学位。</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月，任神州数码控股有限公司财务部 核算专业经理；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月，任神州数码控股有限公司财务部财务经理；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月，任神州数码控 股有限公司审计部高级专业经理；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月至今，任神州数码（中国）有限公司审计部高级经理；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 数码集团股份有限公司职工监事。</w:t>
      </w:r>
    </w:p>
    <w:p>
      <w:pPr>
        <w:pStyle w:val="Style32"/>
        <w:keepNext w:val="0"/>
        <w:keepLines w:val="0"/>
        <w:widowControl w:val="0"/>
        <w:shd w:val="clear" w:color="auto" w:fill="auto"/>
        <w:tabs>
          <w:tab w:pos="471" w:val="left"/>
        </w:tabs>
        <w:bidi w:val="0"/>
        <w:spacing w:before="0" w:after="0" w:line="269" w:lineRule="exact"/>
        <w:ind w:left="0" w:right="0" w:firstLine="0"/>
        <w:jc w:val="left"/>
      </w:pPr>
      <w:bookmarkStart w:id="521" w:name="bookmark521"/>
      <w:r>
        <w:rPr>
          <w:color w:val="000000"/>
          <w:spacing w:val="0"/>
          <w:w w:val="100"/>
          <w:position w:val="0"/>
        </w:rPr>
        <w:t>（</w:t>
      </w:r>
      <w:bookmarkEnd w:id="521"/>
      <w:r>
        <w:rPr>
          <w:color w:val="000000"/>
          <w:spacing w:val="0"/>
          <w:w w:val="100"/>
          <w:position w:val="0"/>
        </w:rPr>
        <w:t>三）</w:t>
        <w:tab/>
        <w:t>高级管理人员</w:t>
      </w:r>
    </w:p>
    <w:p>
      <w:pPr>
        <w:pStyle w:val="Style32"/>
        <w:keepNext w:val="0"/>
        <w:keepLines w:val="0"/>
        <w:widowControl w:val="0"/>
        <w:shd w:val="clear" w:color="auto" w:fill="auto"/>
        <w:bidi w:val="0"/>
        <w:spacing w:before="0" w:after="0" w:line="269" w:lineRule="exact"/>
        <w:ind w:left="0" w:right="0" w:firstLine="380"/>
        <w:jc w:val="left"/>
      </w:pPr>
      <w:r>
        <w:rPr>
          <w:color w:val="000000"/>
          <w:spacing w:val="0"/>
          <w:w w:val="100"/>
          <w:position w:val="0"/>
        </w:rPr>
        <w:t>闫国荣，男，</w:t>
      </w:r>
      <w:r>
        <w:rPr>
          <w:color w:val="000000"/>
          <w:spacing w:val="0"/>
          <w:w w:val="100"/>
          <w:position w:val="0"/>
          <w:sz w:val="17"/>
          <w:szCs w:val="17"/>
        </w:rPr>
        <w:t>43</w:t>
      </w:r>
      <w:r>
        <w:rPr>
          <w:color w:val="000000"/>
          <w:spacing w:val="0"/>
          <w:w w:val="100"/>
          <w:position w:val="0"/>
        </w:rPr>
        <w:t>岁，</w:t>
      </w:r>
      <w:r>
        <w:rPr>
          <w:color w:val="000000"/>
          <w:spacing w:val="0"/>
          <w:w w:val="100"/>
          <w:position w:val="0"/>
          <w:sz w:val="17"/>
          <w:szCs w:val="17"/>
        </w:rPr>
        <w:t>1995</w:t>
      </w:r>
      <w:r>
        <w:rPr>
          <w:color w:val="000000"/>
          <w:spacing w:val="0"/>
          <w:w w:val="100"/>
          <w:position w:val="0"/>
        </w:rPr>
        <w:t>年获中国人民大学经济学学士学位，</w:t>
      </w:r>
      <w:r>
        <w:rPr>
          <w:color w:val="000000"/>
          <w:spacing w:val="0"/>
          <w:w w:val="100"/>
          <w:position w:val="0"/>
          <w:sz w:val="17"/>
          <w:szCs w:val="17"/>
        </w:rPr>
        <w:t>2005</w:t>
      </w:r>
      <w:r>
        <w:rPr>
          <w:color w:val="000000"/>
          <w:spacing w:val="0"/>
          <w:w w:val="100"/>
          <w:position w:val="0"/>
        </w:rPr>
        <w:t>年获长江商学院工商管理硕士学位。</w:t>
      </w:r>
      <w:r>
        <w:rPr>
          <w:color w:val="000000"/>
          <w:spacing w:val="0"/>
          <w:w w:val="100"/>
          <w:position w:val="0"/>
          <w:sz w:val="17"/>
          <w:szCs w:val="17"/>
        </w:rPr>
        <w:t>2000</w:t>
      </w:r>
      <w:r>
        <w:rPr>
          <w:color w:val="000000"/>
          <w:spacing w:val="0"/>
          <w:w w:val="100"/>
          <w:position w:val="0"/>
        </w:rPr>
        <w:t>年，联想 集团分拆后，闫国荣先生一直负责标的资产网络、增值业务的日常运营管理工作；历任神码中国副总经理、神码上海总经 理、神码广州董事；</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月至今，任神州数码集团股份有限公司总裁。</w:t>
      </w:r>
    </w:p>
    <w:p>
      <w:pPr>
        <w:pStyle w:val="Style32"/>
        <w:keepNext w:val="0"/>
        <w:keepLines w:val="0"/>
        <w:widowControl w:val="0"/>
        <w:shd w:val="clear" w:color="auto" w:fill="auto"/>
        <w:bidi w:val="0"/>
        <w:spacing w:before="0" w:after="240" w:line="269" w:lineRule="exact"/>
        <w:ind w:left="0" w:right="0" w:firstLine="380"/>
        <w:jc w:val="left"/>
      </w:pPr>
      <w:r>
        <w:rPr>
          <w:color w:val="000000"/>
          <w:spacing w:val="0"/>
          <w:w w:val="100"/>
          <w:position w:val="0"/>
        </w:rPr>
        <w:t>韩玉华，女，</w:t>
      </w:r>
      <w:r>
        <w:rPr>
          <w:color w:val="000000"/>
          <w:spacing w:val="0"/>
          <w:w w:val="100"/>
          <w:position w:val="0"/>
          <w:sz w:val="17"/>
          <w:szCs w:val="17"/>
        </w:rPr>
        <w:t>49</w:t>
      </w:r>
      <w:r>
        <w:rPr>
          <w:color w:val="000000"/>
          <w:spacing w:val="0"/>
          <w:w w:val="100"/>
          <w:position w:val="0"/>
        </w:rPr>
        <w:t>岁，毕业于深圳大学，获经济学学士学位。</w:t>
      </w:r>
      <w:r>
        <w:rPr>
          <w:color w:val="000000"/>
          <w:spacing w:val="0"/>
          <w:w w:val="100"/>
          <w:position w:val="0"/>
          <w:sz w:val="17"/>
          <w:szCs w:val="17"/>
        </w:rPr>
        <w:t>2000</w:t>
      </w:r>
      <w:r>
        <w:rPr>
          <w:color w:val="000000"/>
          <w:spacing w:val="0"/>
          <w:w w:val="100"/>
          <w:position w:val="0"/>
        </w:rPr>
        <w:t>年，联想集团分拆后，韩玉华女士先后担任神码中国 业务管理部副总经理、神码中国副总经理、神码中国监事、神码上海监事、神码广州监事，负责神州控股下属</w:t>
      </w:r>
      <w:r>
        <w:rPr>
          <w:color w:val="000000"/>
          <w:spacing w:val="0"/>
          <w:w w:val="100"/>
          <w:position w:val="0"/>
          <w:sz w:val="17"/>
          <w:szCs w:val="17"/>
        </w:rPr>
        <w:t>IT</w:t>
      </w:r>
      <w:r>
        <w:rPr>
          <w:color w:val="000000"/>
          <w:spacing w:val="0"/>
          <w:w w:val="100"/>
          <w:position w:val="0"/>
        </w:rPr>
        <w:t>分销业务 公司资产运营管理部工作。</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月至今，任神州数码集团股份有限公司副总裁。</w:t>
      </w:r>
    </w:p>
    <w:p>
      <w:pPr>
        <w:pStyle w:val="Style32"/>
        <w:keepNext w:val="0"/>
        <w:keepLines w:val="0"/>
        <w:widowControl w:val="0"/>
        <w:shd w:val="clear" w:color="auto" w:fill="auto"/>
        <w:bidi w:val="0"/>
        <w:spacing w:before="0" w:after="0" w:line="272" w:lineRule="exact"/>
        <w:ind w:left="0" w:right="0" w:firstLine="380"/>
        <w:jc w:val="left"/>
      </w:pPr>
      <w:r>
        <w:rPr>
          <w:color w:val="000000"/>
          <w:spacing w:val="0"/>
          <w:w w:val="100"/>
          <w:position w:val="0"/>
        </w:rPr>
        <w:t>李岩，女，</w:t>
      </w:r>
      <w:r>
        <w:rPr>
          <w:color w:val="000000"/>
          <w:spacing w:val="0"/>
          <w:w w:val="100"/>
          <w:position w:val="0"/>
          <w:sz w:val="17"/>
          <w:szCs w:val="17"/>
        </w:rPr>
        <w:t>43</w:t>
      </w:r>
      <w:r>
        <w:rPr>
          <w:color w:val="000000"/>
          <w:spacing w:val="0"/>
          <w:w w:val="100"/>
          <w:position w:val="0"/>
        </w:rPr>
        <w:t>岁，毕业于中国社会科学院，获经济学硕士学位。</w:t>
      </w:r>
      <w:r>
        <w:rPr>
          <w:color w:val="000000"/>
          <w:spacing w:val="0"/>
          <w:w w:val="100"/>
          <w:position w:val="0"/>
          <w:sz w:val="17"/>
          <w:szCs w:val="17"/>
        </w:rPr>
        <w:t>2000</w:t>
      </w:r>
      <w:r>
        <w:rPr>
          <w:color w:val="000000"/>
          <w:spacing w:val="0"/>
          <w:w w:val="100"/>
          <w:position w:val="0"/>
        </w:rPr>
        <w:t>年，联想集团分拆后，李岩女士担任神码中国集 团办常务副总经理、品牌市场部和经营管理部总经理、神码中国副总经理、神码广州副总经理、神码上海董事兼副总经 理。</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月至今，任神州数码集团股份有限公司副总裁。</w:t>
      </w:r>
    </w:p>
    <w:p>
      <w:pPr>
        <w:pStyle w:val="Style32"/>
        <w:keepNext w:val="0"/>
        <w:keepLines w:val="0"/>
        <w:widowControl w:val="0"/>
        <w:shd w:val="clear" w:color="auto" w:fill="auto"/>
        <w:bidi w:val="0"/>
        <w:spacing w:before="0" w:after="0" w:line="272" w:lineRule="exact"/>
        <w:ind w:left="0" w:right="0" w:firstLine="380"/>
        <w:jc w:val="left"/>
      </w:pPr>
      <w:r>
        <w:rPr>
          <w:color w:val="000000"/>
          <w:spacing w:val="0"/>
          <w:w w:val="100"/>
          <w:position w:val="0"/>
        </w:rPr>
        <w:t>叶海强，男，</w:t>
      </w:r>
      <w:r>
        <w:rPr>
          <w:color w:val="000000"/>
          <w:spacing w:val="0"/>
          <w:w w:val="100"/>
          <w:position w:val="0"/>
          <w:sz w:val="17"/>
          <w:szCs w:val="17"/>
        </w:rPr>
        <w:t>43</w:t>
      </w:r>
      <w:r>
        <w:rPr>
          <w:color w:val="000000"/>
          <w:spacing w:val="0"/>
          <w:w w:val="100"/>
          <w:position w:val="0"/>
        </w:rPr>
        <w:t>岁，毕业于北京石油化工学院，获管理学学士学位。联想集团分拆后，</w:t>
      </w:r>
      <w:r>
        <w:rPr>
          <w:color w:val="000000"/>
          <w:spacing w:val="0"/>
          <w:w w:val="100"/>
          <w:position w:val="0"/>
          <w:sz w:val="17"/>
          <w:szCs w:val="17"/>
        </w:rPr>
        <w:t>2003</w:t>
      </w:r>
      <w:r>
        <w:rPr>
          <w:color w:val="000000"/>
          <w:spacing w:val="0"/>
          <w:w w:val="100"/>
          <w:position w:val="0"/>
        </w:rPr>
        <w:t>年后，叶海强先生先后担 任神码中国基础网络部副总经理、总经理、神码上海副总经理，并负责增值业务一部的管理工作。</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 数码集团股份有限公司副总裁。</w:t>
      </w:r>
    </w:p>
    <w:p>
      <w:pPr>
        <w:pStyle w:val="Style32"/>
        <w:keepNext w:val="0"/>
        <w:keepLines w:val="0"/>
        <w:widowControl w:val="0"/>
        <w:shd w:val="clear" w:color="auto" w:fill="auto"/>
        <w:bidi w:val="0"/>
        <w:spacing w:before="0" w:after="0" w:line="272" w:lineRule="exact"/>
        <w:ind w:left="0" w:right="0" w:firstLine="380"/>
        <w:jc w:val="left"/>
      </w:pPr>
      <w:r>
        <w:rPr>
          <w:color w:val="000000"/>
          <w:spacing w:val="0"/>
          <w:w w:val="100"/>
          <w:position w:val="0"/>
        </w:rPr>
        <w:t>张赐安，男，</w:t>
      </w:r>
      <w:r>
        <w:rPr>
          <w:color w:val="000000"/>
          <w:spacing w:val="0"/>
          <w:w w:val="100"/>
          <w:position w:val="0"/>
          <w:sz w:val="17"/>
          <w:szCs w:val="17"/>
        </w:rPr>
        <w:t>43</w:t>
      </w:r>
      <w:r>
        <w:rPr>
          <w:color w:val="000000"/>
          <w:spacing w:val="0"/>
          <w:w w:val="100"/>
          <w:position w:val="0"/>
        </w:rPr>
        <w:t>岁，</w:t>
      </w:r>
      <w:r>
        <w:rPr>
          <w:color w:val="000000"/>
          <w:spacing w:val="0"/>
          <w:w w:val="100"/>
          <w:position w:val="0"/>
          <w:sz w:val="17"/>
          <w:szCs w:val="17"/>
        </w:rPr>
        <w:t>1997</w:t>
      </w:r>
      <w:r>
        <w:rPr>
          <w:color w:val="000000"/>
          <w:spacing w:val="0"/>
          <w:w w:val="100"/>
          <w:position w:val="0"/>
        </w:rPr>
        <w:t>年获中国纺织大学学士学位。</w:t>
      </w:r>
      <w:r>
        <w:rPr>
          <w:color w:val="000000"/>
          <w:spacing w:val="0"/>
          <w:w w:val="100"/>
          <w:position w:val="0"/>
          <w:sz w:val="17"/>
          <w:szCs w:val="17"/>
        </w:rPr>
        <w:t>2001</w:t>
      </w:r>
      <w:r>
        <w:rPr>
          <w:color w:val="000000"/>
          <w:spacing w:val="0"/>
          <w:w w:val="100"/>
          <w:position w:val="0"/>
        </w:rPr>
        <w:t>年加入神码中国，主要负责数据存储、安全产品的分销工 作，历任存储事业部高级经理、产品总监、事业部总经理、存储事业本部总经理、神码广州副总经理，并负责增值业务三 部的管理工作。</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月至今，任神州数码集团股份有限公司副总裁。</w:t>
      </w:r>
    </w:p>
    <w:p>
      <w:pPr>
        <w:pStyle w:val="Style32"/>
        <w:keepNext w:val="0"/>
        <w:keepLines w:val="0"/>
        <w:widowControl w:val="0"/>
        <w:shd w:val="clear" w:color="auto" w:fill="auto"/>
        <w:bidi w:val="0"/>
        <w:spacing w:before="0" w:after="0" w:line="272" w:lineRule="exact"/>
        <w:ind w:left="0" w:right="0" w:firstLine="380"/>
        <w:jc w:val="left"/>
      </w:pPr>
      <w:r>
        <w:rPr>
          <w:color w:val="000000"/>
          <w:spacing w:val="0"/>
          <w:w w:val="100"/>
          <w:position w:val="0"/>
        </w:rPr>
        <w:t>周立达，男，</w:t>
      </w:r>
      <w:r>
        <w:rPr>
          <w:color w:val="000000"/>
          <w:spacing w:val="0"/>
          <w:w w:val="100"/>
          <w:position w:val="0"/>
          <w:sz w:val="17"/>
          <w:szCs w:val="17"/>
        </w:rPr>
        <w:t>48</w:t>
      </w:r>
      <w:r>
        <w:rPr>
          <w:color w:val="000000"/>
          <w:spacing w:val="0"/>
          <w:w w:val="100"/>
          <w:position w:val="0"/>
        </w:rPr>
        <w:t>岁，毕业于广州市人民警察学校。</w:t>
      </w:r>
      <w:r>
        <w:rPr>
          <w:color w:val="000000"/>
          <w:spacing w:val="0"/>
          <w:w w:val="100"/>
          <w:position w:val="0"/>
          <w:sz w:val="17"/>
          <w:szCs w:val="17"/>
        </w:rPr>
        <w:t>2003</w:t>
      </w:r>
      <w:r>
        <w:rPr>
          <w:color w:val="000000"/>
          <w:spacing w:val="0"/>
          <w:w w:val="100"/>
          <w:position w:val="0"/>
        </w:rPr>
        <w:t>进入神码中国工作，历任通用软件事业部总经理、</w:t>
      </w:r>
      <w:r>
        <w:rPr>
          <w:color w:val="000000"/>
          <w:spacing w:val="0"/>
          <w:w w:val="100"/>
          <w:position w:val="0"/>
          <w:sz w:val="17"/>
          <w:szCs w:val="17"/>
        </w:rPr>
        <w:t>IBM</w:t>
      </w:r>
      <w:r>
        <w:rPr>
          <w:color w:val="000000"/>
          <w:spacing w:val="0"/>
          <w:w w:val="100"/>
          <w:position w:val="0"/>
        </w:rPr>
        <w:t>事业部总 经理、神码广州副总经理，并负责增值业务二部的管理工作。</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月至今，任神州数码集团股份有限公司副总裁。</w:t>
      </w:r>
    </w:p>
    <w:p>
      <w:pPr>
        <w:pStyle w:val="Style32"/>
        <w:keepNext w:val="0"/>
        <w:keepLines w:val="0"/>
        <w:widowControl w:val="0"/>
        <w:shd w:val="clear" w:color="auto" w:fill="auto"/>
        <w:bidi w:val="0"/>
        <w:spacing w:before="0" w:after="0" w:line="272" w:lineRule="exact"/>
        <w:ind w:left="0" w:right="0" w:firstLine="380"/>
        <w:jc w:val="left"/>
      </w:pPr>
      <w:r>
        <w:rPr>
          <w:color w:val="000000"/>
          <w:spacing w:val="0"/>
          <w:w w:val="100"/>
          <w:position w:val="0"/>
        </w:rPr>
        <w:t>张云飞，女，</w:t>
      </w:r>
      <w:r>
        <w:rPr>
          <w:color w:val="000000"/>
          <w:spacing w:val="0"/>
          <w:w w:val="100"/>
          <w:position w:val="0"/>
          <w:sz w:val="17"/>
          <w:szCs w:val="17"/>
        </w:rPr>
        <w:t>43</w:t>
      </w:r>
      <w:r>
        <w:rPr>
          <w:color w:val="000000"/>
          <w:spacing w:val="0"/>
          <w:w w:val="100"/>
          <w:position w:val="0"/>
        </w:rPr>
        <w:t>岁，毕业于中欧工商管理学院，获工商管理硕士学位。</w:t>
      </w:r>
      <w:r>
        <w:rPr>
          <w:color w:val="000000"/>
          <w:spacing w:val="0"/>
          <w:w w:val="100"/>
          <w:position w:val="0"/>
          <w:sz w:val="17"/>
          <w:szCs w:val="17"/>
        </w:rPr>
        <w:t>2000</w:t>
      </w:r>
      <w:r>
        <w:rPr>
          <w:color w:val="000000"/>
          <w:spacing w:val="0"/>
          <w:w w:val="100"/>
          <w:position w:val="0"/>
        </w:rPr>
        <w:t>年，联想集团拆分后，张云飞女士历任济 南神州数码总经理、神州数码科技发展公司副总经理、神码中国监事、神码广州监事、神码中国财务负责人、神码广州财 务负责人和神码上海财务负责人，神州控股下属</w:t>
      </w:r>
      <w:r>
        <w:rPr>
          <w:color w:val="000000"/>
          <w:spacing w:val="0"/>
          <w:w w:val="100"/>
          <w:position w:val="0"/>
          <w:sz w:val="17"/>
          <w:szCs w:val="17"/>
        </w:rPr>
        <w:t>IT</w:t>
      </w:r>
      <w:r>
        <w:rPr>
          <w:color w:val="000000"/>
          <w:spacing w:val="0"/>
          <w:w w:val="100"/>
          <w:position w:val="0"/>
        </w:rPr>
        <w:t>分销业务公司整体的财务管理工作。</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月至今，任神州数码集团股 份有限公司财务总监。</w:t>
      </w:r>
    </w:p>
    <w:p>
      <w:pPr>
        <w:pStyle w:val="Style32"/>
        <w:keepNext w:val="0"/>
        <w:keepLines w:val="0"/>
        <w:widowControl w:val="0"/>
        <w:shd w:val="clear" w:color="auto" w:fill="auto"/>
        <w:bidi w:val="0"/>
        <w:spacing w:before="0" w:after="500" w:line="272" w:lineRule="exact"/>
        <w:ind w:left="0" w:right="0" w:firstLine="380"/>
        <w:jc w:val="left"/>
      </w:pPr>
      <w:r>
        <w:rPr>
          <w:color w:val="000000"/>
          <w:spacing w:val="0"/>
          <w:w w:val="100"/>
          <w:position w:val="0"/>
        </w:rPr>
        <w:t>王继业，女，</w:t>
      </w:r>
      <w:r>
        <w:rPr>
          <w:color w:val="000000"/>
          <w:spacing w:val="0"/>
          <w:w w:val="100"/>
          <w:position w:val="0"/>
          <w:sz w:val="17"/>
          <w:szCs w:val="17"/>
        </w:rPr>
        <w:t>50</w:t>
      </w:r>
      <w:r>
        <w:rPr>
          <w:color w:val="000000"/>
          <w:spacing w:val="0"/>
          <w:w w:val="100"/>
          <w:position w:val="0"/>
        </w:rPr>
        <w:t>岁，毕业于北方交通大学，获管理学硕士学位。</w:t>
      </w:r>
      <w:r>
        <w:rPr>
          <w:color w:val="000000"/>
          <w:spacing w:val="0"/>
          <w:w w:val="100"/>
          <w:position w:val="0"/>
          <w:sz w:val="17"/>
          <w:szCs w:val="17"/>
        </w:rPr>
        <w:t>2000</w:t>
      </w:r>
      <w:r>
        <w:rPr>
          <w:color w:val="000000"/>
          <w:spacing w:val="0"/>
          <w:w w:val="100"/>
          <w:position w:val="0"/>
        </w:rPr>
        <w:t>年联想集团分拆后，王继业女士担任神码上海及 各下属平台公司监事、神码中国会计主管、神码中国、神码广州和神码上海三家公司的董事会秘书、会计主管和各下属平 台公司监事职务，神州控股下属</w:t>
      </w:r>
      <w:r>
        <w:rPr>
          <w:color w:val="000000"/>
          <w:spacing w:val="0"/>
          <w:w w:val="100"/>
          <w:position w:val="0"/>
          <w:sz w:val="17"/>
          <w:szCs w:val="17"/>
        </w:rPr>
        <w:t>IT</w:t>
      </w:r>
      <w:r>
        <w:rPr>
          <w:color w:val="000000"/>
          <w:spacing w:val="0"/>
          <w:w w:val="100"/>
          <w:position w:val="0"/>
        </w:rPr>
        <w:t>分销业务公司财务核算工作和董事会管理等工作。</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月至今，任神州数码集团股份 有限公司董事会秘书。</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3230"/>
        <w:gridCol w:w="1075"/>
        <w:gridCol w:w="1214"/>
        <w:gridCol w:w="1349"/>
        <w:gridCol w:w="1493"/>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在股东单位是否 领取报酬津贴</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总裁、高级 经济师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2558"/>
        <w:gridCol w:w="1094"/>
        <w:gridCol w:w="1598"/>
        <w:gridCol w:w="1704"/>
        <w:gridCol w:w="1382"/>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在其他单位是否 领取报酬津贴</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董事局主席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慧聪网有限公司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北京首钢基金有限公司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中国南方航空股份有限公司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非执行独立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神州数码信息服务股份有限公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北京东方太阳城房地产开发有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闫国荣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成都神州数码索贝科技有限公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慧聪网有限公司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首席运营 官、首席执 行官兼执行 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2558"/>
        <w:gridCol w:w="1094"/>
        <w:gridCol w:w="1598"/>
        <w:gridCol w:w="1704"/>
        <w:gridCol w:w="1382"/>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在其他单位是否 领取报酬津贴</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北京慧聪国际资讯有限公司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pPr>
            <w:r>
              <w:rPr>
                <w:color w:val="000000"/>
                <w:spacing w:val="0"/>
                <w:w w:val="100"/>
                <w:position w:val="0"/>
              </w:rPr>
              <w:t>副总裁、董 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科通芯城集团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立信会计师事务所天津分所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内核独立委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北京市地铁运营有限公司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外派董事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国家开发银行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审贷委独立 委员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北京中长石基信息技术股份有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侯松容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上海广电电气（集团）股份有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董事长、总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侯松容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上海通用电气广电有限公司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侯松容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上海通用电气开关有限公司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侯松容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山东沃华医药科技股份有限公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侯松容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深圳市政协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常委、经纪 届别召集人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北京中延汽车咨询服务有限公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北京一路同行网络科技有限公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北京拼拼网络科技有限公司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北京恒丰保险经纪有限公司董 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北京神州数码置业发展有限公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北京神州数码置业发展有限公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嘉和美康（北京）科技股份有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59" w:line="1" w:lineRule="exact"/>
      </w:pPr>
    </w:p>
    <w:p>
      <w:pPr>
        <w:pStyle w:val="Style28"/>
        <w:keepNext/>
        <w:keepLines/>
        <w:widowControl w:val="0"/>
        <w:shd w:val="clear" w:color="auto" w:fill="auto"/>
        <w:bidi w:val="0"/>
        <w:spacing w:before="0" w:after="2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四</w:t>
      </w:r>
      <w:bookmarkEnd w:id="524"/>
      <w:r>
        <w:rPr>
          <w:color w:val="000000"/>
          <w:spacing w:val="0"/>
          <w:w w:val="100"/>
          <w:position w:val="0"/>
        </w:rPr>
        <w:t>、董事、监事、高级管理人员报酬情况</w:t>
      </w:r>
      <w:bookmarkEnd w:id="522"/>
      <w:bookmarkEnd w:id="523"/>
      <w:bookmarkEnd w:id="525"/>
    </w:p>
    <w:p>
      <w:pPr>
        <w:pStyle w:val="Style32"/>
        <w:keepNext w:val="0"/>
        <w:keepLines w:val="0"/>
        <w:widowControl w:val="0"/>
        <w:shd w:val="clear" w:color="auto" w:fill="auto"/>
        <w:bidi w:val="0"/>
        <w:spacing w:before="0" w:after="80" w:line="239"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tabs>
          <w:tab w:pos="365" w:val="left"/>
        </w:tabs>
        <w:bidi w:val="0"/>
        <w:spacing w:before="0" w:after="0" w:line="239" w:lineRule="exact"/>
        <w:ind w:left="0" w:right="0" w:firstLine="0"/>
        <w:jc w:val="left"/>
      </w:pPr>
      <w:bookmarkStart w:id="526" w:name="bookmark526"/>
      <w:r>
        <w:rPr>
          <w:rFonts w:ascii="Times New Roman" w:eastAsia="Times New Roman" w:hAnsi="Times New Roman" w:cs="Times New Roman"/>
          <w:color w:val="000000"/>
          <w:spacing w:val="0"/>
          <w:w w:val="100"/>
          <w:position w:val="0"/>
          <w:sz w:val="20"/>
          <w:szCs w:val="20"/>
        </w:rPr>
        <w:t>1</w:t>
      </w:r>
      <w:bookmarkEnd w:id="526"/>
      <w:r>
        <w:rPr>
          <w:rFonts w:ascii="SimHei" w:eastAsia="SimHei" w:hAnsi="SimHei" w:cs="SimHei"/>
          <w:color w:val="000000"/>
          <w:spacing w:val="0"/>
          <w:w w:val="100"/>
          <w:position w:val="0"/>
          <w:sz w:val="14"/>
          <w:szCs w:val="14"/>
        </w:rPr>
        <w:t>、</w:t>
        <w:tab/>
      </w:r>
      <w:r>
        <w:rPr>
          <w:color w:val="000000"/>
          <w:spacing w:val="0"/>
          <w:w w:val="100"/>
          <w:position w:val="0"/>
        </w:rPr>
        <w:t>董事、监事、高级管理人员津贴（薪酬）根据岗位责任，参考公司业绩、行业水平等综合确认：在公司担任具体管理 职务的董事、监事、高级管理人员依据其在公司的任职岗位领取相应薪酬</w:t>
      </w:r>
      <w:r>
        <w:rPr>
          <w:color w:val="000000"/>
          <w:spacing w:val="0"/>
          <w:w w:val="100"/>
          <w:position w:val="0"/>
        </w:rPr>
        <w:t>，</w:t>
      </w:r>
      <w:r>
        <w:rPr>
          <w:color w:val="000000"/>
          <w:spacing w:val="0"/>
          <w:w w:val="100"/>
          <w:position w:val="0"/>
        </w:rPr>
        <w:t>并经董事会薪酬与考核委员会考评；不在公司 担任具体管理职务的董事、监事，不在本公司领取薪酬；独立董事依据公司董事会或股东大会决议中的相关规定领取独立 董事津贴。</w:t>
      </w:r>
    </w:p>
    <w:p>
      <w:pPr>
        <w:pStyle w:val="Style32"/>
        <w:keepNext w:val="0"/>
        <w:keepLines w:val="0"/>
        <w:widowControl w:val="0"/>
        <w:shd w:val="clear" w:color="auto" w:fill="auto"/>
        <w:tabs>
          <w:tab w:pos="350" w:val="left"/>
        </w:tabs>
        <w:bidi w:val="0"/>
        <w:spacing w:before="0" w:after="280" w:line="239" w:lineRule="exact"/>
        <w:ind w:left="0" w:right="0" w:firstLine="0"/>
        <w:jc w:val="left"/>
      </w:pPr>
      <w:bookmarkStart w:id="527" w:name="bookmark527"/>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公司严格按照董事、监事、高级管理人员津贴（薪酬）的决策程序与确定依据支付津贴（薪酬），实际支付情况详见下 表。</w:t>
      </w: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公司报告期内董事、监事和高级管理人员报酬情况</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3"/>
        <w:gridCol w:w="1368"/>
        <w:gridCol w:w="1368"/>
        <w:gridCol w:w="1368"/>
        <w:gridCol w:w="1378"/>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是否在公司关联 方获取报酬</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闫国荣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侯松容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33.53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刘娇娇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张赐安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孙德志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晏群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龙志辉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林小浓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高良玉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王祖荣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鲁功亮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陈冬元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梁缉永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1,849.09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五</w:t>
      </w:r>
      <w:bookmarkEnd w:id="530"/>
      <w:r>
        <w:rPr>
          <w:color w:val="000000"/>
          <w:spacing w:val="0"/>
          <w:w w:val="100"/>
          <w:position w:val="0"/>
        </w:rPr>
        <w:t>、公司员工情况</w:t>
      </w:r>
      <w:bookmarkEnd w:id="528"/>
      <w:bookmarkEnd w:id="529"/>
      <w:bookmarkEnd w:id="531"/>
    </w:p>
    <w:p>
      <w:pPr>
        <w:pStyle w:val="Style36"/>
        <w:keepNext/>
        <w:keepLines/>
        <w:widowControl w:val="0"/>
        <w:shd w:val="clear" w:color="auto" w:fill="auto"/>
        <w:bidi w:val="0"/>
        <w:spacing w:before="0" w:after="30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、员工数量、专业构成及教育程度</w:t>
      </w:r>
      <w:bookmarkEnd w:id="532"/>
      <w:bookmarkEnd w:id="533"/>
      <w:bookmarkEnd w:id="535"/>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3,095</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4,217</w:t>
            </w:r>
          </w:p>
        </w:tc>
      </w:tr>
    </w:tbl>
    <w:p>
      <w:pPr>
        <w:widowControl w:val="0"/>
        <w:spacing w:line="1" w:lineRule="exact"/>
      </w:pPr>
      <w:r>
        <w:br w:type="page"/>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4,217</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4,217</w:t>
            </w:r>
          </w:p>
        </w:tc>
      </w:tr>
      <w:tr>
        <w:trPr>
          <w:trHeight w:val="322"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4,217</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、薪酬政策</w:t>
      </w:r>
      <w:bookmarkEnd w:id="536"/>
      <w:bookmarkEnd w:id="537"/>
      <w:bookmarkEnd w:id="539"/>
    </w:p>
    <w:p>
      <w:pPr>
        <w:pStyle w:val="Style32"/>
        <w:keepNext w:val="0"/>
        <w:keepLines w:val="0"/>
        <w:widowControl w:val="0"/>
        <w:shd w:val="clear" w:color="auto" w:fill="auto"/>
        <w:bidi w:val="0"/>
        <w:spacing w:before="0" w:after="40" w:line="230" w:lineRule="exact"/>
        <w:ind w:left="0" w:right="0" w:firstLine="380"/>
        <w:jc w:val="both"/>
      </w:pPr>
      <w:r>
        <w:rPr>
          <w:color w:val="000000"/>
          <w:spacing w:val="0"/>
          <w:w w:val="100"/>
          <w:position w:val="0"/>
        </w:rPr>
        <w:t>根据公司战略需求，制定薪酬政策，将员工个人业绩与公司整体目标结合起来，共同分享发展所带来的收益，薪酬体系 与市场接轨，激发员工活力，根据岗位价值、技能与业绩贡献给与管理者和员工应有的回报。</w:t>
      </w:r>
    </w:p>
    <w:p>
      <w:pPr>
        <w:pStyle w:val="Style32"/>
        <w:keepNext w:val="0"/>
        <w:keepLines w:val="0"/>
        <w:widowControl w:val="0"/>
        <w:numPr>
          <w:ilvl w:val="0"/>
          <w:numId w:val="15"/>
        </w:numPr>
        <w:shd w:val="clear" w:color="auto" w:fill="auto"/>
        <w:tabs>
          <w:tab w:pos="322" w:val="left"/>
        </w:tabs>
        <w:bidi w:val="0"/>
        <w:spacing w:before="0" w:after="40" w:line="235" w:lineRule="exact"/>
        <w:ind w:left="0" w:right="0" w:firstLine="0"/>
        <w:jc w:val="left"/>
      </w:pPr>
      <w:bookmarkStart w:id="540" w:name="bookmark540"/>
      <w:bookmarkEnd w:id="540"/>
      <w:r>
        <w:rPr>
          <w:color w:val="000000"/>
          <w:spacing w:val="0"/>
          <w:w w:val="100"/>
          <w:position w:val="0"/>
        </w:rPr>
        <w:t>年初根据收入利润目标，制定整体人力资源预算边界，经总裁室批准后执行</w:t>
      </w:r>
    </w:p>
    <w:p>
      <w:pPr>
        <w:pStyle w:val="Style32"/>
        <w:keepNext w:val="0"/>
        <w:keepLines w:val="0"/>
        <w:widowControl w:val="0"/>
        <w:numPr>
          <w:ilvl w:val="0"/>
          <w:numId w:val="15"/>
        </w:numPr>
        <w:shd w:val="clear" w:color="auto" w:fill="auto"/>
        <w:tabs>
          <w:tab w:pos="322" w:val="left"/>
        </w:tabs>
        <w:bidi w:val="0"/>
        <w:spacing w:before="0" w:after="40" w:line="235" w:lineRule="exact"/>
        <w:ind w:left="0" w:right="0" w:firstLine="0"/>
        <w:jc w:val="left"/>
      </w:pPr>
      <w:bookmarkStart w:id="541" w:name="bookmark541"/>
      <w:bookmarkEnd w:id="541"/>
      <w:r>
        <w:rPr>
          <w:color w:val="000000"/>
          <w:spacing w:val="0"/>
          <w:w w:val="100"/>
          <w:position w:val="0"/>
        </w:rPr>
        <w:t>根据岗位性质和工作特点，实行不同的薪酬制度，包括年薪制、固定工薪、绩效工薪、底薪加提成制等等</w:t>
      </w:r>
    </w:p>
    <w:p>
      <w:pPr>
        <w:pStyle w:val="Style32"/>
        <w:keepNext w:val="0"/>
        <w:keepLines w:val="0"/>
        <w:widowControl w:val="0"/>
        <w:numPr>
          <w:ilvl w:val="0"/>
          <w:numId w:val="15"/>
        </w:numPr>
        <w:shd w:val="clear" w:color="auto" w:fill="auto"/>
        <w:tabs>
          <w:tab w:pos="322" w:val="left"/>
        </w:tabs>
        <w:bidi w:val="0"/>
        <w:spacing w:before="0" w:after="40" w:line="235" w:lineRule="exact"/>
        <w:ind w:left="0" w:right="0" w:firstLine="0"/>
        <w:jc w:val="left"/>
      </w:pPr>
      <w:bookmarkStart w:id="542" w:name="bookmark542"/>
      <w:bookmarkEnd w:id="542"/>
      <w:r>
        <w:rPr>
          <w:color w:val="000000"/>
          <w:spacing w:val="0"/>
          <w:w w:val="100"/>
          <w:position w:val="0"/>
        </w:rPr>
        <w:t>层层分解年度目标，确定团队及个人绩效目标，签订业绩协议书，明确任务指标及考核激励方式</w:t>
      </w:r>
    </w:p>
    <w:p>
      <w:pPr>
        <w:pStyle w:val="Style32"/>
        <w:keepNext w:val="0"/>
        <w:keepLines w:val="0"/>
        <w:widowControl w:val="0"/>
        <w:numPr>
          <w:ilvl w:val="0"/>
          <w:numId w:val="15"/>
        </w:numPr>
        <w:shd w:val="clear" w:color="auto" w:fill="auto"/>
        <w:tabs>
          <w:tab w:pos="322" w:val="left"/>
        </w:tabs>
        <w:bidi w:val="0"/>
        <w:spacing w:before="0" w:after="580" w:line="240" w:lineRule="exact"/>
        <w:ind w:left="380" w:right="0" w:hanging="380"/>
        <w:jc w:val="left"/>
      </w:pPr>
      <w:bookmarkStart w:id="543" w:name="bookmark543"/>
      <w:bookmarkEnd w:id="543"/>
      <w:r>
        <w:rPr>
          <w:color w:val="000000"/>
          <w:spacing w:val="0"/>
          <w:w w:val="100"/>
          <w:position w:val="0"/>
        </w:rPr>
        <w:t>根据业绩达成，核定个人绩效表现，给予激励兑现，过程中依据个人表现的优异程度，确定调薪空间，激励优秀的员工， 发挥更大的空间</w:t>
      </w:r>
    </w:p>
    <w:p>
      <w:pPr>
        <w:pStyle w:val="Style36"/>
        <w:keepNext/>
        <w:keepLines/>
        <w:widowControl w:val="0"/>
        <w:shd w:val="clear" w:color="auto" w:fill="auto"/>
        <w:bidi w:val="0"/>
        <w:spacing w:before="0" w:after="30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3</w:t>
      </w:r>
      <w:bookmarkEnd w:id="546"/>
      <w:r>
        <w:rPr>
          <w:color w:val="000000"/>
          <w:spacing w:val="0"/>
          <w:w w:val="100"/>
          <w:position w:val="0"/>
        </w:rPr>
        <w:t>、培训计划</w:t>
      </w:r>
      <w:bookmarkEnd w:id="544"/>
      <w:bookmarkEnd w:id="545"/>
      <w:bookmarkEnd w:id="547"/>
    </w:p>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年战略目标，神州数码集团制定了培训计划全景图：</w:t>
      </w:r>
    </w:p>
    <w:p>
      <w:pPr>
        <w:pStyle w:val="Style32"/>
        <w:keepNext w:val="0"/>
        <w:keepLines w:val="0"/>
        <w:widowControl w:val="0"/>
        <w:shd w:val="clear" w:color="auto" w:fill="auto"/>
        <w:tabs>
          <w:tab w:pos="334" w:val="left"/>
        </w:tabs>
        <w:bidi w:val="0"/>
        <w:spacing w:before="0" w:after="40" w:line="240" w:lineRule="auto"/>
        <w:ind w:left="0" w:right="0" w:firstLine="0"/>
        <w:jc w:val="left"/>
      </w:pPr>
      <w:bookmarkStart w:id="548" w:name="bookmark548"/>
      <w:r>
        <w:rPr>
          <w:color w:val="000000"/>
          <w:spacing w:val="0"/>
          <w:w w:val="100"/>
          <w:position w:val="0"/>
          <w:sz w:val="17"/>
          <w:szCs w:val="17"/>
        </w:rPr>
        <w:t>1</w:t>
      </w:r>
      <w:bookmarkEnd w:id="548"/>
      <w:r>
        <w:rPr>
          <w:color w:val="000000"/>
          <w:spacing w:val="0"/>
          <w:w w:val="100"/>
          <w:position w:val="0"/>
        </w:rPr>
        <w:t>、</w:t>
        <w:tab/>
        <w:t>从新人培养项目、人才梯队培养两个维度分别设定与岗位需求相匹配的培训课程，提升岗位能力及管理能力</w:t>
      </w:r>
    </w:p>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计划做</w:t>
      </w:r>
      <w:r>
        <w:rPr>
          <w:rFonts w:ascii="Times New Roman" w:eastAsia="Times New Roman" w:hAnsi="Times New Roman" w:cs="Times New Roman"/>
          <w:color w:val="000000"/>
          <w:spacing w:val="0"/>
          <w:w w:val="100"/>
          <w:position w:val="0"/>
        </w:rPr>
        <w:t>30</w:t>
      </w:r>
      <w:r>
        <w:rPr>
          <w:color w:val="000000"/>
          <w:spacing w:val="0"/>
          <w:w w:val="100"/>
          <w:position w:val="0"/>
        </w:rPr>
        <w:t>期，涵盖人数</w:t>
      </w:r>
      <w:r>
        <w:rPr>
          <w:rFonts w:ascii="Times New Roman" w:eastAsia="Times New Roman" w:hAnsi="Times New Roman" w:cs="Times New Roman"/>
          <w:color w:val="000000"/>
          <w:spacing w:val="0"/>
          <w:w w:val="100"/>
          <w:position w:val="0"/>
        </w:rPr>
        <w:t>1800</w:t>
      </w:r>
      <w:r>
        <w:rPr>
          <w:color w:val="000000"/>
          <w:spacing w:val="0"/>
          <w:w w:val="100"/>
          <w:position w:val="0"/>
        </w:rPr>
        <w:t>人</w:t>
      </w:r>
    </w:p>
    <w:p>
      <w:pPr>
        <w:pStyle w:val="Style32"/>
        <w:keepNext w:val="0"/>
        <w:keepLines w:val="0"/>
        <w:widowControl w:val="0"/>
        <w:shd w:val="clear" w:color="auto" w:fill="auto"/>
        <w:tabs>
          <w:tab w:pos="344" w:val="left"/>
        </w:tabs>
        <w:bidi w:val="0"/>
        <w:spacing w:before="0" w:after="40" w:line="240" w:lineRule="auto"/>
        <w:ind w:left="0" w:right="0" w:firstLine="0"/>
        <w:jc w:val="left"/>
      </w:pPr>
      <w:bookmarkStart w:id="549" w:name="bookmark549"/>
      <w:r>
        <w:rPr>
          <w:color w:val="000000"/>
          <w:spacing w:val="0"/>
          <w:w w:val="100"/>
          <w:position w:val="0"/>
          <w:sz w:val="17"/>
          <w:szCs w:val="17"/>
        </w:rPr>
        <w:t>2</w:t>
      </w:r>
      <w:bookmarkEnd w:id="549"/>
      <w:r>
        <w:rPr>
          <w:color w:val="000000"/>
          <w:spacing w:val="0"/>
          <w:w w:val="100"/>
          <w:position w:val="0"/>
        </w:rPr>
        <w:t>、</w:t>
        <w:tab/>
        <w:t>设立通用技能类培训，给员工赋能，更好的胜任本岗位工作</w:t>
      </w:r>
    </w:p>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计划做</w:t>
      </w:r>
      <w:r>
        <w:rPr>
          <w:rFonts w:ascii="Times New Roman" w:eastAsia="Times New Roman" w:hAnsi="Times New Roman" w:cs="Times New Roman"/>
          <w:color w:val="000000"/>
          <w:spacing w:val="0"/>
          <w:w w:val="100"/>
          <w:position w:val="0"/>
        </w:rPr>
        <w:t>46</w:t>
      </w:r>
      <w:r>
        <w:rPr>
          <w:color w:val="000000"/>
          <w:spacing w:val="0"/>
          <w:w w:val="100"/>
          <w:position w:val="0"/>
        </w:rPr>
        <w:t>期，涵盖人数</w:t>
      </w:r>
      <w:r>
        <w:rPr>
          <w:rFonts w:ascii="Times New Roman" w:eastAsia="Times New Roman" w:hAnsi="Times New Roman" w:cs="Times New Roman"/>
          <w:color w:val="000000"/>
          <w:spacing w:val="0"/>
          <w:w w:val="100"/>
          <w:position w:val="0"/>
        </w:rPr>
        <w:t>1800</w:t>
      </w:r>
      <w:r>
        <w:rPr>
          <w:color w:val="000000"/>
          <w:spacing w:val="0"/>
          <w:w w:val="100"/>
          <w:position w:val="0"/>
        </w:rPr>
        <w:t>人</w:t>
      </w:r>
    </w:p>
    <w:p>
      <w:pPr>
        <w:pStyle w:val="Style32"/>
        <w:keepNext w:val="0"/>
        <w:keepLines w:val="0"/>
        <w:widowControl w:val="0"/>
        <w:shd w:val="clear" w:color="auto" w:fill="auto"/>
        <w:tabs>
          <w:tab w:pos="344" w:val="left"/>
        </w:tabs>
        <w:bidi w:val="0"/>
        <w:spacing w:before="0" w:after="40" w:line="240" w:lineRule="auto"/>
        <w:ind w:left="0" w:right="0" w:firstLine="0"/>
        <w:jc w:val="left"/>
        <w:sectPr>
          <w:footnotePr>
            <w:pos w:val="pageBottom"/>
            <w:numFmt w:val="decimal"/>
            <w:numRestart w:val="continuous"/>
          </w:footnotePr>
          <w:type w:val="continuous"/>
          <w:pgSz w:w="11900" w:h="16840"/>
          <w:pgMar w:top="1374" w:right="918" w:bottom="1441" w:left="1032" w:header="0" w:footer="3" w:gutter="0"/>
          <w:cols w:space="720"/>
          <w:noEndnote/>
          <w:rtlGutter w:val="0"/>
          <w:docGrid w:linePitch="360"/>
        </w:sectPr>
      </w:pPr>
      <w:bookmarkStart w:id="550" w:name="bookmark550"/>
      <w:r>
        <w:rPr>
          <w:color w:val="000000"/>
          <w:spacing w:val="0"/>
          <w:w w:val="100"/>
          <w:position w:val="0"/>
          <w:sz w:val="17"/>
          <w:szCs w:val="17"/>
        </w:rPr>
        <w:t>3</w:t>
      </w:r>
      <w:bookmarkEnd w:id="550"/>
      <w:r>
        <w:rPr>
          <w:color w:val="000000"/>
          <w:spacing w:val="0"/>
          <w:w w:val="100"/>
          <w:position w:val="0"/>
        </w:rPr>
        <w:t>、</w:t>
        <w:tab/>
        <w:t>探索神州数码渠道大学，建立外部基于战略合作的生态圈子，助力公司发展</w:t>
      </w:r>
    </w:p>
    <w:p>
      <w:pPr>
        <w:widowControl w:val="0"/>
        <w:spacing w:line="51" w:lineRule="exact"/>
        <w:rPr>
          <w:sz w:val="4"/>
          <w:szCs w:val="4"/>
        </w:rPr>
      </w:pPr>
    </w:p>
    <w:p>
      <w:pPr>
        <w:widowControl w:val="0"/>
        <w:spacing w:line="1" w:lineRule="exact"/>
        <w:sectPr>
          <w:footnotePr>
            <w:pos w:val="pageBottom"/>
            <w:numFmt w:val="decimal"/>
            <w:numRestart w:val="continuous"/>
          </w:footnotePr>
          <w:pgSz w:w="11900" w:h="16840"/>
          <w:pgMar w:top="1460" w:right="1195" w:bottom="1460" w:left="1104" w:header="0" w:footer="3" w:gutter="0"/>
          <w:cols w:space="720"/>
          <w:noEndnote/>
          <w:rtlGutter w:val="0"/>
          <w:docGrid w:linePitch="360"/>
        </w:sectPr>
      </w:pPr>
    </w:p>
    <w:p>
      <w:pPr>
        <w:widowControl w:val="0"/>
        <w:spacing w:line="1" w:lineRule="exact"/>
      </w:pPr>
      <w:r>
        <mc:AlternateContent>
          <mc:Choice Requires="wps">
            <w:drawing>
              <wp:anchor distT="0" distB="2496820" distL="0" distR="0" simplePos="0" relativeHeight="125829380" behindDoc="0" locked="0" layoutInCell="1" allowOverlap="1">
                <wp:simplePos x="0" y="0"/>
                <wp:positionH relativeFrom="page">
                  <wp:posOffset>822960</wp:posOffset>
                </wp:positionH>
                <wp:positionV relativeFrom="paragraph">
                  <wp:posOffset>0</wp:posOffset>
                </wp:positionV>
                <wp:extent cx="676910" cy="152400"/>
                <wp:wrapTopAndBottom/>
                <wp:docPr id="35" name="Shape 35"/>
                <a:graphic xmlns:a="http://schemas.openxmlformats.org/drawingml/2006/main">
                  <a:graphicData uri="http://schemas.microsoft.com/office/word/2010/wordprocessingShape">
                    <wps:wsp>
                      <wps:cNvSpPr txBox="1"/>
                      <wps:spPr>
                        <a:xfrm>
                          <a:ext cx="676910" cy="152400"/>
                        </a:xfrm>
                        <a:prstGeom prst="rect"/>
                        <a:noFill/>
                      </wps:spPr>
                      <wps:txbx>
                        <w:txbxContent>
                          <w:p>
                            <w:pPr>
                              <w:pStyle w:val="Style32"/>
                              <w:keepNext w:val="0"/>
                              <w:keepLines w:val="0"/>
                              <w:widowControl w:val="0"/>
                              <w:pBdr>
                                <w:top w:val="single" w:sz="0" w:space="0" w:color="2D74B5"/>
                                <w:left w:val="single" w:sz="0" w:space="0" w:color="2D74B5"/>
                                <w:bottom w:val="single" w:sz="0" w:space="0" w:color="2D74B5"/>
                                <w:right w:val="single" w:sz="0" w:space="0" w:color="2D74B5"/>
                              </w:pBdr>
                              <w:shd w:val="clear" w:color="auto" w:fill="2D74B5"/>
                              <w:bidi w:val="0"/>
                              <w:spacing w:before="0" w:after="0" w:line="240" w:lineRule="auto"/>
                              <w:ind w:left="0" w:right="0" w:firstLine="0"/>
                              <w:jc w:val="left"/>
                            </w:pPr>
                            <w:r>
                              <w:rPr>
                                <w:color w:val="CFE3F2"/>
                                <w:spacing w:val="0"/>
                                <w:w w:val="100"/>
                                <w:position w:val="0"/>
                              </w:rPr>
                              <w:t>战略项目</w:t>
                            </w:r>
                          </w:p>
                        </w:txbxContent>
                      </wps:txbx>
                      <wps:bodyPr wrap="none" lIns="0" tIns="0" rIns="0" bIns="0">
                        <a:noAutoFit/>
                      </wps:bodyPr>
                    </wps:wsp>
                  </a:graphicData>
                </a:graphic>
              </wp:anchor>
            </w:drawing>
          </mc:Choice>
          <mc:Fallback>
            <w:pict>
              <v:shape id="_x0000_s1061" type="#_x0000_t202" style="position:absolute;margin-left:64.799999999999997pt;margin-top:0;width:53.300000000000004pt;height:12.pt;z-index:-125829373;mso-wrap-distance-left:0;mso-wrap-distance-right:0;mso-wrap-distance-bottom:196.59999999999999pt;mso-position-horizontal-relative:page" filled="f" stroked="f">
                <v:textbox inset="0,0,0,0">
                  <w:txbxContent>
                    <w:p>
                      <w:pPr>
                        <w:pStyle w:val="Style32"/>
                        <w:keepNext w:val="0"/>
                        <w:keepLines w:val="0"/>
                        <w:widowControl w:val="0"/>
                        <w:pBdr>
                          <w:top w:val="single" w:sz="0" w:space="0" w:color="2D74B5"/>
                          <w:left w:val="single" w:sz="0" w:space="0" w:color="2D74B5"/>
                          <w:bottom w:val="single" w:sz="0" w:space="0" w:color="2D74B5"/>
                          <w:right w:val="single" w:sz="0" w:space="0" w:color="2D74B5"/>
                        </w:pBdr>
                        <w:shd w:val="clear" w:color="auto" w:fill="2D74B5"/>
                        <w:bidi w:val="0"/>
                        <w:spacing w:before="0" w:after="0" w:line="240" w:lineRule="auto"/>
                        <w:ind w:left="0" w:right="0" w:firstLine="0"/>
                        <w:jc w:val="left"/>
                      </w:pPr>
                      <w:r>
                        <w:rPr>
                          <w:color w:val="CFE3F2"/>
                          <w:spacing w:val="0"/>
                          <w:w w:val="100"/>
                          <w:position w:val="0"/>
                        </w:rPr>
                        <w:t>战略项目</w:t>
                      </w:r>
                    </w:p>
                  </w:txbxContent>
                </v:textbox>
                <w10:wrap type="topAndBottom" anchorx="page"/>
              </v:shape>
            </w:pict>
          </mc:Fallback>
        </mc:AlternateContent>
      </w:r>
      <w:r>
        <mc:AlternateContent>
          <mc:Choice Requires="wps">
            <w:drawing>
              <wp:anchor distT="0" distB="2496820" distL="0" distR="0" simplePos="0" relativeHeight="125829382" behindDoc="0" locked="0" layoutInCell="1" allowOverlap="1">
                <wp:simplePos x="0" y="0"/>
                <wp:positionH relativeFrom="page">
                  <wp:posOffset>2402205</wp:posOffset>
                </wp:positionH>
                <wp:positionV relativeFrom="paragraph">
                  <wp:posOffset>0</wp:posOffset>
                </wp:positionV>
                <wp:extent cx="697865" cy="152400"/>
                <wp:wrapTopAndBottom/>
                <wp:docPr id="37" name="Shape 37"/>
                <a:graphic xmlns:a="http://schemas.openxmlformats.org/drawingml/2006/main">
                  <a:graphicData uri="http://schemas.microsoft.com/office/word/2010/wordprocessingShape">
                    <wps:wsp>
                      <wps:cNvSpPr txBox="1"/>
                      <wps:spPr>
                        <a:xfrm>
                          <a:ext cx="697865" cy="152400"/>
                        </a:xfrm>
                        <a:prstGeom prst="rect"/>
                        <a:noFill/>
                      </wps:spPr>
                      <wps:txbx>
                        <w:txbxContent>
                          <w:p>
                            <w:pPr>
                              <w:pStyle w:val="Style32"/>
                              <w:keepNext w:val="0"/>
                              <w:keepLines w:val="0"/>
                              <w:widowControl w:val="0"/>
                              <w:pBdr>
                                <w:top w:val="single" w:sz="0" w:space="0" w:color="0372C2"/>
                                <w:left w:val="single" w:sz="0" w:space="0" w:color="0372C2"/>
                                <w:bottom w:val="single" w:sz="0" w:space="0" w:color="0372C2"/>
                                <w:right w:val="single" w:sz="0" w:space="0" w:color="0372C2"/>
                              </w:pBdr>
                              <w:shd w:val="clear" w:color="auto" w:fill="0372C2"/>
                              <w:bidi w:val="0"/>
                              <w:spacing w:before="0" w:after="0" w:line="240" w:lineRule="auto"/>
                              <w:ind w:left="0" w:right="0" w:firstLine="0"/>
                              <w:jc w:val="left"/>
                            </w:pPr>
                            <w:r>
                              <w:rPr>
                                <w:color w:val="CFE3F2"/>
                                <w:spacing w:val="0"/>
                                <w:w w:val="100"/>
                                <w:position w:val="0"/>
                              </w:rPr>
                              <w:t>大家讲堂</w:t>
                            </w:r>
                          </w:p>
                        </w:txbxContent>
                      </wps:txbx>
                      <wps:bodyPr wrap="none" lIns="0" tIns="0" rIns="0" bIns="0">
                        <a:noAutoFit/>
                      </wps:bodyPr>
                    </wps:wsp>
                  </a:graphicData>
                </a:graphic>
              </wp:anchor>
            </w:drawing>
          </mc:Choice>
          <mc:Fallback>
            <w:pict>
              <v:shape id="_x0000_s1063" type="#_x0000_t202" style="position:absolute;margin-left:189.15000000000001pt;margin-top:0;width:54.950000000000003pt;height:12.pt;z-index:-125829371;mso-wrap-distance-left:0;mso-wrap-distance-right:0;mso-wrap-distance-bottom:196.59999999999999pt;mso-position-horizontal-relative:page" filled="f" stroked="f">
                <v:textbox inset="0,0,0,0">
                  <w:txbxContent>
                    <w:p>
                      <w:pPr>
                        <w:pStyle w:val="Style32"/>
                        <w:keepNext w:val="0"/>
                        <w:keepLines w:val="0"/>
                        <w:widowControl w:val="0"/>
                        <w:pBdr>
                          <w:top w:val="single" w:sz="0" w:space="0" w:color="0372C2"/>
                          <w:left w:val="single" w:sz="0" w:space="0" w:color="0372C2"/>
                          <w:bottom w:val="single" w:sz="0" w:space="0" w:color="0372C2"/>
                          <w:right w:val="single" w:sz="0" w:space="0" w:color="0372C2"/>
                        </w:pBdr>
                        <w:shd w:val="clear" w:color="auto" w:fill="0372C2"/>
                        <w:bidi w:val="0"/>
                        <w:spacing w:before="0" w:after="0" w:line="240" w:lineRule="auto"/>
                        <w:ind w:left="0" w:right="0" w:firstLine="0"/>
                        <w:jc w:val="left"/>
                      </w:pPr>
                      <w:r>
                        <w:rPr>
                          <w:color w:val="CFE3F2"/>
                          <w:spacing w:val="0"/>
                          <w:w w:val="100"/>
                          <w:position w:val="0"/>
                        </w:rPr>
                        <w:t>大家讲堂</w:t>
                      </w:r>
                    </w:p>
                  </w:txbxContent>
                </v:textbox>
                <w10:wrap type="topAndBottom" anchorx="page"/>
              </v:shape>
            </w:pict>
          </mc:Fallback>
        </mc:AlternateContent>
      </w:r>
      <w:r>
        <mc:AlternateContent>
          <mc:Choice Requires="wps">
            <w:drawing>
              <wp:anchor distT="0" distB="2496820" distL="0" distR="0" simplePos="0" relativeHeight="125829384" behindDoc="0" locked="0" layoutInCell="1" allowOverlap="1">
                <wp:simplePos x="0" y="0"/>
                <wp:positionH relativeFrom="page">
                  <wp:posOffset>4575175</wp:posOffset>
                </wp:positionH>
                <wp:positionV relativeFrom="paragraph">
                  <wp:posOffset>0</wp:posOffset>
                </wp:positionV>
                <wp:extent cx="521335" cy="152400"/>
                <wp:wrapTopAndBottom/>
                <wp:docPr id="39" name="Shape 39"/>
                <a:graphic xmlns:a="http://schemas.openxmlformats.org/drawingml/2006/main">
                  <a:graphicData uri="http://schemas.microsoft.com/office/word/2010/wordprocessingShape">
                    <wps:wsp>
                      <wps:cNvSpPr txBox="1"/>
                      <wps:spPr>
                        <a:xfrm>
                          <a:ext cx="521335" cy="152400"/>
                        </a:xfrm>
                        <a:prstGeom prst="rect"/>
                        <a:noFill/>
                      </wps:spPr>
                      <wps:txbx>
                        <w:txbxContent>
                          <w:p>
                            <w:pPr>
                              <w:pStyle w:val="Style32"/>
                              <w:keepNext w:val="0"/>
                              <w:keepLines w:val="0"/>
                              <w:widowControl w:val="0"/>
                              <w:pBdr>
                                <w:top w:val="single" w:sz="0" w:space="0" w:color="0372C1"/>
                                <w:left w:val="single" w:sz="0" w:space="0" w:color="0372C1"/>
                                <w:bottom w:val="single" w:sz="0" w:space="0" w:color="0372C1"/>
                                <w:right w:val="single" w:sz="0" w:space="0" w:color="0372C1"/>
                              </w:pBdr>
                              <w:shd w:val="clear" w:color="auto" w:fill="0372C1"/>
                              <w:bidi w:val="0"/>
                              <w:spacing w:before="0" w:after="0" w:line="240" w:lineRule="auto"/>
                              <w:ind w:left="0" w:right="0" w:firstLine="0"/>
                              <w:jc w:val="both"/>
                            </w:pPr>
                            <w:r>
                              <w:rPr>
                                <w:color w:val="CFE3F2"/>
                                <w:spacing w:val="0"/>
                                <w:w w:val="100"/>
                                <w:position w:val="0"/>
                              </w:rPr>
                              <w:t>云学堂</w:t>
                            </w:r>
                          </w:p>
                        </w:txbxContent>
                      </wps:txbx>
                      <wps:bodyPr wrap="none" lIns="0" tIns="0" rIns="0" bIns="0">
                        <a:noAutoFit/>
                      </wps:bodyPr>
                    </wps:wsp>
                  </a:graphicData>
                </a:graphic>
              </wp:anchor>
            </w:drawing>
          </mc:Choice>
          <mc:Fallback>
            <w:pict>
              <v:shape id="_x0000_s1065" type="#_x0000_t202" style="position:absolute;margin-left:360.25pt;margin-top:0;width:41.050000000000004pt;height:12.pt;z-index:-125829369;mso-wrap-distance-left:0;mso-wrap-distance-right:0;mso-wrap-distance-bottom:196.59999999999999pt;mso-position-horizontal-relative:page" filled="f" stroked="f">
                <v:textbox inset="0,0,0,0">
                  <w:txbxContent>
                    <w:p>
                      <w:pPr>
                        <w:pStyle w:val="Style32"/>
                        <w:keepNext w:val="0"/>
                        <w:keepLines w:val="0"/>
                        <w:widowControl w:val="0"/>
                        <w:pBdr>
                          <w:top w:val="single" w:sz="0" w:space="0" w:color="0372C1"/>
                          <w:left w:val="single" w:sz="0" w:space="0" w:color="0372C1"/>
                          <w:bottom w:val="single" w:sz="0" w:space="0" w:color="0372C1"/>
                          <w:right w:val="single" w:sz="0" w:space="0" w:color="0372C1"/>
                        </w:pBdr>
                        <w:shd w:val="clear" w:color="auto" w:fill="0372C1"/>
                        <w:bidi w:val="0"/>
                        <w:spacing w:before="0" w:after="0" w:line="240" w:lineRule="auto"/>
                        <w:ind w:left="0" w:right="0" w:firstLine="0"/>
                        <w:jc w:val="both"/>
                      </w:pPr>
                      <w:r>
                        <w:rPr>
                          <w:color w:val="CFE3F2"/>
                          <w:spacing w:val="0"/>
                          <w:w w:val="100"/>
                          <w:position w:val="0"/>
                        </w:rPr>
                        <w:t>云学堂</w:t>
                      </w:r>
                    </w:p>
                  </w:txbxContent>
                </v:textbox>
                <w10:wrap type="topAndBottom" anchorx="page"/>
              </v:shape>
            </w:pict>
          </mc:Fallback>
        </mc:AlternateContent>
      </w:r>
      <w:r>
        <mc:AlternateContent>
          <mc:Choice Requires="wps">
            <w:drawing>
              <wp:anchor distT="295910" distB="2164080" distL="0" distR="0" simplePos="0" relativeHeight="125829386" behindDoc="0" locked="0" layoutInCell="1" allowOverlap="1">
                <wp:simplePos x="0" y="0"/>
                <wp:positionH relativeFrom="page">
                  <wp:posOffset>3164205</wp:posOffset>
                </wp:positionH>
                <wp:positionV relativeFrom="paragraph">
                  <wp:posOffset>295910</wp:posOffset>
                </wp:positionV>
                <wp:extent cx="1212850" cy="189230"/>
                <wp:wrapTopAndBottom/>
                <wp:docPr id="41" name="Shape 41"/>
                <a:graphic xmlns:a="http://schemas.openxmlformats.org/drawingml/2006/main">
                  <a:graphicData uri="http://schemas.microsoft.com/office/word/2010/wordprocessingShape">
                    <wps:wsp>
                      <wps:cNvSpPr txBox="1"/>
                      <wps:spPr>
                        <a:xfrm>
                          <a:ext cx="1212850" cy="189230"/>
                        </a:xfrm>
                        <a:prstGeom prst="rect"/>
                        <a:noFill/>
                      </wps:spPr>
                      <wps:txbx>
                        <w:txbxContent>
                          <w:p>
                            <w:pPr>
                              <w:pStyle w:val="Style58"/>
                              <w:keepNext w:val="0"/>
                              <w:keepLines w:val="0"/>
                              <w:widowControl w:val="0"/>
                              <w:pBdr>
                                <w:top w:val="single" w:sz="0" w:space="0" w:color="0371C1"/>
                                <w:left w:val="single" w:sz="0" w:space="0" w:color="0371C1"/>
                                <w:bottom w:val="single" w:sz="0" w:space="0" w:color="0371C1"/>
                                <w:right w:val="single" w:sz="0" w:space="0" w:color="0371C1"/>
                              </w:pBdr>
                              <w:shd w:val="clear" w:color="auto" w:fill="0371C1"/>
                              <w:bidi w:val="0"/>
                              <w:spacing w:before="0" w:after="0" w:line="240" w:lineRule="auto"/>
                              <w:ind w:left="0" w:right="0" w:firstLine="0"/>
                              <w:jc w:val="left"/>
                              <w:rPr>
                                <w:sz w:val="24"/>
                                <w:szCs w:val="24"/>
                              </w:rPr>
                            </w:pPr>
                            <w:r>
                              <w:rPr>
                                <w:spacing w:val="0"/>
                                <w:w w:val="100"/>
                                <w:position w:val="0"/>
                                <w:sz w:val="18"/>
                                <w:szCs w:val="18"/>
                              </w:rPr>
                              <w:t>耕任总经理培训</w:t>
                            </w:r>
                            <w:r>
                              <w:rPr>
                                <w:rFonts w:ascii="Times New Roman" w:eastAsia="Times New Roman" w:hAnsi="Times New Roman" w:cs="Times New Roman"/>
                                <w:b/>
                                <w:bCs/>
                                <w:color w:val="FFFFFF"/>
                                <w:spacing w:val="0"/>
                                <w:w w:val="100"/>
                                <w:position w:val="0"/>
                                <w:sz w:val="24"/>
                                <w:szCs w:val="24"/>
                              </w:rPr>
                              <w:t>I</w:t>
                            </w:r>
                          </w:p>
                        </w:txbxContent>
                      </wps:txbx>
                      <wps:bodyPr wrap="none" lIns="0" tIns="0" rIns="0" bIns="0">
                        <a:noAutoFit/>
                      </wps:bodyPr>
                    </wps:wsp>
                  </a:graphicData>
                </a:graphic>
              </wp:anchor>
            </w:drawing>
          </mc:Choice>
          <mc:Fallback>
            <w:pict>
              <v:shape id="_x0000_s1067" type="#_x0000_t202" style="position:absolute;margin-left:249.15000000000001pt;margin-top:23.300000000000001pt;width:95.5pt;height:14.9pt;z-index:-125829367;mso-wrap-distance-left:0;mso-wrap-distance-top:23.300000000000001pt;mso-wrap-distance-right:0;mso-wrap-distance-bottom:170.40000000000001pt;mso-position-horizontal-relative:page" filled="f" stroked="f">
                <v:textbox inset="0,0,0,0">
                  <w:txbxContent>
                    <w:p>
                      <w:pPr>
                        <w:pStyle w:val="Style58"/>
                        <w:keepNext w:val="0"/>
                        <w:keepLines w:val="0"/>
                        <w:widowControl w:val="0"/>
                        <w:pBdr>
                          <w:top w:val="single" w:sz="0" w:space="0" w:color="0371C1"/>
                          <w:left w:val="single" w:sz="0" w:space="0" w:color="0371C1"/>
                          <w:bottom w:val="single" w:sz="0" w:space="0" w:color="0371C1"/>
                          <w:right w:val="single" w:sz="0" w:space="0" w:color="0371C1"/>
                        </w:pBdr>
                        <w:shd w:val="clear" w:color="auto" w:fill="0371C1"/>
                        <w:bidi w:val="0"/>
                        <w:spacing w:before="0" w:after="0" w:line="240" w:lineRule="auto"/>
                        <w:ind w:left="0" w:right="0" w:firstLine="0"/>
                        <w:jc w:val="left"/>
                        <w:rPr>
                          <w:sz w:val="24"/>
                          <w:szCs w:val="24"/>
                        </w:rPr>
                      </w:pPr>
                      <w:r>
                        <w:rPr>
                          <w:spacing w:val="0"/>
                          <w:w w:val="100"/>
                          <w:position w:val="0"/>
                          <w:sz w:val="18"/>
                          <w:szCs w:val="18"/>
                        </w:rPr>
                        <w:t>耕任总经理培训</w:t>
                      </w:r>
                      <w:r>
                        <w:rPr>
                          <w:rFonts w:ascii="Times New Roman" w:eastAsia="Times New Roman" w:hAnsi="Times New Roman" w:cs="Times New Roman"/>
                          <w:b/>
                          <w:bCs/>
                          <w:color w:val="FFFFFF"/>
                          <w:spacing w:val="0"/>
                          <w:w w:val="100"/>
                          <w:position w:val="0"/>
                          <w:sz w:val="24"/>
                          <w:szCs w:val="24"/>
                        </w:rPr>
                        <w:t>I</w:t>
                      </w:r>
                    </w:p>
                  </w:txbxContent>
                </v:textbox>
                <w10:wrap type="topAndBottom" anchorx="page"/>
              </v:shape>
            </w:pict>
          </mc:Fallback>
        </mc:AlternateContent>
      </w:r>
      <w:r>
        <mc:AlternateContent>
          <mc:Choice Requires="wps">
            <w:drawing>
              <wp:anchor distT="572770" distB="1924050" distL="0" distR="0" simplePos="0" relativeHeight="125829388" behindDoc="0" locked="0" layoutInCell="1" allowOverlap="1">
                <wp:simplePos x="0" y="0"/>
                <wp:positionH relativeFrom="page">
                  <wp:posOffset>3347085</wp:posOffset>
                </wp:positionH>
                <wp:positionV relativeFrom="paragraph">
                  <wp:posOffset>572770</wp:posOffset>
                </wp:positionV>
                <wp:extent cx="856615" cy="152400"/>
                <wp:wrapTopAndBottom/>
                <wp:docPr id="43" name="Shape 43"/>
                <a:graphic xmlns:a="http://schemas.openxmlformats.org/drawingml/2006/main">
                  <a:graphicData uri="http://schemas.microsoft.com/office/word/2010/wordprocessingShape">
                    <wps:wsp>
                      <wps:cNvSpPr txBox="1"/>
                      <wps:spPr>
                        <a:xfrm>
                          <a:ext cx="856615" cy="152400"/>
                        </a:xfrm>
                        <a:prstGeom prst="rect"/>
                        <a:noFill/>
                      </wps:spPr>
                      <wps:txbx>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pPr>
                            <w:r>
                              <w:rPr>
                                <w:color w:val="CFE3F2"/>
                                <w:spacing w:val="0"/>
                                <w:w w:val="100"/>
                                <w:position w:val="0"/>
                              </w:rPr>
                              <w:t>青干班培训【</w:t>
                            </w:r>
                          </w:p>
                        </w:txbxContent>
                      </wps:txbx>
                      <wps:bodyPr wrap="none" lIns="0" tIns="0" rIns="0" bIns="0">
                        <a:noAutoFit/>
                      </wps:bodyPr>
                    </wps:wsp>
                  </a:graphicData>
                </a:graphic>
              </wp:anchor>
            </w:drawing>
          </mc:Choice>
          <mc:Fallback>
            <w:pict>
              <v:shape id="_x0000_s1069" type="#_x0000_t202" style="position:absolute;margin-left:263.55000000000001pt;margin-top:45.100000000000001pt;width:67.450000000000003pt;height:12.pt;z-index:-125829365;mso-wrap-distance-left:0;mso-wrap-distance-top:45.100000000000001pt;mso-wrap-distance-right:0;mso-wrap-distance-bottom:151.5pt;mso-position-horizontal-relative:page" filled="f" stroked="f">
                <v:textbox inset="0,0,0,0">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pPr>
                      <w:r>
                        <w:rPr>
                          <w:color w:val="CFE3F2"/>
                          <w:spacing w:val="0"/>
                          <w:w w:val="100"/>
                          <w:position w:val="0"/>
                        </w:rPr>
                        <w:t>青干班培训【</w:t>
                      </w:r>
                    </w:p>
                  </w:txbxContent>
                </v:textbox>
                <w10:wrap type="topAndBottom" anchorx="page"/>
              </v:shape>
            </w:pict>
          </mc:Fallback>
        </mc:AlternateContent>
      </w:r>
      <w:r>
        <mc:AlternateContent>
          <mc:Choice Requires="wps">
            <w:drawing>
              <wp:anchor distT="883920" distB="1448435" distL="0" distR="0" simplePos="0" relativeHeight="125829390" behindDoc="0" locked="0" layoutInCell="1" allowOverlap="1">
                <wp:simplePos x="0" y="0"/>
                <wp:positionH relativeFrom="page">
                  <wp:posOffset>822960</wp:posOffset>
                </wp:positionH>
                <wp:positionV relativeFrom="paragraph">
                  <wp:posOffset>883920</wp:posOffset>
                </wp:positionV>
                <wp:extent cx="694690" cy="316865"/>
                <wp:wrapTopAndBottom/>
                <wp:docPr id="45" name="Shape 45"/>
                <a:graphic xmlns:a="http://schemas.openxmlformats.org/drawingml/2006/main">
                  <a:graphicData uri="http://schemas.microsoft.com/office/word/2010/wordprocessingShape">
                    <wps:wsp>
                      <wps:cNvSpPr txBox="1"/>
                      <wps:spPr>
                        <a:xfrm>
                          <a:ext cx="694690" cy="316865"/>
                        </a:xfrm>
                        <a:prstGeom prst="rect"/>
                        <a:noFill/>
                      </wps:spPr>
                      <wps:txbx>
                        <w:txbxContent>
                          <w:p>
                            <w:pPr>
                              <w:pStyle w:val="Style32"/>
                              <w:keepNext w:val="0"/>
                              <w:keepLines w:val="0"/>
                              <w:widowControl w:val="0"/>
                              <w:pBdr>
                                <w:top w:val="single" w:sz="0" w:space="0" w:color="2D74B5"/>
                                <w:left w:val="single" w:sz="0" w:space="0" w:color="2D74B5"/>
                                <w:bottom w:val="single" w:sz="0" w:space="0" w:color="2D74B5"/>
                                <w:right w:val="single" w:sz="0" w:space="0" w:color="2D74B5"/>
                              </w:pBdr>
                              <w:shd w:val="clear" w:color="auto" w:fill="2D74B5"/>
                              <w:bidi w:val="0"/>
                              <w:spacing w:before="0" w:after="0" w:line="240" w:lineRule="exact"/>
                              <w:ind w:left="0" w:right="0" w:firstLine="0"/>
                              <w:jc w:val="left"/>
                            </w:pPr>
                            <w:r>
                              <w:rPr>
                                <w:color w:val="CFE3F2"/>
                                <w:spacing w:val="0"/>
                                <w:w w:val="100"/>
                                <w:position w:val="0"/>
                              </w:rPr>
                              <w:t>人才醇队 培养项目</w:t>
                            </w:r>
                          </w:p>
                        </w:txbxContent>
                      </wps:txbx>
                      <wps:bodyPr lIns="0" tIns="0" rIns="0" bIns="0">
                        <a:noAutoFit/>
                      </wps:bodyPr>
                    </wps:wsp>
                  </a:graphicData>
                </a:graphic>
              </wp:anchor>
            </w:drawing>
          </mc:Choice>
          <mc:Fallback>
            <w:pict>
              <v:shape id="_x0000_s1071" type="#_x0000_t202" style="position:absolute;margin-left:64.799999999999997pt;margin-top:69.600000000000009pt;width:54.700000000000003pt;height:24.949999999999999pt;z-index:-125829363;mso-wrap-distance-left:0;mso-wrap-distance-top:69.600000000000009pt;mso-wrap-distance-right:0;mso-wrap-distance-bottom:114.05pt;mso-position-horizontal-relative:page" filled="f" stroked="f">
                <v:textbox inset="0,0,0,0">
                  <w:txbxContent>
                    <w:p>
                      <w:pPr>
                        <w:pStyle w:val="Style32"/>
                        <w:keepNext w:val="0"/>
                        <w:keepLines w:val="0"/>
                        <w:widowControl w:val="0"/>
                        <w:pBdr>
                          <w:top w:val="single" w:sz="0" w:space="0" w:color="2D74B5"/>
                          <w:left w:val="single" w:sz="0" w:space="0" w:color="2D74B5"/>
                          <w:bottom w:val="single" w:sz="0" w:space="0" w:color="2D74B5"/>
                          <w:right w:val="single" w:sz="0" w:space="0" w:color="2D74B5"/>
                        </w:pBdr>
                        <w:shd w:val="clear" w:color="auto" w:fill="2D74B5"/>
                        <w:bidi w:val="0"/>
                        <w:spacing w:before="0" w:after="0" w:line="240" w:lineRule="exact"/>
                        <w:ind w:left="0" w:right="0" w:firstLine="0"/>
                        <w:jc w:val="left"/>
                      </w:pPr>
                      <w:r>
                        <w:rPr>
                          <w:color w:val="CFE3F2"/>
                          <w:spacing w:val="0"/>
                          <w:w w:val="100"/>
                          <w:position w:val="0"/>
                        </w:rPr>
                        <w:t>人才醇队 培养项目</w:t>
                      </w:r>
                    </w:p>
                  </w:txbxContent>
                </v:textbox>
                <w10:wrap type="topAndBottom" anchorx="page"/>
              </v:shape>
            </w:pict>
          </mc:Fallback>
        </mc:AlternateContent>
      </w:r>
      <w:r>
        <mc:AlternateContent>
          <mc:Choice Requires="wps">
            <w:drawing>
              <wp:anchor distT="838200" distB="1661795" distL="0" distR="0" simplePos="0" relativeHeight="125829392" behindDoc="0" locked="0" layoutInCell="1" allowOverlap="1">
                <wp:simplePos x="0" y="0"/>
                <wp:positionH relativeFrom="page">
                  <wp:posOffset>3088005</wp:posOffset>
                </wp:positionH>
                <wp:positionV relativeFrom="paragraph">
                  <wp:posOffset>838200</wp:posOffset>
                </wp:positionV>
                <wp:extent cx="1374775" cy="149225"/>
                <wp:wrapTopAndBottom/>
                <wp:docPr id="47" name="Shape 47"/>
                <a:graphic xmlns:a="http://schemas.openxmlformats.org/drawingml/2006/main">
                  <a:graphicData uri="http://schemas.microsoft.com/office/word/2010/wordprocessingShape">
                    <wps:wsp>
                      <wps:cNvSpPr txBox="1"/>
                      <wps:spPr>
                        <a:xfrm>
                          <a:ext cx="1374775" cy="149225"/>
                        </a:xfrm>
                        <a:prstGeom prst="rect"/>
                        <a:noFill/>
                      </wps:spPr>
                      <wps:txbx>
                        <w:txbxContent>
                          <w:p>
                            <w:pPr>
                              <w:pStyle w:val="Style32"/>
                              <w:keepNext w:val="0"/>
                              <w:keepLines w:val="0"/>
                              <w:widowControl w:val="0"/>
                              <w:pBdr>
                                <w:top w:val="single" w:sz="0" w:space="0" w:color="0372C2"/>
                                <w:left w:val="single" w:sz="0" w:space="0" w:color="0372C2"/>
                                <w:bottom w:val="single" w:sz="0" w:space="0" w:color="0372C2"/>
                                <w:right w:val="single" w:sz="0" w:space="0" w:color="0372C2"/>
                              </w:pBdr>
                              <w:shd w:val="clear" w:color="auto" w:fill="0372C2"/>
                              <w:bidi w:val="0"/>
                              <w:spacing w:before="0" w:after="0" w:line="240" w:lineRule="auto"/>
                              <w:ind w:left="0" w:right="0" w:firstLine="0"/>
                              <w:jc w:val="center"/>
                            </w:pPr>
                            <w:r>
                              <w:rPr>
                                <w:color w:val="CFE3F2"/>
                                <w:spacing w:val="0"/>
                                <w:w w:val="100"/>
                                <w:position w:val="0"/>
                              </w:rPr>
                              <w:t>新任高级经理培叫</w:t>
                            </w:r>
                          </w:p>
                        </w:txbxContent>
                      </wps:txbx>
                      <wps:bodyPr wrap="none" lIns="0" tIns="0" rIns="0" bIns="0">
                        <a:noAutoFit/>
                      </wps:bodyPr>
                    </wps:wsp>
                  </a:graphicData>
                </a:graphic>
              </wp:anchor>
            </w:drawing>
          </mc:Choice>
          <mc:Fallback>
            <w:pict>
              <v:shape id="_x0000_s1073" type="#_x0000_t202" style="position:absolute;margin-left:243.15000000000001pt;margin-top:66.pt;width:108.25pt;height:11.75pt;z-index:-125829361;mso-wrap-distance-left:0;mso-wrap-distance-top:66.pt;mso-wrap-distance-right:0;mso-wrap-distance-bottom:130.84999999999999pt;mso-position-horizontal-relative:page" filled="f" stroked="f">
                <v:textbox inset="0,0,0,0">
                  <w:txbxContent>
                    <w:p>
                      <w:pPr>
                        <w:pStyle w:val="Style32"/>
                        <w:keepNext w:val="0"/>
                        <w:keepLines w:val="0"/>
                        <w:widowControl w:val="0"/>
                        <w:pBdr>
                          <w:top w:val="single" w:sz="0" w:space="0" w:color="0372C2"/>
                          <w:left w:val="single" w:sz="0" w:space="0" w:color="0372C2"/>
                          <w:bottom w:val="single" w:sz="0" w:space="0" w:color="0372C2"/>
                          <w:right w:val="single" w:sz="0" w:space="0" w:color="0372C2"/>
                        </w:pBdr>
                        <w:shd w:val="clear" w:color="auto" w:fill="0372C2"/>
                        <w:bidi w:val="0"/>
                        <w:spacing w:before="0" w:after="0" w:line="240" w:lineRule="auto"/>
                        <w:ind w:left="0" w:right="0" w:firstLine="0"/>
                        <w:jc w:val="center"/>
                      </w:pPr>
                      <w:r>
                        <w:rPr>
                          <w:color w:val="CFE3F2"/>
                          <w:spacing w:val="0"/>
                          <w:w w:val="100"/>
                          <w:position w:val="0"/>
                        </w:rPr>
                        <w:t>新任高级经理培叫</w:t>
                      </w:r>
                    </w:p>
                  </w:txbxContent>
                </v:textbox>
                <w10:wrap type="topAndBottom" anchorx="page"/>
              </v:shape>
            </w:pict>
          </mc:Fallback>
        </mc:AlternateContent>
      </w:r>
      <w:r>
        <mc:AlternateContent>
          <mc:Choice Requires="wps">
            <w:drawing>
              <wp:anchor distT="1097280" distB="1393190" distL="0" distR="0" simplePos="0" relativeHeight="125829394" behindDoc="0" locked="0" layoutInCell="1" allowOverlap="1">
                <wp:simplePos x="0" y="0"/>
                <wp:positionH relativeFrom="page">
                  <wp:posOffset>3249295</wp:posOffset>
                </wp:positionH>
                <wp:positionV relativeFrom="paragraph">
                  <wp:posOffset>1097280</wp:posOffset>
                </wp:positionV>
                <wp:extent cx="1042670" cy="158750"/>
                <wp:wrapTopAndBottom/>
                <wp:docPr id="49" name="Shape 49"/>
                <a:graphic xmlns:a="http://schemas.openxmlformats.org/drawingml/2006/main">
                  <a:graphicData uri="http://schemas.microsoft.com/office/word/2010/wordprocessingShape">
                    <wps:wsp>
                      <wps:cNvSpPr txBox="1"/>
                      <wps:spPr>
                        <a:xfrm>
                          <a:ext cx="1042670" cy="158750"/>
                        </a:xfrm>
                        <a:prstGeom prst="rect"/>
                        <a:noFill/>
                      </wps:spPr>
                      <wps:txbx>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rPr>
                                <w:sz w:val="17"/>
                                <w:szCs w:val="17"/>
                              </w:rPr>
                            </w:pPr>
                            <w:r>
                              <w:rPr>
                                <w:color w:val="CFE3F2"/>
                                <w:spacing w:val="0"/>
                                <w:w w:val="100"/>
                                <w:position w:val="0"/>
                                <w:sz w:val="18"/>
                                <w:szCs w:val="18"/>
                              </w:rPr>
                              <w:t>舟干经理堵</w:t>
                            </w:r>
                            <w:r>
                              <w:rPr>
                                <w:rFonts w:ascii="Times New Roman" w:eastAsia="Times New Roman" w:hAnsi="Times New Roman" w:cs="Times New Roman"/>
                                <w:b/>
                                <w:bCs/>
                                <w:color w:val="CFE3F2"/>
                                <w:spacing w:val="0"/>
                                <w:w w:val="100"/>
                                <w:position w:val="0"/>
                                <w:sz w:val="17"/>
                                <w:szCs w:val="17"/>
                              </w:rPr>
                              <w:t>ui[</w:t>
                            </w:r>
                          </w:p>
                        </w:txbxContent>
                      </wps:txbx>
                      <wps:bodyPr wrap="none" lIns="0" tIns="0" rIns="0" bIns="0">
                        <a:noAutoFit/>
                      </wps:bodyPr>
                    </wps:wsp>
                  </a:graphicData>
                </a:graphic>
              </wp:anchor>
            </w:drawing>
          </mc:Choice>
          <mc:Fallback>
            <w:pict>
              <v:shape id="_x0000_s1075" type="#_x0000_t202" style="position:absolute;margin-left:255.84999999999999pt;margin-top:86.400000000000006pt;width:82.100000000000009pt;height:12.5pt;z-index:-125829359;mso-wrap-distance-left:0;mso-wrap-distance-top:86.400000000000006pt;mso-wrap-distance-right:0;mso-wrap-distance-bottom:109.7pt;mso-position-horizontal-relative:page" filled="f" stroked="f">
                <v:textbox inset="0,0,0,0">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rPr>
                          <w:sz w:val="17"/>
                          <w:szCs w:val="17"/>
                        </w:rPr>
                      </w:pPr>
                      <w:r>
                        <w:rPr>
                          <w:color w:val="CFE3F2"/>
                          <w:spacing w:val="0"/>
                          <w:w w:val="100"/>
                          <w:position w:val="0"/>
                          <w:sz w:val="18"/>
                          <w:szCs w:val="18"/>
                        </w:rPr>
                        <w:t>舟干经理堵</w:t>
                      </w:r>
                      <w:r>
                        <w:rPr>
                          <w:rFonts w:ascii="Times New Roman" w:eastAsia="Times New Roman" w:hAnsi="Times New Roman" w:cs="Times New Roman"/>
                          <w:b/>
                          <w:bCs/>
                          <w:color w:val="CFE3F2"/>
                          <w:spacing w:val="0"/>
                          <w:w w:val="100"/>
                          <w:position w:val="0"/>
                          <w:sz w:val="17"/>
                          <w:szCs w:val="17"/>
                        </w:rPr>
                        <w:t>ui[</w:t>
                      </w:r>
                    </w:p>
                  </w:txbxContent>
                </v:textbox>
                <w10:wrap type="topAndBottom" anchorx="page"/>
              </v:shape>
            </w:pict>
          </mc:Fallback>
        </mc:AlternateContent>
      </w:r>
      <w:r>
        <mc:AlternateContent>
          <mc:Choice Requires="wps">
            <w:drawing>
              <wp:anchor distT="1362710" distB="1134110" distL="0" distR="0" simplePos="0" relativeHeight="125829396" behindDoc="0" locked="0" layoutInCell="1" allowOverlap="1">
                <wp:simplePos x="0" y="0"/>
                <wp:positionH relativeFrom="page">
                  <wp:posOffset>3249295</wp:posOffset>
                </wp:positionH>
                <wp:positionV relativeFrom="paragraph">
                  <wp:posOffset>1362710</wp:posOffset>
                </wp:positionV>
                <wp:extent cx="1042670" cy="152400"/>
                <wp:wrapTopAndBottom/>
                <wp:docPr id="51" name="Shape 51"/>
                <a:graphic xmlns:a="http://schemas.openxmlformats.org/drawingml/2006/main">
                  <a:graphicData uri="http://schemas.microsoft.com/office/word/2010/wordprocessingShape">
                    <wps:wsp>
                      <wps:cNvSpPr txBox="1"/>
                      <wps:spPr>
                        <a:xfrm>
                          <a:ext cx="1042670" cy="152400"/>
                        </a:xfrm>
                        <a:prstGeom prst="rect"/>
                        <a:noFill/>
                      </wps:spPr>
                      <wps:txbx>
                        <w:txbxContent>
                          <w:p>
                            <w:pPr>
                              <w:pStyle w:val="Style32"/>
                              <w:keepNext w:val="0"/>
                              <w:keepLines w:val="0"/>
                              <w:widowControl w:val="0"/>
                              <w:pBdr>
                                <w:top w:val="single" w:sz="0" w:space="0" w:color="0371C1"/>
                                <w:left w:val="single" w:sz="0" w:space="0" w:color="0371C1"/>
                                <w:bottom w:val="single" w:sz="0" w:space="0" w:color="0371C1"/>
                                <w:right w:val="single" w:sz="0" w:space="0" w:color="0371C1"/>
                              </w:pBdr>
                              <w:shd w:val="clear" w:color="auto" w:fill="0371C1"/>
                              <w:bidi w:val="0"/>
                              <w:spacing w:before="0" w:after="0" w:line="240" w:lineRule="auto"/>
                              <w:ind w:left="0" w:right="0" w:firstLine="0"/>
                              <w:jc w:val="left"/>
                            </w:pPr>
                            <w:r>
                              <w:rPr>
                                <w:color w:val="CFE3F2"/>
                                <w:spacing w:val="0"/>
                                <w:w w:val="100"/>
                                <w:position w:val="0"/>
                              </w:rPr>
                              <w:t>新任经理培训</w:t>
                            </w:r>
                          </w:p>
                        </w:txbxContent>
                      </wps:txbx>
                      <wps:bodyPr wrap="none" lIns="0" tIns="0" rIns="0" bIns="0">
                        <a:noAutoFit/>
                      </wps:bodyPr>
                    </wps:wsp>
                  </a:graphicData>
                </a:graphic>
              </wp:anchor>
            </w:drawing>
          </mc:Choice>
          <mc:Fallback>
            <w:pict>
              <v:shape id="_x0000_s1077" type="#_x0000_t202" style="position:absolute;margin-left:255.84999999999999pt;margin-top:107.3pt;width:82.100000000000009pt;height:12.pt;z-index:-125829357;mso-wrap-distance-left:0;mso-wrap-distance-top:107.3pt;mso-wrap-distance-right:0;mso-wrap-distance-bottom:89.299999999999997pt;mso-position-horizontal-relative:page" filled="f" stroked="f">
                <v:textbox inset="0,0,0,0">
                  <w:txbxContent>
                    <w:p>
                      <w:pPr>
                        <w:pStyle w:val="Style32"/>
                        <w:keepNext w:val="0"/>
                        <w:keepLines w:val="0"/>
                        <w:widowControl w:val="0"/>
                        <w:pBdr>
                          <w:top w:val="single" w:sz="0" w:space="0" w:color="0371C1"/>
                          <w:left w:val="single" w:sz="0" w:space="0" w:color="0371C1"/>
                          <w:bottom w:val="single" w:sz="0" w:space="0" w:color="0371C1"/>
                          <w:right w:val="single" w:sz="0" w:space="0" w:color="0371C1"/>
                        </w:pBdr>
                        <w:shd w:val="clear" w:color="auto" w:fill="0371C1"/>
                        <w:bidi w:val="0"/>
                        <w:spacing w:before="0" w:after="0" w:line="240" w:lineRule="auto"/>
                        <w:ind w:left="0" w:right="0" w:firstLine="0"/>
                        <w:jc w:val="left"/>
                      </w:pPr>
                      <w:r>
                        <w:rPr>
                          <w:color w:val="CFE3F2"/>
                          <w:spacing w:val="0"/>
                          <w:w w:val="100"/>
                          <w:position w:val="0"/>
                        </w:rPr>
                        <w:t>新任经理培训</w:t>
                      </w:r>
                    </w:p>
                  </w:txbxContent>
                </v:textbox>
                <w10:wrap type="topAndBottom" anchorx="page"/>
              </v:shape>
            </w:pict>
          </mc:Fallback>
        </mc:AlternateContent>
      </w:r>
      <w:r>
        <mc:AlternateContent>
          <mc:Choice Requires="wps">
            <w:drawing>
              <wp:anchor distT="1621790" distB="878205" distL="0" distR="0" simplePos="0" relativeHeight="125829398" behindDoc="0" locked="0" layoutInCell="1" allowOverlap="1">
                <wp:simplePos x="0" y="0"/>
                <wp:positionH relativeFrom="page">
                  <wp:posOffset>3347085</wp:posOffset>
                </wp:positionH>
                <wp:positionV relativeFrom="paragraph">
                  <wp:posOffset>1621790</wp:posOffset>
                </wp:positionV>
                <wp:extent cx="856615" cy="149225"/>
                <wp:wrapTopAndBottom/>
                <wp:docPr id="53" name="Shape 53"/>
                <a:graphic xmlns:a="http://schemas.openxmlformats.org/drawingml/2006/main">
                  <a:graphicData uri="http://schemas.microsoft.com/office/word/2010/wordprocessingShape">
                    <wps:wsp>
                      <wps:cNvSpPr txBox="1"/>
                      <wps:spPr>
                        <a:xfrm>
                          <a:ext cx="856615" cy="149225"/>
                        </a:xfrm>
                        <a:prstGeom prst="rect"/>
                        <a:noFill/>
                      </wps:spPr>
                      <wps:txbx>
                        <w:txbxContent>
                          <w:p>
                            <w:pPr>
                              <w:pStyle w:val="Style32"/>
                              <w:keepNext w:val="0"/>
                              <w:keepLines w:val="0"/>
                              <w:widowControl w:val="0"/>
                              <w:pBdr>
                                <w:top w:val="single" w:sz="0" w:space="0" w:color="0272C1"/>
                                <w:left w:val="single" w:sz="0" w:space="0" w:color="0272C1"/>
                                <w:bottom w:val="single" w:sz="0" w:space="0" w:color="0272C1"/>
                                <w:right w:val="single" w:sz="0" w:space="0" w:color="0272C1"/>
                              </w:pBdr>
                              <w:shd w:val="clear" w:color="auto" w:fill="0272C1"/>
                              <w:bidi w:val="0"/>
                              <w:spacing w:before="0" w:after="0" w:line="240" w:lineRule="auto"/>
                              <w:ind w:left="0" w:right="0" w:firstLine="0"/>
                              <w:jc w:val="center"/>
                            </w:pPr>
                            <w:r>
                              <w:rPr>
                                <w:color w:val="CFE3F2"/>
                                <w:spacing w:val="0"/>
                                <w:w w:val="100"/>
                                <w:position w:val="0"/>
                              </w:rPr>
                              <w:t>修堵生培训</w:t>
                            </w:r>
                          </w:p>
                        </w:txbxContent>
                      </wps:txbx>
                      <wps:bodyPr wrap="none" lIns="0" tIns="0" rIns="0" bIns="0">
                        <a:noAutoFit/>
                      </wps:bodyPr>
                    </wps:wsp>
                  </a:graphicData>
                </a:graphic>
              </wp:anchor>
            </w:drawing>
          </mc:Choice>
          <mc:Fallback>
            <w:pict>
              <v:shape id="_x0000_s1079" type="#_x0000_t202" style="position:absolute;margin-left:263.55000000000001pt;margin-top:127.7pt;width:67.450000000000003pt;height:11.75pt;z-index:-125829355;mso-wrap-distance-left:0;mso-wrap-distance-top:127.7pt;mso-wrap-distance-right:0;mso-wrap-distance-bottom:69.150000000000006pt;mso-position-horizontal-relative:page" filled="f" stroked="f">
                <v:textbox inset="0,0,0,0">
                  <w:txbxContent>
                    <w:p>
                      <w:pPr>
                        <w:pStyle w:val="Style32"/>
                        <w:keepNext w:val="0"/>
                        <w:keepLines w:val="0"/>
                        <w:widowControl w:val="0"/>
                        <w:pBdr>
                          <w:top w:val="single" w:sz="0" w:space="0" w:color="0272C1"/>
                          <w:left w:val="single" w:sz="0" w:space="0" w:color="0272C1"/>
                          <w:bottom w:val="single" w:sz="0" w:space="0" w:color="0272C1"/>
                          <w:right w:val="single" w:sz="0" w:space="0" w:color="0272C1"/>
                        </w:pBdr>
                        <w:shd w:val="clear" w:color="auto" w:fill="0272C1"/>
                        <w:bidi w:val="0"/>
                        <w:spacing w:before="0" w:after="0" w:line="240" w:lineRule="auto"/>
                        <w:ind w:left="0" w:right="0" w:firstLine="0"/>
                        <w:jc w:val="center"/>
                      </w:pPr>
                      <w:r>
                        <w:rPr>
                          <w:color w:val="CFE3F2"/>
                          <w:spacing w:val="0"/>
                          <w:w w:val="100"/>
                          <w:position w:val="0"/>
                        </w:rPr>
                        <w:t>修堵生培训</w:t>
                      </w:r>
                    </w:p>
                  </w:txbxContent>
                </v:textbox>
                <w10:wrap type="topAndBottom" anchorx="page"/>
              </v:shape>
            </w:pict>
          </mc:Fallback>
        </mc:AlternateContent>
      </w:r>
      <w:r>
        <mc:AlternateContent>
          <mc:Choice Requires="wps">
            <w:drawing>
              <wp:anchor distT="1868170" distB="488315" distL="0" distR="0" simplePos="0" relativeHeight="125829400" behindDoc="0" locked="0" layoutInCell="1" allowOverlap="1">
                <wp:simplePos x="0" y="0"/>
                <wp:positionH relativeFrom="page">
                  <wp:posOffset>810895</wp:posOffset>
                </wp:positionH>
                <wp:positionV relativeFrom="paragraph">
                  <wp:posOffset>1868170</wp:posOffset>
                </wp:positionV>
                <wp:extent cx="697865" cy="292735"/>
                <wp:wrapTopAndBottom/>
                <wp:docPr id="55" name="Shape 55"/>
                <a:graphic xmlns:a="http://schemas.openxmlformats.org/drawingml/2006/main">
                  <a:graphicData uri="http://schemas.microsoft.com/office/word/2010/wordprocessingShape">
                    <wps:wsp>
                      <wps:cNvSpPr txBox="1"/>
                      <wps:spPr>
                        <a:xfrm>
                          <a:ext cx="697865" cy="292735"/>
                        </a:xfrm>
                        <a:prstGeom prst="rect"/>
                        <a:noFill/>
                      </wps:spPr>
                      <wps:txbx>
                        <w:txbxContent>
                          <w:p>
                            <w:pPr>
                              <w:pStyle w:val="Style32"/>
                              <w:keepNext w:val="0"/>
                              <w:keepLines w:val="0"/>
                              <w:widowControl w:val="0"/>
                              <w:pBdr>
                                <w:top w:val="single" w:sz="0" w:space="0" w:color="2D74B5"/>
                                <w:left w:val="single" w:sz="0" w:space="0" w:color="2D74B5"/>
                                <w:bottom w:val="single" w:sz="0" w:space="0" w:color="2D74B5"/>
                                <w:right w:val="single" w:sz="0" w:space="0" w:color="2D74B5"/>
                              </w:pBdr>
                              <w:shd w:val="clear" w:color="auto" w:fill="2D74B5"/>
                              <w:bidi w:val="0"/>
                              <w:spacing w:before="0" w:after="0" w:line="240" w:lineRule="exact"/>
                              <w:ind w:left="0" w:right="0" w:firstLine="0"/>
                              <w:jc w:val="center"/>
                            </w:pPr>
                            <w:r>
                              <w:rPr>
                                <w:color w:val="CFE3F2"/>
                                <w:spacing w:val="0"/>
                                <w:w w:val="100"/>
                                <w:position w:val="0"/>
                              </w:rPr>
                              <w:t>专业培训</w:t>
                              <w:br/>
                              <w:t>项目</w:t>
                            </w:r>
                          </w:p>
                        </w:txbxContent>
                      </wps:txbx>
                      <wps:bodyPr lIns="0" tIns="0" rIns="0" bIns="0">
                        <a:noAutoFit/>
                      </wps:bodyPr>
                    </wps:wsp>
                  </a:graphicData>
                </a:graphic>
              </wp:anchor>
            </w:drawing>
          </mc:Choice>
          <mc:Fallback>
            <w:pict>
              <v:shape id="_x0000_s1081" type="#_x0000_t202" style="position:absolute;margin-left:63.850000000000001pt;margin-top:147.09999999999999pt;width:54.950000000000003pt;height:23.050000000000001pt;z-index:-125829353;mso-wrap-distance-left:0;mso-wrap-distance-top:147.09999999999999pt;mso-wrap-distance-right:0;mso-wrap-distance-bottom:38.450000000000003pt;mso-position-horizontal-relative:page" filled="f" stroked="f">
                <v:textbox inset="0,0,0,0">
                  <w:txbxContent>
                    <w:p>
                      <w:pPr>
                        <w:pStyle w:val="Style32"/>
                        <w:keepNext w:val="0"/>
                        <w:keepLines w:val="0"/>
                        <w:widowControl w:val="0"/>
                        <w:pBdr>
                          <w:top w:val="single" w:sz="0" w:space="0" w:color="2D74B5"/>
                          <w:left w:val="single" w:sz="0" w:space="0" w:color="2D74B5"/>
                          <w:bottom w:val="single" w:sz="0" w:space="0" w:color="2D74B5"/>
                          <w:right w:val="single" w:sz="0" w:space="0" w:color="2D74B5"/>
                        </w:pBdr>
                        <w:shd w:val="clear" w:color="auto" w:fill="2D74B5"/>
                        <w:bidi w:val="0"/>
                        <w:spacing w:before="0" w:after="0" w:line="240" w:lineRule="exact"/>
                        <w:ind w:left="0" w:right="0" w:firstLine="0"/>
                        <w:jc w:val="center"/>
                      </w:pPr>
                      <w:r>
                        <w:rPr>
                          <w:color w:val="CFE3F2"/>
                          <w:spacing w:val="0"/>
                          <w:w w:val="100"/>
                          <w:position w:val="0"/>
                        </w:rPr>
                        <w:t>专业培训</w:t>
                        <w:br/>
                        <w:t>项目</w:t>
                      </w:r>
                    </w:p>
                  </w:txbxContent>
                </v:textbox>
                <w10:wrap type="topAndBottom" anchorx="page"/>
              </v:shape>
            </w:pict>
          </mc:Fallback>
        </mc:AlternateContent>
      </w:r>
      <w:r>
        <mc:AlternateContent>
          <mc:Choice Requires="wps">
            <w:drawing>
              <wp:anchor distT="1944370" distB="555625" distL="0" distR="0" simplePos="0" relativeHeight="125829402" behindDoc="0" locked="0" layoutInCell="1" allowOverlap="1">
                <wp:simplePos x="0" y="0"/>
                <wp:positionH relativeFrom="page">
                  <wp:posOffset>1926590</wp:posOffset>
                </wp:positionH>
                <wp:positionV relativeFrom="paragraph">
                  <wp:posOffset>1944370</wp:posOffset>
                </wp:positionV>
                <wp:extent cx="536575" cy="149225"/>
                <wp:wrapTopAndBottom/>
                <wp:docPr id="57" name="Shape 57"/>
                <a:graphic xmlns:a="http://schemas.openxmlformats.org/drawingml/2006/main">
                  <a:graphicData uri="http://schemas.microsoft.com/office/word/2010/wordprocessingShape">
                    <wps:wsp>
                      <wps:cNvSpPr txBox="1"/>
                      <wps:spPr>
                        <a:xfrm>
                          <a:ext cx="536575" cy="149225"/>
                        </a:xfrm>
                        <a:prstGeom prst="rect"/>
                        <a:noFill/>
                      </wps:spPr>
                      <wps:txbx>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pPr>
                            <w:r>
                              <w:rPr>
                                <w:color w:val="CFE3F2"/>
                                <w:spacing w:val="0"/>
                                <w:w w:val="100"/>
                                <w:position w:val="0"/>
                              </w:rPr>
                              <w:t>产品类</w:t>
                            </w:r>
                          </w:p>
                        </w:txbxContent>
                      </wps:txbx>
                      <wps:bodyPr wrap="none" lIns="0" tIns="0" rIns="0" bIns="0">
                        <a:noAutoFit/>
                      </wps:bodyPr>
                    </wps:wsp>
                  </a:graphicData>
                </a:graphic>
              </wp:anchor>
            </w:drawing>
          </mc:Choice>
          <mc:Fallback>
            <w:pict>
              <v:shape id="_x0000_s1083" type="#_x0000_t202" style="position:absolute;margin-left:151.70000000000002pt;margin-top:153.09999999999999pt;width:42.25pt;height:11.75pt;z-index:-125829351;mso-wrap-distance-left:0;mso-wrap-distance-top:153.09999999999999pt;mso-wrap-distance-right:0;mso-wrap-distance-bottom:43.75pt;mso-position-horizontal-relative:page" filled="f" stroked="f">
                <v:textbox inset="0,0,0,0">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pPr>
                      <w:r>
                        <w:rPr>
                          <w:color w:val="CFE3F2"/>
                          <w:spacing w:val="0"/>
                          <w:w w:val="100"/>
                          <w:position w:val="0"/>
                        </w:rPr>
                        <w:t>产品类</w:t>
                      </w:r>
                    </w:p>
                  </w:txbxContent>
                </v:textbox>
                <w10:wrap type="topAndBottom" anchorx="page"/>
              </v:shape>
            </w:pict>
          </mc:Fallback>
        </mc:AlternateContent>
      </w:r>
      <w:r>
        <mc:AlternateContent>
          <mc:Choice Requires="wps">
            <w:drawing>
              <wp:anchor distT="1944370" distB="546100" distL="0" distR="0" simplePos="0" relativeHeight="125829404" behindDoc="0" locked="0" layoutInCell="1" allowOverlap="1">
                <wp:simplePos x="0" y="0"/>
                <wp:positionH relativeFrom="page">
                  <wp:posOffset>2983865</wp:posOffset>
                </wp:positionH>
                <wp:positionV relativeFrom="paragraph">
                  <wp:posOffset>1944370</wp:posOffset>
                </wp:positionV>
                <wp:extent cx="533400" cy="158750"/>
                <wp:wrapTopAndBottom/>
                <wp:docPr id="59" name="Shape 59"/>
                <a:graphic xmlns:a="http://schemas.openxmlformats.org/drawingml/2006/main">
                  <a:graphicData uri="http://schemas.microsoft.com/office/word/2010/wordprocessingShape">
                    <wps:wsp>
                      <wps:cNvSpPr txBox="1"/>
                      <wps:spPr>
                        <a:xfrm>
                          <a:ext cx="533400" cy="158750"/>
                        </a:xfrm>
                        <a:prstGeom prst="rect"/>
                        <a:noFill/>
                      </wps:spPr>
                      <wps:txbx>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pPr>
                            <w:r>
                              <w:rPr>
                                <w:color w:val="CFE3F2"/>
                                <w:spacing w:val="0"/>
                                <w:w w:val="100"/>
                                <w:position w:val="0"/>
                              </w:rPr>
                              <w:t>销售类</w:t>
                            </w:r>
                          </w:p>
                        </w:txbxContent>
                      </wps:txbx>
                      <wps:bodyPr wrap="none" lIns="0" tIns="0" rIns="0" bIns="0">
                        <a:noAutoFit/>
                      </wps:bodyPr>
                    </wps:wsp>
                  </a:graphicData>
                </a:graphic>
              </wp:anchor>
            </w:drawing>
          </mc:Choice>
          <mc:Fallback>
            <w:pict>
              <v:shape id="_x0000_s1085" type="#_x0000_t202" style="position:absolute;margin-left:234.95000000000002pt;margin-top:153.09999999999999pt;width:42.pt;height:12.5pt;z-index:-125829349;mso-wrap-distance-left:0;mso-wrap-distance-top:153.09999999999999pt;mso-wrap-distance-right:0;mso-wrap-distance-bottom:43.pt;mso-position-horizontal-relative:page" filled="f" stroked="f">
                <v:textbox inset="0,0,0,0">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pPr>
                      <w:r>
                        <w:rPr>
                          <w:color w:val="CFE3F2"/>
                          <w:spacing w:val="0"/>
                          <w:w w:val="100"/>
                          <w:position w:val="0"/>
                        </w:rPr>
                        <w:t>销售类</w:t>
                      </w:r>
                    </w:p>
                  </w:txbxContent>
                </v:textbox>
                <w10:wrap type="topAndBottom" anchorx="page"/>
              </v:shape>
            </w:pict>
          </mc:Fallback>
        </mc:AlternateContent>
      </w:r>
      <w:r>
        <mc:AlternateContent>
          <mc:Choice Requires="wps">
            <w:drawing>
              <wp:anchor distT="1944370" distB="555625" distL="0" distR="0" simplePos="0" relativeHeight="125829406" behindDoc="0" locked="0" layoutInCell="1" allowOverlap="1">
                <wp:simplePos x="0" y="0"/>
                <wp:positionH relativeFrom="page">
                  <wp:posOffset>4041775</wp:posOffset>
                </wp:positionH>
                <wp:positionV relativeFrom="paragraph">
                  <wp:posOffset>1944370</wp:posOffset>
                </wp:positionV>
                <wp:extent cx="524510" cy="149225"/>
                <wp:wrapTopAndBottom/>
                <wp:docPr id="61" name="Shape 61"/>
                <a:graphic xmlns:a="http://schemas.openxmlformats.org/drawingml/2006/main">
                  <a:graphicData uri="http://schemas.microsoft.com/office/word/2010/wordprocessingShape">
                    <wps:wsp>
                      <wps:cNvSpPr txBox="1"/>
                      <wps:spPr>
                        <a:xfrm>
                          <a:ext cx="524510" cy="149225"/>
                        </a:xfrm>
                        <a:prstGeom prst="rect"/>
                        <a:noFill/>
                      </wps:spPr>
                      <wps:txbx>
                        <w:txbxContent>
                          <w:p>
                            <w:pPr>
                              <w:pStyle w:val="Style32"/>
                              <w:keepNext w:val="0"/>
                              <w:keepLines w:val="0"/>
                              <w:widowControl w:val="0"/>
                              <w:pBdr>
                                <w:top w:val="single" w:sz="0" w:space="0" w:color="0372C1"/>
                                <w:left w:val="single" w:sz="0" w:space="0" w:color="0372C1"/>
                                <w:bottom w:val="single" w:sz="0" w:space="0" w:color="0372C1"/>
                                <w:right w:val="single" w:sz="0" w:space="0" w:color="0372C1"/>
                              </w:pBdr>
                              <w:shd w:val="clear" w:color="auto" w:fill="0372C1"/>
                              <w:bidi w:val="0"/>
                              <w:spacing w:before="0" w:after="0" w:line="240" w:lineRule="auto"/>
                              <w:ind w:left="0" w:right="0" w:firstLine="0"/>
                              <w:jc w:val="left"/>
                            </w:pPr>
                            <w:r>
                              <w:rPr>
                                <w:color w:val="CFE3F2"/>
                                <w:spacing w:val="0"/>
                                <w:w w:val="100"/>
                                <w:position w:val="0"/>
                              </w:rPr>
                              <w:t>技术类</w:t>
                            </w:r>
                          </w:p>
                        </w:txbxContent>
                      </wps:txbx>
                      <wps:bodyPr wrap="none" lIns="0" tIns="0" rIns="0" bIns="0">
                        <a:noAutoFit/>
                      </wps:bodyPr>
                    </wps:wsp>
                  </a:graphicData>
                </a:graphic>
              </wp:anchor>
            </w:drawing>
          </mc:Choice>
          <mc:Fallback>
            <w:pict>
              <v:shape id="_x0000_s1087" type="#_x0000_t202" style="position:absolute;margin-left:318.25pt;margin-top:153.09999999999999pt;width:41.300000000000004pt;height:11.75pt;z-index:-125829347;mso-wrap-distance-left:0;mso-wrap-distance-top:153.09999999999999pt;mso-wrap-distance-right:0;mso-wrap-distance-bottom:43.75pt;mso-position-horizontal-relative:page" filled="f" stroked="f">
                <v:textbox inset="0,0,0,0">
                  <w:txbxContent>
                    <w:p>
                      <w:pPr>
                        <w:pStyle w:val="Style32"/>
                        <w:keepNext w:val="0"/>
                        <w:keepLines w:val="0"/>
                        <w:widowControl w:val="0"/>
                        <w:pBdr>
                          <w:top w:val="single" w:sz="0" w:space="0" w:color="0372C1"/>
                          <w:left w:val="single" w:sz="0" w:space="0" w:color="0372C1"/>
                          <w:bottom w:val="single" w:sz="0" w:space="0" w:color="0372C1"/>
                          <w:right w:val="single" w:sz="0" w:space="0" w:color="0372C1"/>
                        </w:pBdr>
                        <w:shd w:val="clear" w:color="auto" w:fill="0372C1"/>
                        <w:bidi w:val="0"/>
                        <w:spacing w:before="0" w:after="0" w:line="240" w:lineRule="auto"/>
                        <w:ind w:left="0" w:right="0" w:firstLine="0"/>
                        <w:jc w:val="left"/>
                      </w:pPr>
                      <w:r>
                        <w:rPr>
                          <w:color w:val="CFE3F2"/>
                          <w:spacing w:val="0"/>
                          <w:w w:val="100"/>
                          <w:position w:val="0"/>
                        </w:rPr>
                        <w:t>技术类</w:t>
                      </w:r>
                    </w:p>
                  </w:txbxContent>
                </v:textbox>
                <w10:wrap type="topAndBottom" anchorx="page"/>
              </v:shape>
            </w:pict>
          </mc:Fallback>
        </mc:AlternateContent>
      </w:r>
      <w:r>
        <mc:AlternateContent>
          <mc:Choice Requires="wps">
            <w:drawing>
              <wp:anchor distT="1944370" distB="555625" distL="0" distR="0" simplePos="0" relativeHeight="125829408" behindDoc="0" locked="0" layoutInCell="1" allowOverlap="1">
                <wp:simplePos x="0" y="0"/>
                <wp:positionH relativeFrom="page">
                  <wp:posOffset>5099685</wp:posOffset>
                </wp:positionH>
                <wp:positionV relativeFrom="paragraph">
                  <wp:posOffset>1944370</wp:posOffset>
                </wp:positionV>
                <wp:extent cx="533400" cy="149225"/>
                <wp:wrapTopAndBottom/>
                <wp:docPr id="63" name="Shape 63"/>
                <a:graphic xmlns:a="http://schemas.openxmlformats.org/drawingml/2006/main">
                  <a:graphicData uri="http://schemas.microsoft.com/office/word/2010/wordprocessingShape">
                    <wps:wsp>
                      <wps:cNvSpPr txBox="1"/>
                      <wps:spPr>
                        <a:xfrm>
                          <a:ext cx="533400" cy="149225"/>
                        </a:xfrm>
                        <a:prstGeom prst="rect"/>
                        <a:noFill/>
                      </wps:spPr>
                      <wps:txbx>
                        <w:txbxContent>
                          <w:p>
                            <w:pPr>
                              <w:pStyle w:val="Style32"/>
                              <w:keepNext w:val="0"/>
                              <w:keepLines w:val="0"/>
                              <w:widowControl w:val="0"/>
                              <w:pBdr>
                                <w:top w:val="single" w:sz="4" w:space="0" w:color="0472C2"/>
                                <w:left w:val="single" w:sz="4" w:space="0" w:color="0472C2"/>
                                <w:bottom w:val="single" w:sz="4" w:space="0" w:color="0472C2"/>
                                <w:right w:val="single" w:sz="4" w:space="0" w:color="0472C2"/>
                              </w:pBdr>
                              <w:shd w:val="clear" w:color="auto" w:fill="0472C2"/>
                              <w:bidi w:val="0"/>
                              <w:spacing w:before="0" w:after="0" w:line="240" w:lineRule="auto"/>
                              <w:ind w:left="0" w:right="0" w:firstLine="0"/>
                              <w:jc w:val="left"/>
                            </w:pPr>
                            <w:r>
                              <w:rPr>
                                <w:color w:val="CFE3F2"/>
                                <w:spacing w:val="0"/>
                                <w:w w:val="100"/>
                                <w:position w:val="0"/>
                              </w:rPr>
                              <w:t>职能类</w:t>
                            </w:r>
                          </w:p>
                        </w:txbxContent>
                      </wps:txbx>
                      <wps:bodyPr wrap="none" lIns="0" tIns="0" rIns="0" bIns="0">
                        <a:noAutoFit/>
                      </wps:bodyPr>
                    </wps:wsp>
                  </a:graphicData>
                </a:graphic>
              </wp:anchor>
            </w:drawing>
          </mc:Choice>
          <mc:Fallback>
            <w:pict>
              <v:shape id="_x0000_s1089" type="#_x0000_t202" style="position:absolute;margin-left:401.55000000000001pt;margin-top:153.09999999999999pt;width:42.pt;height:11.75pt;z-index:-125829345;mso-wrap-distance-left:0;mso-wrap-distance-top:153.09999999999999pt;mso-wrap-distance-right:0;mso-wrap-distance-bottom:43.75pt;mso-position-horizontal-relative:page" filled="f" stroked="f">
                <v:textbox inset="0,0,0,0">
                  <w:txbxContent>
                    <w:p>
                      <w:pPr>
                        <w:pStyle w:val="Style32"/>
                        <w:keepNext w:val="0"/>
                        <w:keepLines w:val="0"/>
                        <w:widowControl w:val="0"/>
                        <w:pBdr>
                          <w:top w:val="single" w:sz="4" w:space="0" w:color="0472C2"/>
                          <w:left w:val="single" w:sz="4" w:space="0" w:color="0472C2"/>
                          <w:bottom w:val="single" w:sz="4" w:space="0" w:color="0472C2"/>
                          <w:right w:val="single" w:sz="4" w:space="0" w:color="0472C2"/>
                        </w:pBdr>
                        <w:shd w:val="clear" w:color="auto" w:fill="0472C2"/>
                        <w:bidi w:val="0"/>
                        <w:spacing w:before="0" w:after="0" w:line="240" w:lineRule="auto"/>
                        <w:ind w:left="0" w:right="0" w:firstLine="0"/>
                        <w:jc w:val="left"/>
                      </w:pPr>
                      <w:r>
                        <w:rPr>
                          <w:color w:val="CFE3F2"/>
                          <w:spacing w:val="0"/>
                          <w:w w:val="100"/>
                          <w:position w:val="0"/>
                        </w:rPr>
                        <w:t>职能类</w:t>
                      </w:r>
                    </w:p>
                  </w:txbxContent>
                </v:textbox>
                <w10:wrap type="topAndBottom" anchorx="page"/>
              </v:shape>
            </w:pict>
          </mc:Fallback>
        </mc:AlternateContent>
      </w:r>
      <w:r>
        <mc:AlternateContent>
          <mc:Choice Requires="wps">
            <w:drawing>
              <wp:anchor distT="2243455" distB="88900" distL="0" distR="0" simplePos="0" relativeHeight="125829410" behindDoc="0" locked="0" layoutInCell="1" allowOverlap="1">
                <wp:simplePos x="0" y="0"/>
                <wp:positionH relativeFrom="page">
                  <wp:posOffset>822960</wp:posOffset>
                </wp:positionH>
                <wp:positionV relativeFrom="paragraph">
                  <wp:posOffset>2243455</wp:posOffset>
                </wp:positionV>
                <wp:extent cx="694690" cy="316865"/>
                <wp:wrapTopAndBottom/>
                <wp:docPr id="65" name="Shape 65"/>
                <a:graphic xmlns:a="http://schemas.openxmlformats.org/drawingml/2006/main">
                  <a:graphicData uri="http://schemas.microsoft.com/office/word/2010/wordprocessingShape">
                    <wps:wsp>
                      <wps:cNvSpPr txBox="1"/>
                      <wps:spPr>
                        <a:xfrm>
                          <a:ext cx="694690" cy="316865"/>
                        </a:xfrm>
                        <a:prstGeom prst="rect"/>
                        <a:noFill/>
                      </wps:spPr>
                      <wps:txbx>
                        <w:txbxContent>
                          <w:p>
                            <w:pPr>
                              <w:pStyle w:val="Style32"/>
                              <w:keepNext w:val="0"/>
                              <w:keepLines w:val="0"/>
                              <w:widowControl w:val="0"/>
                              <w:pBdr>
                                <w:top w:val="single" w:sz="0" w:space="0" w:color="2D74B5"/>
                                <w:left w:val="single" w:sz="0" w:space="0" w:color="2D74B5"/>
                                <w:bottom w:val="single" w:sz="0" w:space="0" w:color="2D74B5"/>
                                <w:right w:val="single" w:sz="0" w:space="0" w:color="2D74B5"/>
                              </w:pBdr>
                              <w:shd w:val="clear" w:color="auto" w:fill="2D74B5"/>
                              <w:bidi w:val="0"/>
                              <w:spacing w:before="0" w:after="0" w:line="240" w:lineRule="exact"/>
                              <w:ind w:left="0" w:right="0" w:firstLine="0"/>
                              <w:jc w:val="center"/>
                            </w:pPr>
                            <w:r>
                              <w:rPr>
                                <w:color w:val="CFE3F2"/>
                                <w:spacing w:val="0"/>
                                <w:w w:val="100"/>
                                <w:position w:val="0"/>
                              </w:rPr>
                              <w:t>新人培养</w:t>
                              <w:br/>
                              <w:t>项目</w:t>
                            </w:r>
                          </w:p>
                        </w:txbxContent>
                      </wps:txbx>
                      <wps:bodyPr lIns="0" tIns="0" rIns="0" bIns="0">
                        <a:noAutoFit/>
                      </wps:bodyPr>
                    </wps:wsp>
                  </a:graphicData>
                </a:graphic>
              </wp:anchor>
            </w:drawing>
          </mc:Choice>
          <mc:Fallback>
            <w:pict>
              <v:shape id="_x0000_s1091" type="#_x0000_t202" style="position:absolute;margin-left:64.799999999999997pt;margin-top:176.65000000000001pt;width:54.700000000000003pt;height:24.949999999999999pt;z-index:-125829343;mso-wrap-distance-left:0;mso-wrap-distance-top:176.65000000000001pt;mso-wrap-distance-right:0;mso-wrap-distance-bottom:7.pt;mso-position-horizontal-relative:page" filled="f" stroked="f">
                <v:textbox inset="0,0,0,0">
                  <w:txbxContent>
                    <w:p>
                      <w:pPr>
                        <w:pStyle w:val="Style32"/>
                        <w:keepNext w:val="0"/>
                        <w:keepLines w:val="0"/>
                        <w:widowControl w:val="0"/>
                        <w:pBdr>
                          <w:top w:val="single" w:sz="0" w:space="0" w:color="2D74B5"/>
                          <w:left w:val="single" w:sz="0" w:space="0" w:color="2D74B5"/>
                          <w:bottom w:val="single" w:sz="0" w:space="0" w:color="2D74B5"/>
                          <w:right w:val="single" w:sz="0" w:space="0" w:color="2D74B5"/>
                        </w:pBdr>
                        <w:shd w:val="clear" w:color="auto" w:fill="2D74B5"/>
                        <w:bidi w:val="0"/>
                        <w:spacing w:before="0" w:after="0" w:line="240" w:lineRule="exact"/>
                        <w:ind w:left="0" w:right="0" w:firstLine="0"/>
                        <w:jc w:val="center"/>
                      </w:pPr>
                      <w:r>
                        <w:rPr>
                          <w:color w:val="CFE3F2"/>
                          <w:spacing w:val="0"/>
                          <w:w w:val="100"/>
                          <w:position w:val="0"/>
                        </w:rPr>
                        <w:t>新人培养</w:t>
                        <w:br/>
                        <w:t>项目</w:t>
                      </w:r>
                    </w:p>
                  </w:txbxContent>
                </v:textbox>
                <w10:wrap type="topAndBottom" anchorx="page"/>
              </v:shape>
            </w:pict>
          </mc:Fallback>
        </mc:AlternateContent>
      </w:r>
      <w:r>
        <mc:AlternateContent>
          <mc:Choice Requires="wps">
            <w:drawing>
              <wp:anchor distT="2233930" distB="98425" distL="0" distR="0" simplePos="0" relativeHeight="125829412" behindDoc="0" locked="0" layoutInCell="1" allowOverlap="1">
                <wp:simplePos x="0" y="0"/>
                <wp:positionH relativeFrom="page">
                  <wp:posOffset>1945005</wp:posOffset>
                </wp:positionH>
                <wp:positionV relativeFrom="paragraph">
                  <wp:posOffset>2233930</wp:posOffset>
                </wp:positionV>
                <wp:extent cx="859790" cy="316865"/>
                <wp:wrapTopAndBottom/>
                <wp:docPr id="67" name="Shape 67"/>
                <a:graphic xmlns:a="http://schemas.openxmlformats.org/drawingml/2006/main">
                  <a:graphicData uri="http://schemas.microsoft.com/office/word/2010/wordprocessingShape">
                    <wps:wsp>
                      <wps:cNvSpPr txBox="1"/>
                      <wps:spPr>
                        <a:xfrm>
                          <a:ext cx="859790" cy="316865"/>
                        </a:xfrm>
                        <a:prstGeom prst="rect"/>
                        <a:noFill/>
                      </wps:spPr>
                      <wps:txbx>
                        <w:txbxContent>
                          <w:p>
                            <w:pPr>
                              <w:pStyle w:val="Style32"/>
                              <w:keepNext w:val="0"/>
                              <w:keepLines w:val="0"/>
                              <w:widowControl w:val="0"/>
                              <w:pBdr>
                                <w:top w:val="single" w:sz="4" w:space="0" w:color="0271C1"/>
                                <w:left w:val="single" w:sz="4" w:space="0" w:color="0271C1"/>
                                <w:bottom w:val="single" w:sz="4" w:space="0" w:color="0271C1"/>
                                <w:right w:val="single" w:sz="4" w:space="0" w:color="0271C1"/>
                              </w:pBdr>
                              <w:shd w:val="clear" w:color="auto" w:fill="0271C1"/>
                              <w:bidi w:val="0"/>
                              <w:spacing w:before="0" w:after="0" w:line="240" w:lineRule="exact"/>
                              <w:ind w:left="0" w:right="0" w:firstLine="0"/>
                              <w:jc w:val="center"/>
                            </w:pPr>
                            <w:r>
                              <w:rPr>
                                <w:color w:val="CFE3F2"/>
                                <w:spacing w:val="0"/>
                                <w:w w:val="100"/>
                                <w:position w:val="0"/>
                              </w:rPr>
                              <w:t>社招新人</w:t>
                              <w:br/>
                              <w:t>入校子培训</w:t>
                            </w:r>
                          </w:p>
                        </w:txbxContent>
                      </wps:txbx>
                      <wps:bodyPr lIns="0" tIns="0" rIns="0" bIns="0">
                        <a:noAutoFit/>
                      </wps:bodyPr>
                    </wps:wsp>
                  </a:graphicData>
                </a:graphic>
              </wp:anchor>
            </w:drawing>
          </mc:Choice>
          <mc:Fallback>
            <w:pict>
              <v:shape id="_x0000_s1093" type="#_x0000_t202" style="position:absolute;margin-left:153.15000000000001pt;margin-top:175.90000000000001pt;width:67.700000000000003pt;height:24.949999999999999pt;z-index:-125829341;mso-wrap-distance-left:0;mso-wrap-distance-top:175.90000000000001pt;mso-wrap-distance-right:0;mso-wrap-distance-bottom:7.75pt;mso-position-horizontal-relative:page" filled="f" stroked="f">
                <v:textbox inset="0,0,0,0">
                  <w:txbxContent>
                    <w:p>
                      <w:pPr>
                        <w:pStyle w:val="Style32"/>
                        <w:keepNext w:val="0"/>
                        <w:keepLines w:val="0"/>
                        <w:widowControl w:val="0"/>
                        <w:pBdr>
                          <w:top w:val="single" w:sz="4" w:space="0" w:color="0271C1"/>
                          <w:left w:val="single" w:sz="4" w:space="0" w:color="0271C1"/>
                          <w:bottom w:val="single" w:sz="4" w:space="0" w:color="0271C1"/>
                          <w:right w:val="single" w:sz="4" w:space="0" w:color="0271C1"/>
                        </w:pBdr>
                        <w:shd w:val="clear" w:color="auto" w:fill="0271C1"/>
                        <w:bidi w:val="0"/>
                        <w:spacing w:before="0" w:after="0" w:line="240" w:lineRule="exact"/>
                        <w:ind w:left="0" w:right="0" w:firstLine="0"/>
                        <w:jc w:val="center"/>
                      </w:pPr>
                      <w:r>
                        <w:rPr>
                          <w:color w:val="CFE3F2"/>
                          <w:spacing w:val="0"/>
                          <w:w w:val="100"/>
                          <w:position w:val="0"/>
                        </w:rPr>
                        <w:t>社招新人</w:t>
                        <w:br/>
                        <w:t>入校子培训</w:t>
                      </w:r>
                    </w:p>
                  </w:txbxContent>
                </v:textbox>
                <w10:wrap type="topAndBottom" anchorx="page"/>
              </v:shape>
            </w:pict>
          </mc:Fallback>
        </mc:AlternateContent>
      </w:r>
      <w:r>
        <mc:AlternateContent>
          <mc:Choice Requires="wps">
            <w:drawing>
              <wp:anchor distT="2233930" distB="98425" distL="0" distR="0" simplePos="0" relativeHeight="125829414" behindDoc="0" locked="0" layoutInCell="1" allowOverlap="1">
                <wp:simplePos x="0" y="0"/>
                <wp:positionH relativeFrom="page">
                  <wp:posOffset>3355975</wp:posOffset>
                </wp:positionH>
                <wp:positionV relativeFrom="paragraph">
                  <wp:posOffset>2233930</wp:posOffset>
                </wp:positionV>
                <wp:extent cx="859790" cy="316865"/>
                <wp:wrapTopAndBottom/>
                <wp:docPr id="69" name="Shape 69"/>
                <a:graphic xmlns:a="http://schemas.openxmlformats.org/drawingml/2006/main">
                  <a:graphicData uri="http://schemas.microsoft.com/office/word/2010/wordprocessingShape">
                    <wps:wsp>
                      <wps:cNvSpPr txBox="1"/>
                      <wps:spPr>
                        <a:xfrm>
                          <a:ext cx="859790" cy="316865"/>
                        </a:xfrm>
                        <a:prstGeom prst="rect"/>
                        <a:noFill/>
                      </wps:spPr>
                      <wps:txbx>
                        <w:txbxContent>
                          <w:p>
                            <w:pPr>
                              <w:pStyle w:val="Style32"/>
                              <w:keepNext w:val="0"/>
                              <w:keepLines w:val="0"/>
                              <w:widowControl w:val="0"/>
                              <w:pBdr>
                                <w:top w:val="single" w:sz="4" w:space="0" w:color="0171C1"/>
                                <w:left w:val="single" w:sz="4" w:space="0" w:color="0171C1"/>
                                <w:bottom w:val="single" w:sz="4" w:space="0" w:color="0171C1"/>
                                <w:right w:val="single" w:sz="4" w:space="0" w:color="0171C1"/>
                              </w:pBdr>
                              <w:shd w:val="clear" w:color="auto" w:fill="0171C1"/>
                              <w:bidi w:val="0"/>
                              <w:spacing w:before="0" w:after="0" w:line="240" w:lineRule="exact"/>
                              <w:ind w:left="0" w:right="0" w:firstLine="0"/>
                              <w:jc w:val="center"/>
                            </w:pPr>
                            <w:r>
                              <w:rPr>
                                <w:color w:val="CFE3F2"/>
                                <w:spacing w:val="0"/>
                                <w:w w:val="100"/>
                                <w:position w:val="0"/>
                              </w:rPr>
                              <w:t>应届生</w:t>
                              <w:br/>
                              <w:t>入模子培训</w:t>
                            </w:r>
                          </w:p>
                        </w:txbxContent>
                      </wps:txbx>
                      <wps:bodyPr lIns="0" tIns="0" rIns="0" bIns="0">
                        <a:noAutoFit/>
                      </wps:bodyPr>
                    </wps:wsp>
                  </a:graphicData>
                </a:graphic>
              </wp:anchor>
            </w:drawing>
          </mc:Choice>
          <mc:Fallback>
            <w:pict>
              <v:shape id="_x0000_s1095" type="#_x0000_t202" style="position:absolute;margin-left:264.25pt;margin-top:175.90000000000001pt;width:67.700000000000003pt;height:24.949999999999999pt;z-index:-125829339;mso-wrap-distance-left:0;mso-wrap-distance-top:175.90000000000001pt;mso-wrap-distance-right:0;mso-wrap-distance-bottom:7.75pt;mso-position-horizontal-relative:page" filled="f" stroked="f">
                <v:textbox inset="0,0,0,0">
                  <w:txbxContent>
                    <w:p>
                      <w:pPr>
                        <w:pStyle w:val="Style32"/>
                        <w:keepNext w:val="0"/>
                        <w:keepLines w:val="0"/>
                        <w:widowControl w:val="0"/>
                        <w:pBdr>
                          <w:top w:val="single" w:sz="4" w:space="0" w:color="0171C1"/>
                          <w:left w:val="single" w:sz="4" w:space="0" w:color="0171C1"/>
                          <w:bottom w:val="single" w:sz="4" w:space="0" w:color="0171C1"/>
                          <w:right w:val="single" w:sz="4" w:space="0" w:color="0171C1"/>
                        </w:pBdr>
                        <w:shd w:val="clear" w:color="auto" w:fill="0171C1"/>
                        <w:bidi w:val="0"/>
                        <w:spacing w:before="0" w:after="0" w:line="240" w:lineRule="exact"/>
                        <w:ind w:left="0" w:right="0" w:firstLine="0"/>
                        <w:jc w:val="center"/>
                      </w:pPr>
                      <w:r>
                        <w:rPr>
                          <w:color w:val="CFE3F2"/>
                          <w:spacing w:val="0"/>
                          <w:w w:val="100"/>
                          <w:position w:val="0"/>
                        </w:rPr>
                        <w:t>应届生</w:t>
                        <w:br/>
                        <w:t>入模子培训</w:t>
                      </w:r>
                    </w:p>
                  </w:txbxContent>
                </v:textbox>
                <w10:wrap type="topAndBottom" anchorx="page"/>
              </v:shape>
            </w:pict>
          </mc:Fallback>
        </mc:AlternateContent>
      </w:r>
      <w:r>
        <mc:AlternateContent>
          <mc:Choice Requires="wps">
            <w:drawing>
              <wp:anchor distT="2325370" distB="174625" distL="0" distR="0" simplePos="0" relativeHeight="125829416" behindDoc="0" locked="0" layoutInCell="1" allowOverlap="1">
                <wp:simplePos x="0" y="0"/>
                <wp:positionH relativeFrom="page">
                  <wp:posOffset>4669790</wp:posOffset>
                </wp:positionH>
                <wp:positionV relativeFrom="paragraph">
                  <wp:posOffset>2325370</wp:posOffset>
                </wp:positionV>
                <wp:extent cx="1039495" cy="149225"/>
                <wp:wrapTopAndBottom/>
                <wp:docPr id="71" name="Shape 71"/>
                <a:graphic xmlns:a="http://schemas.openxmlformats.org/drawingml/2006/main">
                  <a:graphicData uri="http://schemas.microsoft.com/office/word/2010/wordprocessingShape">
                    <wps:wsp>
                      <wps:cNvSpPr txBox="1"/>
                      <wps:spPr>
                        <a:xfrm>
                          <a:ext cx="1039495" cy="149225"/>
                        </a:xfrm>
                        <a:prstGeom prst="rect"/>
                        <a:noFill/>
                      </wps:spPr>
                      <wps:txbx>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pPr>
                            <w:r>
                              <w:rPr>
                                <w:color w:val="CFE3F2"/>
                                <w:spacing w:val="0"/>
                                <w:w w:val="100"/>
                                <w:position w:val="0"/>
                              </w:rPr>
                              <w:t>英才培养计划</w:t>
                            </w:r>
                          </w:p>
                        </w:txbxContent>
                      </wps:txbx>
                      <wps:bodyPr wrap="none" lIns="0" tIns="0" rIns="0" bIns="0">
                        <a:noAutoFit/>
                      </wps:bodyPr>
                    </wps:wsp>
                  </a:graphicData>
                </a:graphic>
              </wp:anchor>
            </w:drawing>
          </mc:Choice>
          <mc:Fallback>
            <w:pict>
              <v:shape id="_x0000_s1097" type="#_x0000_t202" style="position:absolute;margin-left:367.69999999999999pt;margin-top:183.09999999999999pt;width:81.850000000000009pt;height:11.75pt;z-index:-125829337;mso-wrap-distance-left:0;mso-wrap-distance-top:183.09999999999999pt;mso-wrap-distance-right:0;mso-wrap-distance-bottom:13.75pt;mso-position-horizontal-relative:page" filled="f" stroked="f">
                <v:textbox inset="0,0,0,0">
                  <w:txbxContent>
                    <w:p>
                      <w:pPr>
                        <w:pStyle w:val="Style32"/>
                        <w:keepNext w:val="0"/>
                        <w:keepLines w:val="0"/>
                        <w:widowControl w:val="0"/>
                        <w:pBdr>
                          <w:top w:val="single" w:sz="0" w:space="0" w:color="0271C1"/>
                          <w:left w:val="single" w:sz="0" w:space="0" w:color="0271C1"/>
                          <w:bottom w:val="single" w:sz="0" w:space="0" w:color="0271C1"/>
                          <w:right w:val="single" w:sz="0" w:space="0" w:color="0271C1"/>
                        </w:pBdr>
                        <w:shd w:val="clear" w:color="auto" w:fill="0271C1"/>
                        <w:bidi w:val="0"/>
                        <w:spacing w:before="0" w:after="0" w:line="240" w:lineRule="auto"/>
                        <w:ind w:left="0" w:right="0" w:firstLine="0"/>
                        <w:jc w:val="left"/>
                      </w:pPr>
                      <w:r>
                        <w:rPr>
                          <w:color w:val="CFE3F2"/>
                          <w:spacing w:val="0"/>
                          <w:w w:val="100"/>
                          <w:position w:val="0"/>
                        </w:rPr>
                        <w:t>英才培养计划</w:t>
                      </w:r>
                    </w:p>
                  </w:txbxContent>
                </v:textbox>
                <w10:wrap type="topAndBottom" anchorx="page"/>
              </v:shape>
            </w:pict>
          </mc:Fallback>
        </mc:AlternateContent>
      </w:r>
    </w:p>
    <w:p>
      <w:pPr>
        <w:pStyle w:val="Style32"/>
        <w:keepNext w:val="0"/>
        <w:keepLines w:val="0"/>
        <w:widowControl w:val="0"/>
        <w:pBdr>
          <w:top w:val="single" w:sz="4" w:space="7" w:color="599AD4"/>
          <w:left w:val="single" w:sz="4" w:space="0" w:color="599AD4"/>
          <w:bottom w:val="single" w:sz="4" w:space="9" w:color="599AD4"/>
          <w:right w:val="single" w:sz="4" w:space="0" w:color="599AD4"/>
        </w:pBdr>
        <w:shd w:val="clear" w:color="auto" w:fill="599AD4"/>
        <w:bidi w:val="0"/>
        <w:spacing w:before="0" w:after="147" w:line="240" w:lineRule="auto"/>
        <w:ind w:left="3440" w:right="0" w:firstLine="0"/>
        <w:jc w:val="left"/>
      </w:pPr>
      <w:r>
        <w:rPr>
          <w:color w:val="E5EBF4"/>
          <w:spacing w:val="0"/>
          <w:w w:val="100"/>
          <w:position w:val="0"/>
        </w:rPr>
        <w:t>平合恰理 制度曾理 课程管理 讲师管理</w:t>
      </w:r>
    </w:p>
    <w:p>
      <w:pPr>
        <w:pStyle w:val="Style30"/>
        <w:keepNext w:val="0"/>
        <w:keepLines w:val="0"/>
        <w:widowControl w:val="0"/>
        <w:pBdr>
          <w:top w:val="single" w:sz="0" w:space="0" w:color="4E80BC"/>
          <w:left w:val="single" w:sz="0" w:space="0" w:color="4E80BC"/>
          <w:bottom w:val="single" w:sz="0" w:space="0" w:color="4E80BC"/>
          <w:right w:val="single" w:sz="0" w:space="0" w:color="4E80BC"/>
        </w:pBdr>
        <w:shd w:val="clear" w:color="auto" w:fill="4E80BC"/>
        <w:tabs>
          <w:tab w:pos="2515" w:val="left"/>
          <w:tab w:pos="4061" w:val="left"/>
          <w:tab w:pos="6571" w:val="left"/>
          <w:tab w:pos="7776" w:val="left"/>
        </w:tabs>
        <w:bidi w:val="0"/>
        <w:spacing w:before="0" w:after="0" w:line="240" w:lineRule="auto"/>
        <w:ind w:left="29" w:right="0" w:firstLine="0"/>
        <w:jc w:val="left"/>
        <w:rPr>
          <w:sz w:val="17"/>
          <w:szCs w:val="17"/>
        </w:rPr>
      </w:pPr>
      <w:r>
        <w:rPr>
          <w:rFonts w:ascii="SimHei" w:eastAsia="SimHei" w:hAnsi="SimHei" w:cs="SimHei"/>
          <w:color w:val="E5EBF4"/>
          <w:spacing w:val="0"/>
          <w:w w:val="100"/>
          <w:position w:val="0"/>
          <w:sz w:val="14"/>
          <w:szCs w:val="14"/>
        </w:rPr>
        <w:t>摩</w:t>
      </w:r>
      <w:r>
        <w:rPr>
          <w:rFonts w:ascii="Arial Unicode MS" w:eastAsia="Arial Unicode MS" w:hAnsi="Arial Unicode MS" w:cs="Arial Unicode MS"/>
          <w:color w:val="E5EBF4"/>
          <w:spacing w:val="0"/>
          <w:w w:val="100"/>
          <w:position w:val="0"/>
          <w:sz w:val="12"/>
          <w:szCs w:val="12"/>
        </w:rPr>
        <w:t>・</w:t>
      </w:r>
      <w:r>
        <w:rPr>
          <w:rFonts w:ascii="SimHei" w:eastAsia="SimHei" w:hAnsi="SimHei" w:cs="SimHei"/>
          <w:color w:val="E5EBF4"/>
          <w:spacing w:val="0"/>
          <w:w w:val="100"/>
          <w:position w:val="0"/>
          <w:sz w:val="14"/>
          <w:szCs w:val="14"/>
        </w:rPr>
        <w:t xml:space="preserve"> 璃目类别</w:t>
        <w:tab/>
        <w:t>咬目</w:t>
        <w:tab/>
        <w:t>期次</w:t>
        <w:tab/>
        <w:t>踵盖入励斑</w:t>
        <w:tab/>
        <w:t>阪盖人次</w:t>
      </w:r>
      <w:r>
        <w:rPr>
          <w:rFonts w:ascii="Times New Roman" w:eastAsia="Times New Roman" w:hAnsi="Times New Roman" w:cs="Times New Roman"/>
          <w:b/>
          <w:bCs/>
          <w:color w:val="E5EBF4"/>
          <w:spacing w:val="0"/>
          <w:w w:val="100"/>
          <w:position w:val="0"/>
          <w:sz w:val="17"/>
          <w:szCs w:val="17"/>
        </w:rPr>
        <w:t>(»Ht)</w:t>
      </w:r>
    </w:p>
    <w:tbl>
      <w:tblPr>
        <w:tblOverlap w:val="never"/>
        <w:jc w:val="center"/>
        <w:tblLayout w:type="fixed"/>
      </w:tblPr>
      <w:tblGrid>
        <w:gridCol w:w="408"/>
        <w:gridCol w:w="1378"/>
        <w:gridCol w:w="1814"/>
        <w:gridCol w:w="1378"/>
        <w:gridCol w:w="1382"/>
        <w:gridCol w:w="1378"/>
        <w:gridCol w:w="1397"/>
      </w:tblGrid>
      <w:tr>
        <w:trPr>
          <w:trHeight w:val="374" w:hRule="exact"/>
        </w:trPr>
        <w:tc>
          <w:tcPr>
            <w:tcBorders>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424242"/>
                <w:spacing w:val="0"/>
                <w:w w:val="100"/>
                <w:position w:val="0"/>
                <w:sz w:val="16"/>
                <w:szCs w:val="16"/>
              </w:rPr>
              <w:t>1</w:t>
            </w:r>
          </w:p>
        </w:tc>
        <w:tc>
          <w:tcPr>
            <w:vMerge w:val="restart"/>
            <w:tcBorders>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282828"/>
                <w:spacing w:val="0"/>
                <w:w w:val="100"/>
                <w:position w:val="0"/>
                <w:sz w:val="14"/>
                <w:szCs w:val="14"/>
              </w:rPr>
              <w:t>人才梯队埼养项目</w:t>
            </w:r>
          </w:p>
        </w:tc>
        <w:tc>
          <w:tcPr>
            <w:tcBorders>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E5F62"/>
                <w:spacing w:val="0"/>
                <w:w w:val="100"/>
                <w:position w:val="0"/>
                <w:sz w:val="14"/>
                <w:szCs w:val="14"/>
              </w:rPr>
              <w:t>掬</w:t>
            </w:r>
            <w:r>
              <w:rPr>
                <w:rFonts w:ascii="SimHei" w:eastAsia="SimHei" w:hAnsi="SimHei" w:cs="SimHei"/>
                <w:color w:val="5E5F62"/>
                <w:spacing w:val="0"/>
                <w:w w:val="100"/>
                <w:position w:val="0"/>
                <w:sz w:val="14"/>
                <w:szCs w:val="14"/>
              </w:rPr>
              <w:t>*5</w:t>
            </w:r>
            <w:r>
              <w:rPr>
                <w:rFonts w:ascii="SimHei" w:eastAsia="SimHei" w:hAnsi="SimHei" w:cs="SimHei"/>
                <w:color w:val="5E5F62"/>
                <w:spacing w:val="0"/>
                <w:w w:val="100"/>
                <w:position w:val="0"/>
                <w:sz w:val="14"/>
                <w:szCs w:val="14"/>
              </w:rPr>
              <w:t>训</w:t>
            </w:r>
          </w:p>
        </w:tc>
        <w:tc>
          <w:tcPr>
            <w:tcBorders>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1</w:t>
            </w:r>
          </w:p>
        </w:tc>
        <w:tc>
          <w:tcPr>
            <w:tcBorders>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Palatino Linotype" w:eastAsia="Palatino Linotype" w:hAnsi="Palatino Linotype" w:cs="Palatino Linotype"/>
                <w:color w:val="717276"/>
                <w:spacing w:val="0"/>
                <w:w w:val="100"/>
                <w:position w:val="0"/>
                <w:sz w:val="16"/>
                <w:szCs w:val="16"/>
              </w:rPr>
              <w:t>2-5</w:t>
            </w:r>
          </w:p>
        </w:tc>
        <w:tc>
          <w:tcPr>
            <w:tcBorders>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2A-40</w:t>
            </w:r>
          </w:p>
        </w:tc>
        <w:tc>
          <w:tcPr>
            <w:tcBorders>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Palatino Linotype" w:eastAsia="Palatino Linotype" w:hAnsi="Palatino Linotype" w:cs="Palatino Linotype"/>
                <w:color w:val="5E5F62"/>
                <w:spacing w:val="0"/>
                <w:w w:val="100"/>
                <w:position w:val="0"/>
                <w:sz w:val="16"/>
                <w:szCs w:val="16"/>
              </w:rPr>
              <w:t>40-120</w:t>
            </w:r>
          </w:p>
        </w:tc>
      </w:tr>
      <w:tr>
        <w:trPr>
          <w:trHeight w:val="302"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5E5F62"/>
                <w:spacing w:val="0"/>
                <w:w w:val="100"/>
                <w:position w:val="0"/>
                <w:sz w:val="16"/>
                <w:szCs w:val="16"/>
              </w:rPr>
              <w:t>2</w:t>
            </w:r>
          </w:p>
        </w:tc>
        <w:tc>
          <w:tcPr>
            <w:vMerge/>
            <w:tcBorders>
              <w:left w:val="single" w:sz="4"/>
            </w:tcBorders>
            <w:shd w:val="clear" w:color="auto" w:fill="E9EEF4"/>
            <w:vAlign w:val="center"/>
          </w:tcPr>
          <w:p>
            <w:pP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5E5F62"/>
                <w:spacing w:val="0"/>
                <w:w w:val="100"/>
                <w:position w:val="0"/>
                <w:sz w:val="17"/>
                <w:szCs w:val="17"/>
              </w:rPr>
              <w:t>77</w:t>
            </w:r>
            <w:r>
              <w:rPr>
                <w:rFonts w:ascii="SimHei" w:eastAsia="SimHei" w:hAnsi="SimHei" w:cs="SimHei"/>
                <w:color w:val="5E5F62"/>
                <w:spacing w:val="0"/>
                <w:w w:val="100"/>
                <w:position w:val="0"/>
                <w:sz w:val="14"/>
                <w:szCs w:val="14"/>
              </w:rPr>
              <w:t>干新岫国</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1</w:t>
            </w:r>
          </w:p>
        </w:tc>
        <w:tc>
          <w:tcPr>
            <w:tcBorders>
              <w:top w:val="single" w:sz="4"/>
              <w:left w:val="single" w:sz="4"/>
            </w:tcBorders>
            <w:shd w:val="clear" w:color="auto" w:fill="E9EEF4"/>
            <w:vAlign w:val="top"/>
          </w:tcPr>
          <w:p>
            <w:pPr>
              <w:widowControl w:val="0"/>
              <w:rPr>
                <w:sz w:val="10"/>
                <w:szCs w:val="10"/>
              </w:rPr>
            </w:pP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20-40</w:t>
            </w:r>
          </w:p>
        </w:tc>
        <w:tc>
          <w:tcPr>
            <w:tcBorders>
              <w:top w:val="single" w:sz="4"/>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Palatino Linotype" w:eastAsia="Palatino Linotype" w:hAnsi="Palatino Linotype" w:cs="Palatino Linotype"/>
                <w:color w:val="5E5F62"/>
                <w:spacing w:val="0"/>
                <w:w w:val="100"/>
                <w:position w:val="0"/>
                <w:sz w:val="16"/>
                <w:szCs w:val="16"/>
              </w:rPr>
              <w:t>60-160</w:t>
            </w:r>
          </w:p>
        </w:tc>
      </w:tr>
      <w:tr>
        <w:trPr>
          <w:trHeight w:val="298"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717276"/>
                <w:spacing w:val="0"/>
                <w:w w:val="100"/>
                <w:position w:val="0"/>
                <w:sz w:val="16"/>
                <w:szCs w:val="16"/>
              </w:rPr>
              <w:t>3</w:t>
            </w:r>
          </w:p>
        </w:tc>
        <w:tc>
          <w:tcPr>
            <w:vMerge/>
            <w:tcBorders>
              <w:left w:val="single" w:sz="4"/>
            </w:tcBorders>
            <w:shd w:val="clear" w:color="auto" w:fill="E9EEF4"/>
            <w:vAlign w:val="center"/>
          </w:tcPr>
          <w:p>
            <w:pP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E5F62"/>
                <w:spacing w:val="0"/>
                <w:w w:val="100"/>
                <w:position w:val="0"/>
                <w:sz w:val="14"/>
                <w:szCs w:val="14"/>
              </w:rPr>
              <w:t>制姓愿理任理培训</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1</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Palatino Linotype" w:eastAsia="Palatino Linotype" w:hAnsi="Palatino Linotype" w:cs="Palatino Linotype"/>
                <w:color w:val="5E5F62"/>
                <w:spacing w:val="0"/>
                <w:w w:val="100"/>
                <w:position w:val="0"/>
                <w:sz w:val="16"/>
                <w:szCs w:val="16"/>
              </w:rPr>
              <w:t>2^</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20-40</w:t>
            </w:r>
          </w:p>
        </w:tc>
        <w:tc>
          <w:tcPr>
            <w:tcBorders>
              <w:top w:val="single" w:sz="4"/>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Palatino Linotype" w:eastAsia="Palatino Linotype" w:hAnsi="Palatino Linotype" w:cs="Palatino Linotype"/>
                <w:color w:val="5E5F62"/>
                <w:spacing w:val="0"/>
                <w:w w:val="100"/>
                <w:position w:val="0"/>
                <w:sz w:val="16"/>
                <w:szCs w:val="16"/>
              </w:rPr>
              <w:t>4^)-120</w:t>
            </w:r>
          </w:p>
        </w:tc>
      </w:tr>
      <w:tr>
        <w:trPr>
          <w:trHeight w:val="302"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424242"/>
                <w:spacing w:val="0"/>
                <w:w w:val="100"/>
                <w:position w:val="0"/>
                <w:sz w:val="16"/>
                <w:szCs w:val="16"/>
              </w:rPr>
              <w:t>4</w:t>
            </w:r>
          </w:p>
        </w:tc>
        <w:tc>
          <w:tcPr>
            <w:vMerge/>
            <w:tcBorders>
              <w:left w:val="single" w:sz="4"/>
            </w:tcBorders>
            <w:shd w:val="clear" w:color="auto" w:fill="E9EEF4"/>
            <w:vAlign w:val="center"/>
          </w:tcPr>
          <w:p>
            <w:pP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5E5F62"/>
                <w:spacing w:val="0"/>
                <w:w w:val="100"/>
                <w:position w:val="0"/>
                <w:sz w:val="14"/>
                <w:szCs w:val="14"/>
              </w:rPr>
              <w:t>骨干</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1</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Palatino Linotype" w:eastAsia="Palatino Linotype" w:hAnsi="Palatino Linotype" w:cs="Palatino Linotype"/>
                <w:color w:val="5E5F62"/>
                <w:spacing w:val="0"/>
                <w:w w:val="100"/>
                <w:position w:val="0"/>
                <w:sz w:val="16"/>
                <w:szCs w:val="16"/>
              </w:rPr>
              <w:t>2-4</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20-40</w:t>
            </w:r>
          </w:p>
        </w:tc>
        <w:tc>
          <w:tcPr>
            <w:tcBorders>
              <w:top w:val="single" w:sz="4"/>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Palatino Linotype" w:eastAsia="Palatino Linotype" w:hAnsi="Palatino Linotype" w:cs="Palatino Linotype"/>
                <w:color w:val="5E5F62"/>
                <w:spacing w:val="0"/>
                <w:w w:val="100"/>
                <w:position w:val="0"/>
                <w:sz w:val="16"/>
                <w:szCs w:val="16"/>
              </w:rPr>
              <w:t>40-160</w:t>
            </w:r>
          </w:p>
        </w:tc>
      </w:tr>
      <w:tr>
        <w:trPr>
          <w:trHeight w:val="307"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5E5F62"/>
                <w:spacing w:val="0"/>
                <w:w w:val="100"/>
                <w:position w:val="0"/>
                <w:sz w:val="16"/>
                <w:szCs w:val="16"/>
              </w:rPr>
              <w:t>S</w:t>
            </w:r>
          </w:p>
        </w:tc>
        <w:tc>
          <w:tcPr>
            <w:vMerge/>
            <w:tcBorders>
              <w:left w:val="single" w:sz="4"/>
            </w:tcBorders>
            <w:shd w:val="clear" w:color="auto" w:fill="E9EEF4"/>
            <w:vAlign w:val="center"/>
          </w:tcPr>
          <w:p>
            <w:pPr/>
          </w:p>
        </w:tc>
        <w:tc>
          <w:tcPr>
            <w:tcBorders>
              <w:top w:val="single" w:sz="4"/>
              <w:left w:val="single" w:sz="4"/>
            </w:tcBorders>
            <w:shd w:val="clear" w:color="auto" w:fill="E9EEF4"/>
            <w:vAlign w:val="top"/>
          </w:tcPr>
          <w:p>
            <w:pPr>
              <w:widowControl w:val="0"/>
              <w:rPr>
                <w:sz w:val="10"/>
                <w:szCs w:val="10"/>
              </w:rPr>
            </w:pP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717276"/>
                <w:spacing w:val="0"/>
                <w:w w:val="100"/>
                <w:position w:val="0"/>
                <w:sz w:val="16"/>
                <w:szCs w:val="16"/>
              </w:rPr>
              <w:t>X</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Palatino Linotype" w:eastAsia="Palatino Linotype" w:hAnsi="Palatino Linotype" w:cs="Palatino Linotype"/>
                <w:color w:val="424242"/>
                <w:spacing w:val="0"/>
                <w:w w:val="100"/>
                <w:position w:val="0"/>
                <w:sz w:val="16"/>
                <w:szCs w:val="16"/>
              </w:rPr>
              <w:t>4$</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20-40</w:t>
            </w:r>
          </w:p>
        </w:tc>
        <w:tc>
          <w:tcPr>
            <w:tcBorders>
              <w:top w:val="single" w:sz="4"/>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400" w:firstLine="0"/>
              <w:jc w:val="right"/>
              <w:rPr>
                <w:sz w:val="14"/>
                <w:szCs w:val="14"/>
              </w:rPr>
            </w:pPr>
            <w:r>
              <w:rPr>
                <w:rFonts w:ascii="SimHei" w:eastAsia="SimHei" w:hAnsi="SimHei" w:cs="SimHei"/>
                <w:color w:val="5E5F62"/>
                <w:spacing w:val="0"/>
                <w:w w:val="100"/>
                <w:position w:val="0"/>
                <w:sz w:val="14"/>
                <w:szCs w:val="14"/>
              </w:rPr>
              <w:t>地％</w:t>
            </w:r>
          </w:p>
        </w:tc>
      </w:tr>
      <w:tr>
        <w:trPr>
          <w:trHeight w:val="293"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5E5F62"/>
                <w:spacing w:val="0"/>
                <w:w w:val="100"/>
                <w:position w:val="0"/>
                <w:sz w:val="16"/>
                <w:szCs w:val="16"/>
              </w:rPr>
              <w:t>6</w:t>
            </w:r>
          </w:p>
        </w:tc>
        <w:tc>
          <w:tcPr>
            <w:vMerge/>
            <w:tcBorders>
              <w:left w:val="single" w:sz="4"/>
            </w:tcBorders>
            <w:shd w:val="clear" w:color="auto" w:fill="E9EEF4"/>
            <w:vAlign w:val="center"/>
          </w:tcPr>
          <w:p>
            <w:pP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E5F62"/>
                <w:spacing w:val="0"/>
                <w:w w:val="100"/>
                <w:position w:val="0"/>
                <w:sz w:val="14"/>
                <w:szCs w:val="14"/>
              </w:rPr>
              <w:t>]&amp;</w:t>
            </w:r>
            <w:r>
              <w:rPr>
                <w:rFonts w:ascii="SimHei" w:eastAsia="SimHei" w:hAnsi="SimHei" w:cs="SimHei"/>
                <w:color w:val="5E5F62"/>
                <w:spacing w:val="0"/>
                <w:w w:val="100"/>
                <w:position w:val="0"/>
                <w:sz w:val="14"/>
                <w:szCs w:val="14"/>
              </w:rPr>
              <w:t>氓茧才/管蜡生辑制</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1</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2</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32</w:t>
            </w:r>
          </w:p>
        </w:tc>
        <w:tc>
          <w:tcPr>
            <w:tcBorders>
              <w:top w:val="single" w:sz="4"/>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rFonts w:ascii="Palatino Linotype" w:eastAsia="Palatino Linotype" w:hAnsi="Palatino Linotype" w:cs="Palatino Linotype"/>
                <w:color w:val="424242"/>
                <w:spacing w:val="0"/>
                <w:w w:val="100"/>
                <w:position w:val="0"/>
                <w:sz w:val="16"/>
                <w:szCs w:val="16"/>
              </w:rPr>
              <w:t>64</w:t>
            </w:r>
          </w:p>
        </w:tc>
      </w:tr>
      <w:tr>
        <w:trPr>
          <w:trHeight w:val="307"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717276"/>
                <w:spacing w:val="0"/>
                <w:w w:val="100"/>
                <w:position w:val="0"/>
                <w:sz w:val="17"/>
                <w:szCs w:val="17"/>
              </w:rPr>
              <w:t>7</w:t>
            </w:r>
          </w:p>
        </w:tc>
        <w:tc>
          <w:tcPr>
            <w:vMerge/>
            <w:tcBorders>
              <w:left w:val="single" w:sz="4"/>
            </w:tcBorders>
            <w:shd w:val="clear" w:color="auto" w:fill="E9EEF4"/>
            <w:vAlign w:val="center"/>
          </w:tcPr>
          <w:p>
            <w:pP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E5F62"/>
                <w:spacing w:val="0"/>
                <w:w w:val="100"/>
                <w:position w:val="0"/>
                <w:sz w:val="14"/>
                <w:szCs w:val="14"/>
              </w:rPr>
              <w:t>口氓祐才鹰整培训</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1</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rFonts w:ascii="Palatino Linotype" w:eastAsia="Palatino Linotype" w:hAnsi="Palatino Linotype" w:cs="Palatino Linotype"/>
                <w:color w:val="424242"/>
                <w:spacing w:val="0"/>
                <w:w w:val="100"/>
                <w:position w:val="0"/>
                <w:sz w:val="16"/>
                <w:szCs w:val="16"/>
              </w:rPr>
              <w:t>1</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55</w:t>
            </w:r>
          </w:p>
        </w:tc>
        <w:tc>
          <w:tcPr>
            <w:tcBorders>
              <w:top w:val="single" w:sz="4"/>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rFonts w:ascii="Palatino Linotype" w:eastAsia="Palatino Linotype" w:hAnsi="Palatino Linotype" w:cs="Palatino Linotype"/>
                <w:color w:val="5E5F62"/>
                <w:spacing w:val="0"/>
                <w:w w:val="100"/>
                <w:position w:val="0"/>
                <w:sz w:val="16"/>
                <w:szCs w:val="16"/>
              </w:rPr>
              <w:t>35</w:t>
            </w:r>
          </w:p>
        </w:tc>
      </w:tr>
      <w:tr>
        <w:trPr>
          <w:trHeight w:val="302"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5E5F62"/>
                <w:spacing w:val="0"/>
                <w:w w:val="100"/>
                <w:position w:val="0"/>
                <w:sz w:val="16"/>
                <w:szCs w:val="16"/>
              </w:rPr>
              <w:t>8</w:t>
            </w:r>
          </w:p>
        </w:tc>
        <w:tc>
          <w:tcPr>
            <w:vMerge/>
            <w:tcBorders>
              <w:left w:val="single" w:sz="4"/>
            </w:tcBorders>
            <w:shd w:val="clear" w:color="auto" w:fill="E9EEF4"/>
            <w:vAlign w:val="center"/>
          </w:tcPr>
          <w:p>
            <w:pPr/>
          </w:p>
        </w:tc>
        <w:tc>
          <w:tcPr>
            <w:tcBorders>
              <w:top w:val="single" w:sz="4"/>
              <w:left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总和</w:t>
            </w:r>
          </w:p>
        </w:tc>
        <w:tc>
          <w:tcPr>
            <w:tcBorders>
              <w:top w:val="single" w:sz="4"/>
              <w:left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2F110D"/>
                <w:spacing w:val="0"/>
                <w:w w:val="100"/>
                <w:position w:val="0"/>
                <w:sz w:val="16"/>
                <w:szCs w:val="16"/>
              </w:rPr>
              <w:t>8-9</w:t>
            </w:r>
          </w:p>
        </w:tc>
        <w:tc>
          <w:tcPr>
            <w:tcBorders>
              <w:top w:val="single" w:sz="4"/>
              <w:left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Palatino Linotype" w:eastAsia="Palatino Linotype" w:hAnsi="Palatino Linotype" w:cs="Palatino Linotype"/>
                <w:color w:val="000000"/>
                <w:spacing w:val="0"/>
                <w:w w:val="100"/>
                <w:position w:val="0"/>
                <w:sz w:val="16"/>
                <w:szCs w:val="16"/>
              </w:rPr>
              <w:t>16-23</w:t>
            </w:r>
          </w:p>
        </w:tc>
        <w:tc>
          <w:tcPr>
            <w:tcBorders>
              <w:top w:val="single" w:sz="4"/>
              <w:left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000000"/>
                <w:spacing w:val="0"/>
                <w:w w:val="100"/>
                <w:position w:val="0"/>
                <w:sz w:val="16"/>
                <w:szCs w:val="16"/>
              </w:rPr>
              <w:t>167-267</w:t>
            </w:r>
          </w:p>
        </w:tc>
        <w:tc>
          <w:tcPr>
            <w:tcBorders>
              <w:top w:val="single" w:sz="4"/>
              <w:left w:val="single" w:sz="4"/>
              <w:right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Palatino Linotype" w:eastAsia="Palatino Linotype" w:hAnsi="Palatino Linotype" w:cs="Palatino Linotype"/>
                <w:color w:val="000000"/>
                <w:spacing w:val="0"/>
                <w:w w:val="100"/>
                <w:position w:val="0"/>
                <w:sz w:val="16"/>
                <w:szCs w:val="16"/>
              </w:rPr>
              <w:t>399-819</w:t>
            </w:r>
          </w:p>
        </w:tc>
      </w:tr>
      <w:tr>
        <w:trPr>
          <w:trHeight w:val="293"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424242"/>
                <w:spacing w:val="0"/>
                <w:w w:val="100"/>
                <w:position w:val="0"/>
              </w:rPr>
              <w:t>9</w:t>
            </w:r>
          </w:p>
        </w:tc>
        <w:tc>
          <w:tcPr>
            <w:vMerge w:val="restart"/>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240"/>
              <w:jc w:val="left"/>
              <w:rPr>
                <w:sz w:val="14"/>
                <w:szCs w:val="14"/>
              </w:rPr>
            </w:pPr>
            <w:r>
              <w:rPr>
                <w:rFonts w:ascii="SimHei" w:eastAsia="SimHei" w:hAnsi="SimHei" w:cs="SimHei"/>
                <w:color w:val="282828"/>
                <w:spacing w:val="0"/>
                <w:w w:val="100"/>
                <w:position w:val="0"/>
                <w:sz w:val="14"/>
                <w:szCs w:val="14"/>
              </w:rPr>
              <w:t>专业培训痕目</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E5F62"/>
                <w:spacing w:val="0"/>
                <w:w w:val="100"/>
                <w:position w:val="0"/>
                <w:sz w:val="14"/>
                <w:szCs w:val="14"/>
              </w:rPr>
              <w:t>产蹈</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2</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rFonts w:ascii="Palatino Linotype" w:eastAsia="Palatino Linotype" w:hAnsi="Palatino Linotype" w:cs="Palatino Linotype"/>
                <w:color w:val="424242"/>
                <w:spacing w:val="0"/>
                <w:w w:val="100"/>
                <w:position w:val="0"/>
                <w:sz w:val="16"/>
                <w:szCs w:val="16"/>
              </w:rPr>
              <w:t>1</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S&lt;J</w:t>
            </w:r>
          </w:p>
        </w:tc>
        <w:tc>
          <w:tcPr>
            <w:tcBorders>
              <w:top w:val="single" w:sz="4"/>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rFonts w:ascii="Palatino Linotype" w:eastAsia="Palatino Linotype" w:hAnsi="Palatino Linotype" w:cs="Palatino Linotype"/>
                <w:color w:val="424242"/>
                <w:spacing w:val="0"/>
                <w:w w:val="100"/>
                <w:position w:val="0"/>
                <w:sz w:val="16"/>
                <w:szCs w:val="16"/>
              </w:rPr>
              <w:t>100</w:t>
            </w:r>
          </w:p>
        </w:tc>
      </w:tr>
      <w:tr>
        <w:trPr>
          <w:trHeight w:val="307" w:hRule="exact"/>
        </w:trPr>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5E5F62"/>
                <w:spacing w:val="0"/>
                <w:w w:val="100"/>
                <w:position w:val="0"/>
                <w:sz w:val="16"/>
                <w:szCs w:val="16"/>
              </w:rPr>
              <w:t>10</w:t>
            </w:r>
          </w:p>
        </w:tc>
        <w:tc>
          <w:tcPr>
            <w:vMerge/>
            <w:tcBorders>
              <w:left w:val="single" w:sz="4"/>
            </w:tcBorders>
            <w:shd w:val="clear" w:color="auto" w:fill="E9EEF4"/>
            <w:vAlign w:val="center"/>
          </w:tcPr>
          <w:p>
            <w:pP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E5F62"/>
                <w:spacing w:val="0"/>
                <w:w w:val="100"/>
                <w:position w:val="0"/>
                <w:sz w:val="14"/>
                <w:szCs w:val="14"/>
              </w:rPr>
              <w:t>营砌</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4</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5E5F62"/>
                <w:spacing w:val="0"/>
                <w:w w:val="100"/>
                <w:position w:val="0"/>
              </w:rPr>
              <w:t>2</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40</w:t>
            </w:r>
          </w:p>
        </w:tc>
        <w:tc>
          <w:tcPr>
            <w:tcBorders>
              <w:top w:val="single" w:sz="4"/>
              <w:left w:val="single" w:sz="4"/>
              <w:righ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rFonts w:ascii="Palatino Linotype" w:eastAsia="Palatino Linotype" w:hAnsi="Palatino Linotype" w:cs="Palatino Linotype"/>
                <w:color w:val="5E5F62"/>
                <w:spacing w:val="0"/>
                <w:w w:val="100"/>
                <w:position w:val="0"/>
                <w:sz w:val="16"/>
                <w:szCs w:val="16"/>
              </w:rPr>
              <w:t>160</w:t>
            </w:r>
          </w:p>
        </w:tc>
      </w:tr>
      <w:tr>
        <w:trPr>
          <w:trHeight w:val="298" w:hRule="exact"/>
        </w:trPr>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424242"/>
                <w:spacing w:val="0"/>
                <w:w w:val="100"/>
                <w:position w:val="0"/>
                <w:sz w:val="16"/>
                <w:szCs w:val="16"/>
              </w:rPr>
              <w:t>11</w:t>
            </w:r>
          </w:p>
        </w:tc>
        <w:tc>
          <w:tcPr>
            <w:vMerge/>
            <w:tcBorders>
              <w:left w:val="single" w:sz="4"/>
            </w:tcBorders>
            <w:shd w:val="clear" w:color="auto" w:fill="E9EEF4"/>
            <w:vAlign w:val="center"/>
          </w:tcPr>
          <w:p>
            <w:pPr/>
          </w:p>
        </w:tc>
        <w:tc>
          <w:tcPr>
            <w:tcBorders>
              <w:top w:val="single" w:sz="4"/>
              <w:left w:val="single" w:sz="4"/>
            </w:tcBorders>
            <w:shd w:val="clear" w:color="auto" w:fill="E9EEF4"/>
            <w:vAlign w:val="top"/>
          </w:tcPr>
          <w:p>
            <w:pPr>
              <w:widowControl w:val="0"/>
              <w:rPr>
                <w:sz w:val="10"/>
                <w:szCs w:val="10"/>
              </w:rPr>
            </w:pP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20</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i/>
                <w:iCs/>
                <w:color w:val="424242"/>
                <w:spacing w:val="0"/>
                <w:w w:val="100"/>
                <w:position w:val="0"/>
              </w:rPr>
              <w:t>12</w:t>
            </w:r>
          </w:p>
        </w:tc>
        <w:tc>
          <w:tcPr>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40</w:t>
            </w:r>
          </w:p>
        </w:tc>
        <w:tc>
          <w:tcPr>
            <w:tcBorders>
              <w:top w:val="single" w:sz="4"/>
              <w:left w:val="single" w:sz="4"/>
              <w:righ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rFonts w:ascii="Palatino Linotype" w:eastAsia="Palatino Linotype" w:hAnsi="Palatino Linotype" w:cs="Palatino Linotype"/>
                <w:color w:val="5E5F62"/>
                <w:spacing w:val="0"/>
                <w:w w:val="100"/>
                <w:position w:val="0"/>
                <w:sz w:val="16"/>
                <w:szCs w:val="16"/>
              </w:rPr>
              <w:t>SQO</w:t>
            </w:r>
          </w:p>
        </w:tc>
      </w:tr>
      <w:tr>
        <w:trPr>
          <w:trHeight w:val="302" w:hRule="exact"/>
        </w:trPr>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5E5F62"/>
                <w:spacing w:val="0"/>
                <w:w w:val="100"/>
                <w:position w:val="0"/>
                <w:sz w:val="16"/>
                <w:szCs w:val="16"/>
              </w:rPr>
              <w:t>12</w:t>
            </w:r>
          </w:p>
        </w:tc>
        <w:tc>
          <w:tcPr>
            <w:vMerge/>
            <w:tcBorders>
              <w:left w:val="single" w:sz="4"/>
            </w:tcBorders>
            <w:shd w:val="clear" w:color="auto" w:fill="E9EEF4"/>
            <w:vAlign w:val="center"/>
          </w:tcPr>
          <w:p>
            <w:pPr/>
          </w:p>
        </w:tc>
        <w:tc>
          <w:tcPr>
            <w:tcBorders>
              <w:top w:val="single" w:sz="4"/>
              <w:left w:val="single" w:sz="4"/>
            </w:tcBorders>
            <w:shd w:val="clear" w:color="auto" w:fill="E9EEF4"/>
            <w:vAlign w:val="top"/>
          </w:tcPr>
          <w:p>
            <w:pPr>
              <w:widowControl w:val="0"/>
              <w:rPr>
                <w:sz w:val="10"/>
                <w:szCs w:val="10"/>
              </w:rPr>
            </w:pP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20</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Palatino Linotype" w:eastAsia="Palatino Linotype" w:hAnsi="Palatino Linotype" w:cs="Palatino Linotype"/>
                <w:color w:val="5E5F62"/>
                <w:spacing w:val="0"/>
                <w:w w:val="100"/>
                <w:position w:val="0"/>
                <w:sz w:val="16"/>
                <w:szCs w:val="16"/>
              </w:rPr>
              <w:t>10</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424242"/>
                <w:spacing w:val="0"/>
                <w:w w:val="100"/>
                <w:position w:val="0"/>
                <w:sz w:val="16"/>
                <w:szCs w:val="16"/>
              </w:rPr>
              <w:t>40</w:t>
            </w:r>
          </w:p>
        </w:tc>
        <w:tc>
          <w:tcPr>
            <w:tcBorders>
              <w:top w:val="single" w:sz="4"/>
              <w:left w:val="single" w:sz="4"/>
              <w:righ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rFonts w:ascii="Palatino Linotype" w:eastAsia="Palatino Linotype" w:hAnsi="Palatino Linotype" w:cs="Palatino Linotype"/>
                <w:color w:val="5E5F62"/>
                <w:spacing w:val="0"/>
                <w:w w:val="100"/>
                <w:position w:val="0"/>
                <w:sz w:val="16"/>
                <w:szCs w:val="16"/>
              </w:rPr>
              <w:t>800</w:t>
            </w:r>
          </w:p>
        </w:tc>
      </w:tr>
      <w:tr>
        <w:trPr>
          <w:trHeight w:val="298" w:hRule="exact"/>
        </w:trPr>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424242"/>
                <w:spacing w:val="0"/>
                <w:w w:val="100"/>
                <w:position w:val="0"/>
                <w:sz w:val="16"/>
                <w:szCs w:val="16"/>
              </w:rPr>
              <w:t>13</w:t>
            </w:r>
          </w:p>
        </w:tc>
        <w:tc>
          <w:tcPr>
            <w:vMerge/>
            <w:tcBorders>
              <w:left w:val="single" w:sz="4"/>
            </w:tcBorders>
            <w:shd w:val="clear" w:color="auto" w:fill="E9EEF4"/>
            <w:vAlign w:val="center"/>
          </w:tcPr>
          <w:p>
            <w:pPr/>
          </w:p>
        </w:tc>
        <w:tc>
          <w:tcPr>
            <w:tcBorders>
              <w:top w:val="single" w:sz="4"/>
              <w:left w:val="single" w:sz="4"/>
            </w:tcBorders>
            <w:shd w:val="clear" w:color="auto" w:fill="EB5642"/>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总和</w:t>
            </w:r>
          </w:p>
        </w:tc>
        <w:tc>
          <w:tcPr>
            <w:tcBorders>
              <w:top w:val="single" w:sz="4"/>
              <w:left w:val="single" w:sz="4"/>
            </w:tcBorders>
            <w:shd w:val="clear" w:color="auto" w:fill="EB5642"/>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000000"/>
                <w:spacing w:val="0"/>
                <w:w w:val="100"/>
                <w:position w:val="0"/>
                <w:sz w:val="16"/>
                <w:szCs w:val="16"/>
              </w:rPr>
              <w:t>46</w:t>
            </w:r>
          </w:p>
        </w:tc>
        <w:tc>
          <w:tcPr>
            <w:tcBorders>
              <w:top w:val="single" w:sz="4"/>
              <w:left w:val="single" w:sz="4"/>
            </w:tcBorders>
            <w:shd w:val="clear" w:color="auto" w:fill="EB5642"/>
            <w:vAlign w:val="bottom"/>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Palatino Linotype" w:eastAsia="Palatino Linotype" w:hAnsi="Palatino Linotype" w:cs="Palatino Linotype"/>
                <w:color w:val="000000"/>
                <w:spacing w:val="0"/>
                <w:w w:val="100"/>
                <w:position w:val="0"/>
                <w:sz w:val="16"/>
                <w:szCs w:val="16"/>
              </w:rPr>
              <w:t>25</w:t>
            </w:r>
          </w:p>
        </w:tc>
        <w:tc>
          <w:tcPr>
            <w:tcBorders>
              <w:top w:val="single" w:sz="4"/>
              <w:left w:val="single" w:sz="4"/>
            </w:tcBorders>
            <w:shd w:val="clear" w:color="auto" w:fill="EB5642"/>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2F110D"/>
                <w:spacing w:val="0"/>
                <w:w w:val="100"/>
                <w:position w:val="0"/>
                <w:sz w:val="16"/>
                <w:szCs w:val="16"/>
              </w:rPr>
              <w:t>170</w:t>
            </w:r>
          </w:p>
        </w:tc>
        <w:tc>
          <w:tcPr>
            <w:tcBorders>
              <w:top w:val="single" w:sz="4"/>
              <w:left w:val="single" w:sz="4"/>
              <w:right w:val="single" w:sz="4"/>
            </w:tcBorders>
            <w:shd w:val="clear" w:color="auto" w:fill="EB5642"/>
            <w:vAlign w:val="bottom"/>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Palatino Linotype" w:eastAsia="Palatino Linotype" w:hAnsi="Palatino Linotype" w:cs="Palatino Linotype"/>
                <w:color w:val="000000"/>
                <w:spacing w:val="0"/>
                <w:w w:val="100"/>
                <w:position w:val="0"/>
                <w:sz w:val="16"/>
                <w:szCs w:val="16"/>
              </w:rPr>
              <w:t>1SGO</w:t>
            </w:r>
          </w:p>
        </w:tc>
      </w:tr>
      <w:tr>
        <w:trPr>
          <w:trHeight w:val="307" w:hRule="exact"/>
        </w:trPr>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Palatino Linotype" w:eastAsia="Palatino Linotype" w:hAnsi="Palatino Linotype" w:cs="Palatino Linotype"/>
                <w:color w:val="424242"/>
                <w:spacing w:val="0"/>
                <w:w w:val="100"/>
                <w:position w:val="0"/>
                <w:sz w:val="16"/>
                <w:szCs w:val="16"/>
              </w:rPr>
              <w:t>14</w:t>
            </w:r>
          </w:p>
        </w:tc>
        <w:tc>
          <w:tcPr>
            <w:vMerge w:val="restart"/>
            <w:tcBorders>
              <w:top w:val="single" w:sz="4"/>
              <w:left w:val="single" w:sz="4"/>
            </w:tcBorders>
            <w:shd w:val="clear" w:color="auto" w:fill="E9EEF4"/>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282828"/>
                <w:spacing w:val="0"/>
                <w:w w:val="100"/>
                <w:position w:val="0"/>
                <w:sz w:val="14"/>
                <w:szCs w:val="14"/>
              </w:rPr>
              <w:t>新人培鼻质目</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E5F62"/>
                <w:spacing w:val="0"/>
                <w:w w:val="100"/>
                <w:position w:val="0"/>
                <w:sz w:val="14"/>
                <w:szCs w:val="14"/>
              </w:rPr>
              <w:t>削人入|</w:t>
            </w:r>
            <w:r>
              <w:rPr>
                <w:rFonts w:ascii="Arial Unicode MS" w:eastAsia="Arial Unicode MS" w:hAnsi="Arial Unicode MS" w:cs="Arial Unicode MS"/>
                <w:color w:val="5E5F62"/>
                <w:spacing w:val="0"/>
                <w:w w:val="100"/>
                <w:position w:val="0"/>
                <w:sz w:val="12"/>
                <w:szCs w:val="12"/>
              </w:rPr>
              <w:t>«</w:t>
            </w:r>
            <w:r>
              <w:rPr>
                <w:rFonts w:ascii="SimHei" w:eastAsia="SimHei" w:hAnsi="SimHei" w:cs="SimHei"/>
                <w:color w:val="5E5F62"/>
                <w:spacing w:val="0"/>
                <w:w w:val="100"/>
                <w:position w:val="0"/>
                <w:sz w:val="14"/>
                <w:szCs w:val="14"/>
              </w:rPr>
              <w:t>孑培训</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19</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Palatino Linotype" w:eastAsia="Palatino Linotype" w:hAnsi="Palatino Linotype" w:cs="Palatino Linotype"/>
                <w:color w:val="424242"/>
                <w:spacing w:val="0"/>
                <w:w w:val="100"/>
                <w:position w:val="0"/>
                <w:sz w:val="16"/>
                <w:szCs w:val="16"/>
              </w:rPr>
              <w:t>4</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55</w:t>
            </w:r>
          </w:p>
        </w:tc>
        <w:tc>
          <w:tcPr>
            <w:tcBorders>
              <w:top w:val="single" w:sz="4"/>
              <w:left w:val="single" w:sz="4"/>
              <w:righ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Palatino Linotype" w:eastAsia="Palatino Linotype" w:hAnsi="Palatino Linotype" w:cs="Palatino Linotype"/>
                <w:color w:val="5E5F62"/>
                <w:spacing w:val="0"/>
                <w:w w:val="100"/>
                <w:position w:val="0"/>
                <w:sz w:val="16"/>
                <w:szCs w:val="16"/>
              </w:rPr>
              <w:t>1045</w:t>
            </w:r>
          </w:p>
        </w:tc>
      </w:tr>
      <w:tr>
        <w:trPr>
          <w:trHeight w:val="302" w:hRule="exact"/>
        </w:trPr>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5E5F62"/>
                <w:spacing w:val="0"/>
                <w:w w:val="100"/>
                <w:position w:val="0"/>
                <w:sz w:val="17"/>
                <w:szCs w:val="17"/>
              </w:rPr>
              <w:t>15</w:t>
            </w:r>
          </w:p>
        </w:tc>
        <w:tc>
          <w:tcPr>
            <w:vMerge/>
            <w:tcBorders>
              <w:left w:val="single" w:sz="4"/>
            </w:tcBorders>
            <w:shd w:val="clear" w:color="auto" w:fill="E9EEF4"/>
            <w:vAlign w:val="center"/>
          </w:tcPr>
          <w:p>
            <w:pP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E5F62"/>
                <w:spacing w:val="0"/>
                <w:w w:val="100"/>
                <w:position w:val="0"/>
                <w:sz w:val="14"/>
                <w:szCs w:val="14"/>
              </w:rPr>
              <w:t>典生入阿培圳</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I</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Palatino Linotype" w:eastAsia="Palatino Linotype" w:hAnsi="Palatino Linotype" w:cs="Palatino Linotype"/>
                <w:color w:val="5E5F62"/>
                <w:spacing w:val="0"/>
                <w:w w:val="100"/>
                <w:position w:val="0"/>
                <w:sz w:val="16"/>
                <w:szCs w:val="16"/>
              </w:rPr>
              <w:t>5</w:t>
            </w:r>
          </w:p>
        </w:tc>
        <w:tc>
          <w:tcPr>
            <w:tcBorders>
              <w:top w:val="single" w:sz="4"/>
              <w:lef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5E5F62"/>
                <w:spacing w:val="0"/>
                <w:w w:val="100"/>
                <w:position w:val="0"/>
                <w:sz w:val="16"/>
                <w:szCs w:val="16"/>
              </w:rPr>
              <w:t>35</w:t>
            </w:r>
          </w:p>
        </w:tc>
        <w:tc>
          <w:tcPr>
            <w:tcBorders>
              <w:top w:val="single" w:sz="4"/>
              <w:left w:val="single" w:sz="4"/>
              <w:right w:val="single" w:sz="4"/>
            </w:tcBorders>
            <w:shd w:val="clear" w:color="auto" w:fill="E9EEF4"/>
            <w:vAlign w:val="bottom"/>
          </w:tcPr>
          <w:p>
            <w:pPr>
              <w:pStyle w:val="Style24"/>
              <w:keepNext w:val="0"/>
              <w:keepLines w:val="0"/>
              <w:widowControl w:val="0"/>
              <w:shd w:val="clear" w:color="auto" w:fill="auto"/>
              <w:bidi w:val="0"/>
              <w:spacing w:before="0" w:after="0" w:line="240" w:lineRule="auto"/>
              <w:ind w:left="0" w:right="0" w:firstLine="580"/>
              <w:jc w:val="both"/>
              <w:rPr>
                <w:sz w:val="14"/>
                <w:szCs w:val="14"/>
              </w:rPr>
            </w:pPr>
            <w:r>
              <w:rPr>
                <w:rFonts w:ascii="SimHei" w:eastAsia="SimHei" w:hAnsi="SimHei" w:cs="SimHei"/>
                <w:color w:val="5E5F62"/>
                <w:spacing w:val="0"/>
                <w:w w:val="100"/>
                <w:position w:val="0"/>
                <w:sz w:val="14"/>
                <w:szCs w:val="14"/>
              </w:rPr>
              <w:t>监</w:t>
            </w:r>
          </w:p>
        </w:tc>
      </w:tr>
      <w:tr>
        <w:trPr>
          <w:trHeight w:val="307" w:hRule="exact"/>
        </w:trPr>
        <w:tc>
          <w:tcPr>
            <w:tcBorders>
              <w:top w:val="single" w:sz="4"/>
              <w:left w:val="single" w:sz="4"/>
              <w:bottom w:val="single" w:sz="4"/>
            </w:tcBorders>
            <w:shd w:val="clear" w:color="auto" w:fill="E9EEF4"/>
            <w:vAlign w:val="top"/>
          </w:tcPr>
          <w:p>
            <w:pPr>
              <w:widowControl w:val="0"/>
              <w:rPr>
                <w:sz w:val="10"/>
                <w:szCs w:val="10"/>
              </w:rPr>
            </w:pPr>
          </w:p>
        </w:tc>
        <w:tc>
          <w:tcPr>
            <w:vMerge/>
            <w:tcBorders>
              <w:left w:val="single" w:sz="4"/>
              <w:bottom w:val="single" w:sz="4"/>
            </w:tcBorders>
            <w:shd w:val="clear" w:color="auto" w:fill="E9EEF4"/>
            <w:vAlign w:val="center"/>
          </w:tcPr>
          <w:p>
            <w:pPr/>
          </w:p>
        </w:tc>
        <w:tc>
          <w:tcPr>
            <w:tcBorders>
              <w:top w:val="single" w:sz="4"/>
              <w:left w:val="single" w:sz="4"/>
              <w:bottom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总利</w:t>
            </w:r>
          </w:p>
        </w:tc>
        <w:tc>
          <w:tcPr>
            <w:tcBorders>
              <w:top w:val="single" w:sz="4"/>
              <w:left w:val="single" w:sz="4"/>
              <w:bottom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2F110D"/>
                <w:spacing w:val="0"/>
                <w:w w:val="100"/>
                <w:position w:val="0"/>
                <w:sz w:val="16"/>
                <w:szCs w:val="16"/>
              </w:rPr>
              <w:t>20</w:t>
            </w:r>
          </w:p>
        </w:tc>
        <w:tc>
          <w:tcPr>
            <w:tcBorders>
              <w:top w:val="single" w:sz="4"/>
              <w:left w:val="single" w:sz="4"/>
              <w:bottom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2F110D"/>
                <w:spacing w:val="0"/>
                <w:w w:val="100"/>
                <w:position w:val="0"/>
                <w:sz w:val="16"/>
                <w:szCs w:val="16"/>
              </w:rPr>
              <w:t>9</w:t>
            </w:r>
          </w:p>
        </w:tc>
        <w:tc>
          <w:tcPr>
            <w:tcBorders>
              <w:top w:val="single" w:sz="4"/>
              <w:left w:val="single" w:sz="4"/>
              <w:bottom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Palatino Linotype" w:eastAsia="Palatino Linotype" w:hAnsi="Palatino Linotype" w:cs="Palatino Linotype"/>
                <w:color w:val="2F110D"/>
                <w:spacing w:val="0"/>
                <w:w w:val="100"/>
                <w:position w:val="0"/>
                <w:sz w:val="16"/>
                <w:szCs w:val="16"/>
              </w:rPr>
              <w:t>90</w:t>
            </w:r>
          </w:p>
        </w:tc>
        <w:tc>
          <w:tcPr>
            <w:tcBorders>
              <w:top w:val="single" w:sz="4"/>
              <w:left w:val="single" w:sz="4"/>
              <w:bottom w:val="single" w:sz="4"/>
              <w:right w:val="single" w:sz="4"/>
            </w:tcBorders>
            <w:shd w:val="clear" w:color="auto" w:fill="EB5642"/>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Palatino Linotype" w:eastAsia="Palatino Linotype" w:hAnsi="Palatino Linotype" w:cs="Palatino Linotype"/>
                <w:color w:val="2F110D"/>
                <w:spacing w:val="0"/>
                <w:w w:val="100"/>
                <w:position w:val="0"/>
                <w:sz w:val="16"/>
                <w:szCs w:val="16"/>
              </w:rPr>
              <w:t>1090</w:t>
            </w:r>
          </w:p>
        </w:tc>
      </w:tr>
    </w:tbl>
    <w:p>
      <w:pPr>
        <w:widowControl w:val="0"/>
        <w:spacing w:after="579" w:line="1" w:lineRule="exact"/>
      </w:pPr>
    </w:p>
    <w:p>
      <w:pPr>
        <w:pStyle w:val="Style36"/>
        <w:keepNext/>
        <w:keepLines/>
        <w:widowControl w:val="0"/>
        <w:shd w:val="clear" w:color="auto" w:fill="auto"/>
        <w:bidi w:val="0"/>
        <w:spacing w:before="0" w:after="32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4</w:t>
      </w:r>
      <w:bookmarkEnd w:id="553"/>
      <w:r>
        <w:rPr>
          <w:color w:val="000000"/>
          <w:spacing w:val="0"/>
          <w:w w:val="100"/>
          <w:position w:val="0"/>
        </w:rPr>
        <w:t>、劳务外包情况</w:t>
      </w:r>
      <w:bookmarkEnd w:id="551"/>
      <w:bookmarkEnd w:id="552"/>
      <w:bookmarkEnd w:id="554"/>
    </w:p>
    <w:p>
      <w:pPr>
        <w:pStyle w:val="Style32"/>
        <w:keepNext w:val="0"/>
        <w:keepLines w:val="0"/>
        <w:widowControl w:val="0"/>
        <w:shd w:val="clear" w:color="auto" w:fill="auto"/>
        <w:bidi w:val="0"/>
        <w:spacing w:before="0" w:after="440" w:line="240" w:lineRule="auto"/>
        <w:ind w:left="0" w:right="0" w:firstLine="0"/>
        <w:jc w:val="left"/>
        <w:sectPr>
          <w:footnotePr>
            <w:pos w:val="pageBottom"/>
            <w:numFmt w:val="decimal"/>
            <w:numRestart w:val="continuous"/>
          </w:footnotePr>
          <w:type w:val="continuous"/>
          <w:pgSz w:w="11900" w:h="16840"/>
          <w:pgMar w:top="1460" w:right="1195" w:bottom="1460"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keepLines/>
        <w:widowControl w:val="0"/>
        <w:shd w:val="clear" w:color="auto" w:fill="auto"/>
        <w:bidi w:val="0"/>
        <w:spacing w:before="460" w:after="960" w:line="240" w:lineRule="auto"/>
        <w:ind w:left="0" w:right="0" w:firstLine="0"/>
        <w:jc w:val="center"/>
      </w:pPr>
      <w:bookmarkStart w:id="555" w:name="bookmark555"/>
      <w:bookmarkStart w:id="556" w:name="bookmark556"/>
      <w:bookmarkStart w:id="557" w:name="bookmark557"/>
      <w:r>
        <w:rPr>
          <w:color w:val="000000"/>
          <w:spacing w:val="0"/>
          <w:w w:val="100"/>
          <w:position w:val="0"/>
        </w:rPr>
        <w:t>第九节公司治理</w:t>
      </w:r>
      <w:bookmarkEnd w:id="555"/>
      <w:bookmarkEnd w:id="556"/>
      <w:bookmarkEnd w:id="557"/>
    </w:p>
    <w:p>
      <w:pPr>
        <w:pStyle w:val="Style28"/>
        <w:keepNext/>
        <w:keepLines/>
        <w:widowControl w:val="0"/>
        <w:shd w:val="clear" w:color="auto" w:fill="auto"/>
        <w:bidi w:val="0"/>
        <w:spacing w:before="0" w:after="32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一、公司治理的基本状况</w:t>
      </w:r>
      <w:bookmarkEnd w:id="559"/>
      <w:bookmarkEnd w:id="560"/>
      <w:bookmarkEnd w:id="561"/>
      <w:bookmarkEnd w:id="558"/>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0" w:line="34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2"/>
        <w:keepNext w:val="0"/>
        <w:keepLines w:val="0"/>
        <w:widowControl w:val="0"/>
        <w:shd w:val="clear" w:color="auto" w:fill="auto"/>
        <w:bidi w:val="0"/>
        <w:spacing w:before="0" w:line="342" w:lineRule="exact"/>
        <w:ind w:left="0" w:right="0" w:firstLine="380"/>
        <w:jc w:val="both"/>
      </w:pPr>
      <w:r>
        <w:rPr>
          <w:color w:val="000000"/>
          <w:spacing w:val="0"/>
          <w:w w:val="100"/>
          <w:position w:val="0"/>
        </w:rPr>
        <w:t>报告期内，公司按照《公司法》、《证券法》、《上市公司治理准则》及《深圳证券交易所主板上市公司规范运作指 引（</w:t>
      </w:r>
      <w:r>
        <w:rPr>
          <w:rFonts w:ascii="Times New Roman" w:eastAsia="Times New Roman" w:hAnsi="Times New Roman" w:cs="Times New Roman"/>
          <w:color w:val="000000"/>
          <w:spacing w:val="0"/>
          <w:w w:val="100"/>
          <w:position w:val="0"/>
        </w:rPr>
        <w:t>2015</w:t>
      </w:r>
      <w:r>
        <w:rPr>
          <w:color w:val="000000"/>
          <w:spacing w:val="0"/>
          <w:w w:val="100"/>
          <w:position w:val="0"/>
        </w:rPr>
        <w:t>年修订）》等法律法规及规范性文件的要求，立足于全体股东的利益，不断提高公司经营管理水平、公司诚信度 和透明度，不断完善符合现代企业制度要求的法人治理结构，健全公司内部控制制度，构建了与公司发展战略相匹配的内 部管控体系，提高了公司规范运作水平。</w:t>
      </w:r>
    </w:p>
    <w:p>
      <w:pPr>
        <w:pStyle w:val="Style32"/>
        <w:keepNext w:val="0"/>
        <w:keepLines w:val="0"/>
        <w:widowControl w:val="0"/>
        <w:shd w:val="clear" w:color="auto" w:fill="auto"/>
        <w:tabs>
          <w:tab w:pos="711" w:val="left"/>
        </w:tabs>
        <w:bidi w:val="0"/>
        <w:spacing w:before="0" w:after="0" w:line="348" w:lineRule="exact"/>
        <w:ind w:left="0" w:right="0" w:firstLine="380"/>
        <w:jc w:val="both"/>
      </w:pPr>
      <w:bookmarkStart w:id="562" w:name="bookmark562"/>
      <w:r>
        <w:rPr>
          <w:color w:val="000000"/>
          <w:spacing w:val="0"/>
          <w:w w:val="100"/>
          <w:position w:val="0"/>
          <w:sz w:val="17"/>
          <w:szCs w:val="17"/>
        </w:rPr>
        <w:t>1</w:t>
      </w:r>
      <w:bookmarkEnd w:id="562"/>
      <w:r>
        <w:rPr>
          <w:color w:val="000000"/>
          <w:spacing w:val="0"/>
          <w:w w:val="100"/>
          <w:position w:val="0"/>
        </w:rPr>
        <w:t>、</w:t>
        <w:tab/>
        <w:t>报告期内，公司修订了《公司章程》、《股东大会议事规则》、《董事会议事规则》、《监事会议事规则》、</w:t>
      </w:r>
    </w:p>
    <w:p>
      <w:pPr>
        <w:pStyle w:val="Style32"/>
        <w:keepNext w:val="0"/>
        <w:keepLines w:val="0"/>
        <w:widowControl w:val="0"/>
        <w:shd w:val="clear" w:color="auto" w:fill="auto"/>
        <w:bidi w:val="0"/>
        <w:spacing w:before="0" w:line="348" w:lineRule="exact"/>
        <w:ind w:left="0" w:right="0" w:firstLine="0"/>
        <w:jc w:val="left"/>
      </w:pPr>
      <w:r>
        <w:rPr>
          <w:color w:val="000000"/>
          <w:spacing w:val="0"/>
          <w:w w:val="100"/>
          <w:position w:val="0"/>
        </w:rPr>
        <w:t>《募集资金管理办法》、《独立董事工作规则》、《对外担保管理制度》、《对外投资管理制度》《关联交易管理制 度》、《内幕信息知情人登记管理制度》、《投资者关系管理制度》、《董事会审计委员会工作规则》、《董事会提名委 员会工作规则》、《董事会薪酬与考核委员会工作规则》、《董事会战略委员会工作规则》、《独立董事年报工作制 度》、《董事会审计委员会年报财务报告审议工作规则》、《内部审计制度》、《信息披露事务管理制度》等相关制度。 公司不断完善内部控制体系，进一步了提高公司治理水平，促进公司规范运作。截至报告期末，公司已建立了较为完善的 法人治理结构，公司法人治理的实际状况与中国证监会发布的有关上市公司治理的规范性文件的要求基本一致。</w:t>
      </w:r>
    </w:p>
    <w:p>
      <w:pPr>
        <w:pStyle w:val="Style32"/>
        <w:keepNext w:val="0"/>
        <w:keepLines w:val="0"/>
        <w:widowControl w:val="0"/>
        <w:shd w:val="clear" w:color="auto" w:fill="auto"/>
        <w:tabs>
          <w:tab w:pos="720" w:val="left"/>
        </w:tabs>
        <w:bidi w:val="0"/>
        <w:spacing w:before="0" w:line="347" w:lineRule="exact"/>
        <w:ind w:left="0" w:right="0" w:firstLine="380"/>
        <w:jc w:val="both"/>
      </w:pPr>
      <w:bookmarkStart w:id="563" w:name="bookmark563"/>
      <w:r>
        <w:rPr>
          <w:color w:val="000000"/>
          <w:spacing w:val="0"/>
          <w:w w:val="100"/>
          <w:position w:val="0"/>
          <w:sz w:val="17"/>
          <w:szCs w:val="17"/>
        </w:rPr>
        <w:t>2</w:t>
      </w:r>
      <w:bookmarkEnd w:id="563"/>
      <w:r>
        <w:rPr>
          <w:color w:val="000000"/>
          <w:spacing w:val="0"/>
          <w:w w:val="100"/>
          <w:position w:val="0"/>
        </w:rPr>
        <w:t>、</w:t>
        <w:tab/>
        <w:t>关于股东与股东大会</w:t>
      </w:r>
    </w:p>
    <w:p>
      <w:pPr>
        <w:pStyle w:val="Style32"/>
        <w:keepNext w:val="0"/>
        <w:keepLines w:val="0"/>
        <w:widowControl w:val="0"/>
        <w:shd w:val="clear" w:color="auto" w:fill="auto"/>
        <w:bidi w:val="0"/>
        <w:spacing w:before="0" w:line="341" w:lineRule="exact"/>
        <w:ind w:left="0" w:right="0" w:firstLine="380"/>
        <w:jc w:val="both"/>
      </w:pPr>
      <w:r>
        <w:rPr>
          <w:color w:val="000000"/>
          <w:spacing w:val="0"/>
          <w:w w:val="100"/>
          <w:position w:val="0"/>
        </w:rPr>
        <w:t xml:space="preserve">公司严格按照《股东大会议事规则》的要求召集、召开股东大会，并由律师出席见证：公司与股东保持了有效的沟 通，确保所有股东平等、充分地行使权利。报告期内，公司召开了 </w:t>
      </w:r>
      <w:r>
        <w:rPr>
          <w:color w:val="000000"/>
          <w:spacing w:val="0"/>
          <w:w w:val="100"/>
          <w:position w:val="0"/>
          <w:sz w:val="17"/>
          <w:szCs w:val="17"/>
        </w:rPr>
        <w:t>2015</w:t>
      </w:r>
      <w:r>
        <w:rPr>
          <w:color w:val="000000"/>
          <w:spacing w:val="0"/>
          <w:w w:val="100"/>
          <w:position w:val="0"/>
        </w:rPr>
        <w:t>年度股东大会和九次临时股东大会。</w:t>
      </w:r>
    </w:p>
    <w:p>
      <w:pPr>
        <w:pStyle w:val="Style32"/>
        <w:keepNext w:val="0"/>
        <w:keepLines w:val="0"/>
        <w:widowControl w:val="0"/>
        <w:shd w:val="clear" w:color="auto" w:fill="auto"/>
        <w:tabs>
          <w:tab w:pos="720" w:val="left"/>
        </w:tabs>
        <w:bidi w:val="0"/>
        <w:spacing w:before="0" w:line="347" w:lineRule="exact"/>
        <w:ind w:left="0" w:right="0" w:firstLine="380"/>
        <w:jc w:val="both"/>
      </w:pPr>
      <w:bookmarkStart w:id="564" w:name="bookmark564"/>
      <w:r>
        <w:rPr>
          <w:color w:val="000000"/>
          <w:spacing w:val="0"/>
          <w:w w:val="100"/>
          <w:position w:val="0"/>
          <w:sz w:val="17"/>
          <w:szCs w:val="17"/>
        </w:rPr>
        <w:t>3</w:t>
      </w:r>
      <w:bookmarkEnd w:id="564"/>
      <w:r>
        <w:rPr>
          <w:color w:val="000000"/>
          <w:spacing w:val="0"/>
          <w:w w:val="100"/>
          <w:position w:val="0"/>
        </w:rPr>
        <w:t>、</w:t>
        <w:tab/>
        <w:t>关于控股股东与公司的关系</w:t>
      </w:r>
    </w:p>
    <w:p>
      <w:pPr>
        <w:pStyle w:val="Style32"/>
        <w:keepNext w:val="0"/>
        <w:keepLines w:val="0"/>
        <w:widowControl w:val="0"/>
        <w:shd w:val="clear" w:color="auto" w:fill="auto"/>
        <w:bidi w:val="0"/>
        <w:spacing w:before="0" w:line="355" w:lineRule="exact"/>
        <w:ind w:left="0" w:right="0" w:firstLine="380"/>
        <w:jc w:val="both"/>
      </w:pPr>
      <w:r>
        <w:rPr>
          <w:color w:val="000000"/>
          <w:spacing w:val="0"/>
          <w:w w:val="100"/>
          <w:position w:val="0"/>
        </w:rPr>
        <w:t>公司与控股股东在资产、人员、机构等方面保持独立，控股股东没有超越股东大会直接或间接干预公司的决策和经营 活动，不存在控股股东及其关联方占用公司资金或资产的情况。</w:t>
      </w:r>
    </w:p>
    <w:p>
      <w:pPr>
        <w:pStyle w:val="Style32"/>
        <w:keepNext w:val="0"/>
        <w:keepLines w:val="0"/>
        <w:widowControl w:val="0"/>
        <w:shd w:val="clear" w:color="auto" w:fill="auto"/>
        <w:tabs>
          <w:tab w:pos="725" w:val="left"/>
        </w:tabs>
        <w:bidi w:val="0"/>
        <w:spacing w:before="0" w:line="347" w:lineRule="exact"/>
        <w:ind w:left="0" w:right="0" w:firstLine="380"/>
        <w:jc w:val="both"/>
      </w:pPr>
      <w:bookmarkStart w:id="565" w:name="bookmark565"/>
      <w:r>
        <w:rPr>
          <w:color w:val="000000"/>
          <w:spacing w:val="0"/>
          <w:w w:val="100"/>
          <w:position w:val="0"/>
          <w:sz w:val="17"/>
          <w:szCs w:val="17"/>
        </w:rPr>
        <w:t>4</w:t>
      </w:r>
      <w:bookmarkEnd w:id="565"/>
      <w:r>
        <w:rPr>
          <w:color w:val="000000"/>
          <w:spacing w:val="0"/>
          <w:w w:val="100"/>
          <w:position w:val="0"/>
        </w:rPr>
        <w:t>、</w:t>
        <w:tab/>
        <w:t>关于董事与董事会</w:t>
      </w:r>
    </w:p>
    <w:p>
      <w:pPr>
        <w:pStyle w:val="Style32"/>
        <w:keepNext w:val="0"/>
        <w:keepLines w:val="0"/>
        <w:widowControl w:val="0"/>
        <w:shd w:val="clear" w:color="auto" w:fill="auto"/>
        <w:bidi w:val="0"/>
        <w:spacing w:before="0" w:line="347" w:lineRule="exact"/>
        <w:ind w:left="0" w:right="0" w:firstLine="380"/>
        <w:jc w:val="both"/>
      </w:pPr>
      <w:r>
        <w:rPr>
          <w:color w:val="000000"/>
          <w:spacing w:val="0"/>
          <w:w w:val="100"/>
          <w:position w:val="0"/>
        </w:rPr>
        <w:t xml:space="preserve">报告期内，公司董事会能够严格按照相关法律法规及《公司章程》的规定召开董事会会议、召集股东大会。公司设有 三名独立董事，占董事会总人数的三分之一以上：公司各位董事能够严格按照《董事会议事规则》的要求，以认真负责的 态度出席董事会和股东大会，公司董事还能够为公司的经营和发展献计献策，能够积极参加中国证监会组织的相关培训。 报告期内，公司董事会召开了 </w:t>
      </w:r>
      <w:r>
        <w:rPr>
          <w:color w:val="000000"/>
          <w:spacing w:val="0"/>
          <w:w w:val="100"/>
          <w:position w:val="0"/>
          <w:sz w:val="17"/>
          <w:szCs w:val="17"/>
        </w:rPr>
        <w:t>13</w:t>
      </w:r>
      <w:r>
        <w:rPr>
          <w:color w:val="000000"/>
          <w:spacing w:val="0"/>
          <w:w w:val="100"/>
          <w:position w:val="0"/>
        </w:rPr>
        <w:t>次董事会，召集了一次</w:t>
      </w:r>
      <w:r>
        <w:rPr>
          <w:color w:val="000000"/>
          <w:spacing w:val="0"/>
          <w:w w:val="100"/>
          <w:position w:val="0"/>
          <w:sz w:val="17"/>
          <w:szCs w:val="17"/>
        </w:rPr>
        <w:t>2015</w:t>
      </w:r>
      <w:r>
        <w:rPr>
          <w:color w:val="000000"/>
          <w:spacing w:val="0"/>
          <w:w w:val="100"/>
          <w:position w:val="0"/>
        </w:rPr>
        <w:t>年度股东大会和九次</w:t>
      </w:r>
      <w:r>
        <w:rPr>
          <w:color w:val="000000"/>
          <w:spacing w:val="0"/>
          <w:w w:val="100"/>
          <w:position w:val="0"/>
          <w:sz w:val="17"/>
          <w:szCs w:val="17"/>
        </w:rPr>
        <w:t>2016</w:t>
      </w:r>
      <w:r>
        <w:rPr>
          <w:color w:val="000000"/>
          <w:spacing w:val="0"/>
          <w:w w:val="100"/>
          <w:position w:val="0"/>
        </w:rPr>
        <w:t>年临时股东大会。</w:t>
      </w:r>
    </w:p>
    <w:p>
      <w:pPr>
        <w:pStyle w:val="Style32"/>
        <w:keepNext w:val="0"/>
        <w:keepLines w:val="0"/>
        <w:widowControl w:val="0"/>
        <w:shd w:val="clear" w:color="auto" w:fill="auto"/>
        <w:tabs>
          <w:tab w:pos="725" w:val="left"/>
        </w:tabs>
        <w:bidi w:val="0"/>
        <w:spacing w:before="0" w:line="347" w:lineRule="exact"/>
        <w:ind w:left="0" w:right="0" w:firstLine="380"/>
        <w:jc w:val="both"/>
      </w:pPr>
      <w:bookmarkStart w:id="566" w:name="bookmark566"/>
      <w:r>
        <w:rPr>
          <w:color w:val="000000"/>
          <w:spacing w:val="0"/>
          <w:w w:val="100"/>
          <w:position w:val="0"/>
          <w:sz w:val="17"/>
          <w:szCs w:val="17"/>
        </w:rPr>
        <w:t>5</w:t>
      </w:r>
      <w:bookmarkEnd w:id="566"/>
      <w:r>
        <w:rPr>
          <w:color w:val="000000"/>
          <w:spacing w:val="0"/>
          <w:w w:val="100"/>
          <w:position w:val="0"/>
        </w:rPr>
        <w:t>、</w:t>
        <w:tab/>
        <w:t>关于监事和监事会</w:t>
      </w:r>
    </w:p>
    <w:p>
      <w:pPr>
        <w:pStyle w:val="Style32"/>
        <w:keepNext w:val="0"/>
        <w:keepLines w:val="0"/>
        <w:widowControl w:val="0"/>
        <w:shd w:val="clear" w:color="auto" w:fill="auto"/>
        <w:bidi w:val="0"/>
        <w:spacing w:before="0" w:line="346" w:lineRule="exact"/>
        <w:ind w:left="0" w:right="0" w:firstLine="380"/>
        <w:jc w:val="both"/>
      </w:pPr>
      <w:r>
        <w:rPr>
          <w:color w:val="000000"/>
          <w:spacing w:val="0"/>
          <w:w w:val="100"/>
          <w:position w:val="0"/>
        </w:rPr>
        <w:t>报告期内，公司严格按照相关法律法规及《公司章程》的规定召开监事会会议。公司监事能勤勉履行职责，对公司经 营情况以及董事和高级管理人员履行职责的合法性进行监督，并独立发表意见。报告期内，公司监事会召开</w:t>
      </w:r>
      <w:r>
        <w:rPr>
          <w:color w:val="000000"/>
          <w:spacing w:val="0"/>
          <w:w w:val="100"/>
          <w:position w:val="0"/>
          <w:sz w:val="17"/>
          <w:szCs w:val="17"/>
        </w:rPr>
        <w:t>7</w:t>
      </w:r>
      <w:r>
        <w:rPr>
          <w:color w:val="000000"/>
          <w:spacing w:val="0"/>
          <w:w w:val="100"/>
          <w:position w:val="0"/>
        </w:rPr>
        <w:t>次监事会。</w:t>
      </w:r>
    </w:p>
    <w:p>
      <w:pPr>
        <w:pStyle w:val="Style32"/>
        <w:keepNext w:val="0"/>
        <w:keepLines w:val="0"/>
        <w:widowControl w:val="0"/>
        <w:shd w:val="clear" w:color="auto" w:fill="auto"/>
        <w:tabs>
          <w:tab w:pos="725" w:val="left"/>
        </w:tabs>
        <w:bidi w:val="0"/>
        <w:spacing w:before="0" w:line="347" w:lineRule="exact"/>
        <w:ind w:left="0" w:right="0" w:firstLine="380"/>
        <w:jc w:val="both"/>
      </w:pPr>
      <w:bookmarkStart w:id="567" w:name="bookmark567"/>
      <w:r>
        <w:rPr>
          <w:color w:val="000000"/>
          <w:spacing w:val="0"/>
          <w:w w:val="100"/>
          <w:position w:val="0"/>
          <w:sz w:val="17"/>
          <w:szCs w:val="17"/>
        </w:rPr>
        <w:t>6</w:t>
      </w:r>
      <w:bookmarkEnd w:id="567"/>
      <w:r>
        <w:rPr>
          <w:color w:val="000000"/>
          <w:spacing w:val="0"/>
          <w:w w:val="100"/>
          <w:position w:val="0"/>
        </w:rPr>
        <w:t>、</w:t>
        <w:tab/>
        <w:t>关于信息披露与透明度</w:t>
      </w:r>
    </w:p>
    <w:p>
      <w:pPr>
        <w:pStyle w:val="Style32"/>
        <w:keepNext w:val="0"/>
        <w:keepLines w:val="0"/>
        <w:widowControl w:val="0"/>
        <w:shd w:val="clear" w:color="auto" w:fill="auto"/>
        <w:bidi w:val="0"/>
        <w:spacing w:before="0" w:after="100" w:line="347" w:lineRule="exact"/>
        <w:ind w:left="0" w:right="0" w:firstLine="380"/>
        <w:jc w:val="both"/>
      </w:pPr>
      <w:r>
        <w:rPr>
          <w:color w:val="000000"/>
          <w:spacing w:val="0"/>
          <w:w w:val="100"/>
          <w:position w:val="0"/>
        </w:rPr>
        <w:t xml:space="preserve">报告期内，公司高度重视投资者关系管理工作。通过电话、电子邮件、实地调研等方式接待来访者和机构，认真做好 </w:t>
      </w:r>
      <w:r>
        <w:rPr>
          <w:color w:val="000000"/>
          <w:spacing w:val="0"/>
          <w:w w:val="100"/>
          <w:position w:val="0"/>
        </w:rPr>
        <w:t>投资者来电的接听、答复以及传真、电子信箱的接收和回复；通过公司网站，使广大投资者了解公司治理情况、信息披露 情况和生产经营情况等；积极参与投资者网上交流互动活动，及时回复投资者的咨询.来访接待工作坚持公平、公正、公开 的原则，有利地保障了所有投资者平等地享有知情权及其他合法权益。</w:t>
      </w:r>
    </w:p>
    <w:p>
      <w:pPr>
        <w:pStyle w:val="Style32"/>
        <w:keepNext w:val="0"/>
        <w:keepLines w:val="0"/>
        <w:widowControl w:val="0"/>
        <w:shd w:val="clear" w:color="auto" w:fill="auto"/>
        <w:bidi w:val="0"/>
        <w:spacing w:before="0" w:after="700" w:line="358" w:lineRule="exact"/>
        <w:ind w:left="0" w:right="0" w:firstLine="380"/>
        <w:jc w:val="both"/>
      </w:pPr>
      <w:bookmarkStart w:id="568" w:name="bookmark568"/>
      <w:r>
        <w:rPr>
          <w:color w:val="000000"/>
          <w:spacing w:val="0"/>
          <w:w w:val="100"/>
          <w:position w:val="0"/>
          <w:sz w:val="17"/>
          <w:szCs w:val="17"/>
        </w:rPr>
        <w:t>7</w:t>
      </w:r>
      <w:bookmarkEnd w:id="568"/>
      <w:r>
        <w:rPr>
          <w:color w:val="000000"/>
          <w:spacing w:val="0"/>
          <w:w w:val="100"/>
          <w:position w:val="0"/>
        </w:rPr>
        <w:t>、公司治理专项活动开展情况</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月，根据深圳证监局《关于开展投资者保护</w:t>
      </w:r>
      <w:r>
        <w:rPr>
          <w:rFonts w:ascii="Calibri" w:eastAsia="Calibri" w:hAnsi="Calibri" w:cs="Calibri"/>
          <w:color w:val="000000"/>
          <w:spacing w:val="0"/>
          <w:w w:val="100"/>
          <w:position w:val="0"/>
          <w:sz w:val="18"/>
          <w:szCs w:val="18"/>
        </w:rPr>
        <w:t>“</w:t>
      </w:r>
      <w:r>
        <w:rPr>
          <w:color w:val="000000"/>
          <w:spacing w:val="0"/>
          <w:w w:val="100"/>
          <w:position w:val="0"/>
        </w:rPr>
        <w:t>蓝天行动</w:t>
      </w:r>
      <w:r>
        <w:rPr>
          <w:rFonts w:ascii="Calibri" w:eastAsia="Calibri" w:hAnsi="Calibri" w:cs="Calibri"/>
          <w:color w:val="000000"/>
          <w:spacing w:val="0"/>
          <w:w w:val="100"/>
          <w:position w:val="0"/>
          <w:sz w:val="18"/>
          <w:szCs w:val="18"/>
        </w:rPr>
        <w:t>”</w:t>
      </w:r>
      <w:r>
        <w:rPr>
          <w:color w:val="000000"/>
          <w:spacing w:val="0"/>
          <w:w w:val="100"/>
          <w:position w:val="0"/>
        </w:rPr>
        <w:t>专项工作的通知》（深 证局发</w:t>
      </w:r>
      <w:r>
        <w:rPr>
          <w:color w:val="000000"/>
          <w:spacing w:val="0"/>
          <w:w w:val="100"/>
          <w:position w:val="0"/>
          <w:sz w:val="17"/>
          <w:szCs w:val="17"/>
        </w:rPr>
        <w:t>[2016]15</w:t>
      </w:r>
      <w:r>
        <w:rPr>
          <w:color w:val="000000"/>
          <w:spacing w:val="0"/>
          <w:w w:val="100"/>
          <w:position w:val="0"/>
        </w:rPr>
        <w:t>号）要求，公司结合实际情况，认真制定了详细的工作方案，组织开展投资者保护</w:t>
      </w:r>
      <w:r>
        <w:rPr>
          <w:rFonts w:ascii="Calibri" w:eastAsia="Calibri" w:hAnsi="Calibri" w:cs="Calibri"/>
          <w:color w:val="000000"/>
          <w:spacing w:val="0"/>
          <w:w w:val="100"/>
          <w:position w:val="0"/>
          <w:sz w:val="18"/>
          <w:szCs w:val="18"/>
        </w:rPr>
        <w:t>“</w:t>
      </w:r>
      <w:r>
        <w:rPr>
          <w:color w:val="000000"/>
          <w:spacing w:val="0"/>
          <w:w w:val="100"/>
          <w:position w:val="0"/>
        </w:rPr>
        <w:t>蓝天行动</w:t>
      </w:r>
      <w:r>
        <w:rPr>
          <w:rFonts w:ascii="Calibri" w:eastAsia="Calibri" w:hAnsi="Calibri" w:cs="Calibri"/>
          <w:color w:val="000000"/>
          <w:spacing w:val="0"/>
          <w:w w:val="100"/>
          <w:position w:val="0"/>
          <w:sz w:val="18"/>
          <w:szCs w:val="18"/>
        </w:rPr>
        <w:t>”</w:t>
      </w:r>
      <w:r>
        <w:rPr>
          <w:color w:val="000000"/>
          <w:spacing w:val="0"/>
          <w:w w:val="100"/>
          <w:position w:val="0"/>
        </w:rPr>
        <w:t>专项工作， 以进一步促进投资者理性投资、提升公司投资者关系。</w:t>
      </w:r>
    </w:p>
    <w:p>
      <w:pPr>
        <w:pStyle w:val="Style28"/>
        <w:keepNext/>
        <w:keepLines/>
        <w:widowControl w:val="0"/>
        <w:shd w:val="clear" w:color="auto" w:fill="auto"/>
        <w:tabs>
          <w:tab w:pos="596" w:val="left"/>
        </w:tabs>
        <w:bidi w:val="0"/>
        <w:spacing w:before="0" w:after="18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w:t>
        <w:tab/>
        <w:t>公司相对于控股股东在业务、人员、资产、机构、财务等方面的独立情况</w:t>
      </w:r>
      <w:bookmarkEnd w:id="569"/>
      <w:bookmarkEnd w:id="570"/>
      <w:bookmarkEnd w:id="572"/>
    </w:p>
    <w:p>
      <w:pPr>
        <w:pStyle w:val="Style32"/>
        <w:keepNext w:val="0"/>
        <w:keepLines w:val="0"/>
        <w:widowControl w:val="0"/>
        <w:shd w:val="clear" w:color="auto" w:fill="auto"/>
        <w:bidi w:val="0"/>
        <w:spacing w:before="0" w:after="100" w:line="350" w:lineRule="exact"/>
        <w:ind w:left="0" w:right="0" w:firstLine="380"/>
        <w:jc w:val="both"/>
      </w:pPr>
      <w:r>
        <w:rPr>
          <w:color w:val="000000"/>
          <w:spacing w:val="0"/>
          <w:w w:val="100"/>
          <w:position w:val="0"/>
        </w:rPr>
        <w:t>本公司法人治理结构比较健全，公司与控股股东在业务、人员、资产、机构和财务上完全独立，具有较为独立完整的业 务及自主经营能力。具体情况如下：</w:t>
      </w:r>
    </w:p>
    <w:p>
      <w:pPr>
        <w:pStyle w:val="Style32"/>
        <w:keepNext w:val="0"/>
        <w:keepLines w:val="0"/>
        <w:widowControl w:val="0"/>
        <w:shd w:val="clear" w:color="auto" w:fill="auto"/>
        <w:tabs>
          <w:tab w:pos="694" w:val="left"/>
        </w:tabs>
        <w:bidi w:val="0"/>
        <w:spacing w:before="0" w:after="100" w:line="352" w:lineRule="exact"/>
        <w:ind w:left="0" w:right="0" w:firstLine="380"/>
        <w:jc w:val="left"/>
      </w:pPr>
      <w:bookmarkStart w:id="573" w:name="bookmark573"/>
      <w:r>
        <w:rPr>
          <w:color w:val="000000"/>
          <w:spacing w:val="0"/>
          <w:w w:val="100"/>
          <w:position w:val="0"/>
          <w:sz w:val="17"/>
          <w:szCs w:val="17"/>
        </w:rPr>
        <w:t>1</w:t>
      </w:r>
      <w:bookmarkEnd w:id="573"/>
      <w:r>
        <w:rPr>
          <w:color w:val="000000"/>
          <w:spacing w:val="0"/>
          <w:w w:val="100"/>
          <w:position w:val="0"/>
        </w:rPr>
        <w:t>、</w:t>
        <w:tab/>
        <w:t>业务方面：公司拥有自身独立的业务和自主经营权，与控股股东不存在同业竞争或者潜在的同业竞争；</w:t>
      </w:r>
    </w:p>
    <w:p>
      <w:pPr>
        <w:pStyle w:val="Style32"/>
        <w:keepNext w:val="0"/>
        <w:keepLines w:val="0"/>
        <w:widowControl w:val="0"/>
        <w:shd w:val="clear" w:color="auto" w:fill="auto"/>
        <w:tabs>
          <w:tab w:pos="688" w:val="left"/>
        </w:tabs>
        <w:bidi w:val="0"/>
        <w:spacing w:before="0" w:after="100" w:line="352" w:lineRule="exact"/>
        <w:ind w:left="0" w:right="0" w:firstLine="380"/>
        <w:jc w:val="both"/>
      </w:pPr>
      <w:bookmarkStart w:id="574" w:name="bookmark574"/>
      <w:r>
        <w:rPr>
          <w:color w:val="000000"/>
          <w:spacing w:val="0"/>
          <w:w w:val="100"/>
          <w:position w:val="0"/>
          <w:sz w:val="17"/>
          <w:szCs w:val="17"/>
        </w:rPr>
        <w:t>2</w:t>
      </w:r>
      <w:bookmarkEnd w:id="574"/>
      <w:r>
        <w:rPr>
          <w:color w:val="000000"/>
          <w:spacing w:val="0"/>
          <w:w w:val="100"/>
          <w:position w:val="0"/>
        </w:rPr>
        <w:t>、</w:t>
        <w:tab/>
        <w:t>人员方面：公司人员独立于控股股东，具有独立的劳动人事管理部门，制定独立的劳动、人事及薪酬管理制度。公 司总裁、副总裁、财务负责人、董事会秘书等高级管理人员未在控股股东单位担任除董事外的其他职务，没有在控股股东单 位领取报酬。公司的董事、监事及高级管理人员均通过合法程序选聘，无控股股东干预公司董事会和股东大会已做出的人事 任免决定的情况；</w:t>
      </w:r>
    </w:p>
    <w:p>
      <w:pPr>
        <w:pStyle w:val="Style32"/>
        <w:keepNext w:val="0"/>
        <w:keepLines w:val="0"/>
        <w:widowControl w:val="0"/>
        <w:shd w:val="clear" w:color="auto" w:fill="auto"/>
        <w:tabs>
          <w:tab w:pos="683" w:val="left"/>
        </w:tabs>
        <w:bidi w:val="0"/>
        <w:spacing w:before="0" w:after="100" w:line="355" w:lineRule="exact"/>
        <w:ind w:left="0" w:right="0" w:firstLine="380"/>
        <w:jc w:val="both"/>
      </w:pPr>
      <w:bookmarkStart w:id="575" w:name="bookmark575"/>
      <w:r>
        <w:rPr>
          <w:color w:val="000000"/>
          <w:spacing w:val="0"/>
          <w:w w:val="100"/>
          <w:position w:val="0"/>
          <w:sz w:val="17"/>
          <w:szCs w:val="17"/>
        </w:rPr>
        <w:t>3</w:t>
      </w:r>
      <w:bookmarkEnd w:id="575"/>
      <w:r>
        <w:rPr>
          <w:color w:val="000000"/>
          <w:spacing w:val="0"/>
          <w:w w:val="100"/>
          <w:position w:val="0"/>
        </w:rPr>
        <w:t>、</w:t>
        <w:tab/>
        <w:t>资产方面：公司主要资产产权清晰，拥有完整的与生产经营有关的生产系统、辅助生产系统和配套设施；对与生产 经营相关的厂房、土地、设备以及商标、非专利技术等资产均合法拥有所有权。公司不存在控股股东占用公司资金的情形, 也未向控股股东提供任何担保；</w:t>
      </w:r>
    </w:p>
    <w:p>
      <w:pPr>
        <w:pStyle w:val="Style32"/>
        <w:keepNext w:val="0"/>
        <w:keepLines w:val="0"/>
        <w:widowControl w:val="0"/>
        <w:shd w:val="clear" w:color="auto" w:fill="auto"/>
        <w:tabs>
          <w:tab w:pos="683" w:val="left"/>
        </w:tabs>
        <w:bidi w:val="0"/>
        <w:spacing w:before="0" w:after="100" w:line="353" w:lineRule="exact"/>
        <w:ind w:left="0" w:right="0" w:firstLine="380"/>
        <w:jc w:val="both"/>
      </w:pPr>
      <w:bookmarkStart w:id="576" w:name="bookmark576"/>
      <w:r>
        <w:rPr>
          <w:color w:val="000000"/>
          <w:spacing w:val="0"/>
          <w:w w:val="100"/>
          <w:position w:val="0"/>
          <w:sz w:val="17"/>
          <w:szCs w:val="17"/>
        </w:rPr>
        <w:t>4</w:t>
      </w:r>
      <w:bookmarkEnd w:id="576"/>
      <w:r>
        <w:rPr>
          <w:color w:val="000000"/>
          <w:spacing w:val="0"/>
          <w:w w:val="100"/>
          <w:position w:val="0"/>
        </w:rPr>
        <w:t>、</w:t>
        <w:tab/>
        <w:t>机构方面：公司设立了完全独立于控股股东的组织机构，公司董事会、监事会及其他内部机构独立运作，不存在与 控股股东职能部门之间的从属关系。公司具有独立的办公机构，所有职能部门均独立行使职权，独立开展经营活动，不存在 混合经营、合署办公情形；</w:t>
      </w:r>
    </w:p>
    <w:p>
      <w:pPr>
        <w:pStyle w:val="Style32"/>
        <w:keepNext w:val="0"/>
        <w:keepLines w:val="0"/>
        <w:widowControl w:val="0"/>
        <w:shd w:val="clear" w:color="auto" w:fill="auto"/>
        <w:tabs>
          <w:tab w:pos="683" w:val="left"/>
        </w:tabs>
        <w:bidi w:val="0"/>
        <w:spacing w:before="0" w:after="460" w:line="350" w:lineRule="exact"/>
        <w:ind w:left="0" w:right="0" w:firstLine="380"/>
        <w:jc w:val="both"/>
      </w:pPr>
      <w:bookmarkStart w:id="577" w:name="bookmark577"/>
      <w:r>
        <w:rPr>
          <w:color w:val="000000"/>
          <w:spacing w:val="0"/>
          <w:w w:val="100"/>
          <w:position w:val="0"/>
          <w:sz w:val="17"/>
          <w:szCs w:val="17"/>
        </w:rPr>
        <w:t>5</w:t>
      </w:r>
      <w:bookmarkEnd w:id="577"/>
      <w:r>
        <w:rPr>
          <w:color w:val="000000"/>
          <w:spacing w:val="0"/>
          <w:w w:val="100"/>
          <w:position w:val="0"/>
        </w:rPr>
        <w:t>、</w:t>
        <w:tab/>
        <w:t>财务方面：公司设有独立的财务管理部门和财务人员，建立了独立的会计核算体系和财务管理制度，独立进行财务 决策；独立在银行开户，没有与控股股东共用一个银行账户；独立进行税务登记，独立依法纳税。</w:t>
      </w:r>
    </w:p>
    <w:p>
      <w:pPr>
        <w:pStyle w:val="Style28"/>
        <w:keepNext/>
        <w:keepLines/>
        <w:widowControl w:val="0"/>
        <w:shd w:val="clear" w:color="auto" w:fill="auto"/>
        <w:tabs>
          <w:tab w:pos="596" w:val="left"/>
        </w:tabs>
        <w:bidi w:val="0"/>
        <w:spacing w:before="0" w:after="32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三</w:t>
      </w:r>
      <w:bookmarkEnd w:id="580"/>
      <w:r>
        <w:rPr>
          <w:color w:val="000000"/>
          <w:spacing w:val="0"/>
          <w:w w:val="100"/>
          <w:position w:val="0"/>
        </w:rPr>
        <w:t>、</w:t>
        <w:tab/>
        <w:t>同业竞争情况</w:t>
      </w:r>
      <w:bookmarkEnd w:id="578"/>
      <w:bookmarkEnd w:id="579"/>
      <w:bookmarkEnd w:id="581"/>
    </w:p>
    <w:p>
      <w:pPr>
        <w:pStyle w:val="Style32"/>
        <w:keepNext w:val="0"/>
        <w:keepLines w:val="0"/>
        <w:widowControl w:val="0"/>
        <w:shd w:val="clear" w:color="auto" w:fill="auto"/>
        <w:bidi w:val="0"/>
        <w:spacing w:before="0" w:after="180" w:line="40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四</w:t>
      </w:r>
      <w:bookmarkEnd w:id="584"/>
      <w:r>
        <w:rPr>
          <w:color w:val="000000"/>
          <w:spacing w:val="0"/>
          <w:w w:val="100"/>
          <w:position w:val="0"/>
        </w:rPr>
        <w:t>、报告期内召开的年度股东大会和临时股东大会的有关情况</w:t>
      </w:r>
      <w:bookmarkEnd w:id="582"/>
      <w:bookmarkEnd w:id="583"/>
      <w:bookmarkEnd w:id="585"/>
    </w:p>
    <w:p>
      <w:pPr>
        <w:pStyle w:val="Style36"/>
        <w:keepNext/>
        <w:keepLines/>
        <w:widowControl w:val="0"/>
        <w:shd w:val="clear" w:color="auto" w:fill="auto"/>
        <w:bidi w:val="0"/>
        <w:spacing w:before="0" w:after="32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、本报告期股东大会情况</w:t>
      </w:r>
      <w:bookmarkEnd w:id="586"/>
      <w:bookmarkEnd w:id="587"/>
      <w:bookmarkEnd w:id="589"/>
    </w:p>
    <w:tbl>
      <w:tblPr>
        <w:tblOverlap w:val="never"/>
        <w:jc w:val="center"/>
        <w:tblLayout w:type="fixed"/>
      </w:tblPr>
      <w:tblGrid>
        <w:gridCol w:w="1598"/>
        <w:gridCol w:w="1349"/>
        <w:gridCol w:w="1032"/>
        <w:gridCol w:w="1594"/>
        <w:gridCol w:w="1594"/>
        <w:gridCol w:w="2453"/>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598"/>
        <w:gridCol w:w="1349"/>
        <w:gridCol w:w="1032"/>
        <w:gridCol w:w="1594"/>
        <w:gridCol w:w="1594"/>
        <w:gridCol w:w="2453"/>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披露索引</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年第七次临时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年第八次临时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年第九次临时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、表决权恢复的优先股股东请求召开临时股东大会</w:t>
      </w:r>
      <w:bookmarkEnd w:id="590"/>
      <w:bookmarkEnd w:id="591"/>
      <w:bookmarkEnd w:id="593"/>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五</w:t>
      </w:r>
      <w:bookmarkEnd w:id="596"/>
      <w:r>
        <w:rPr>
          <w:color w:val="000000"/>
          <w:spacing w:val="0"/>
          <w:w w:val="100"/>
          <w:position w:val="0"/>
        </w:rPr>
        <w:t>、报告期内独立董事履行职责的情况</w:t>
      </w:r>
      <w:bookmarkEnd w:id="594"/>
      <w:bookmarkEnd w:id="595"/>
      <w:bookmarkEnd w:id="597"/>
    </w:p>
    <w:p>
      <w:pPr>
        <w:pStyle w:val="Style36"/>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、独立董事出席董事会及股东大会的情况</w:t>
      </w:r>
      <w:bookmarkEnd w:id="598"/>
      <w:bookmarkEnd w:id="599"/>
      <w:bookmarkEnd w:id="601"/>
    </w:p>
    <w:tbl>
      <w:tblPr>
        <w:tblOverlap w:val="never"/>
        <w:jc w:val="center"/>
        <w:tblLayout w:type="fixed"/>
      </w:tblPr>
      <w:tblGrid>
        <w:gridCol w:w="1627"/>
        <w:gridCol w:w="1325"/>
        <w:gridCol w:w="1325"/>
        <w:gridCol w:w="1320"/>
        <w:gridCol w:w="1325"/>
        <w:gridCol w:w="1325"/>
        <w:gridCol w:w="1334"/>
      </w:tblGrid>
      <w:tr>
        <w:trPr>
          <w:trHeight w:val="331"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是否连续两次未 亲自参加会议</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高良玉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侯松容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高良玉先生由于因公到国外出差，连续两次未亲自出席董事会，分别是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日召开的公司第八届董事会第七次 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日召开的公司第八届董事会第八次会议。</w:t>
      </w:r>
    </w:p>
    <w:p>
      <w:pPr>
        <w:widowControl w:val="0"/>
        <w:spacing w:after="419" w:line="1" w:lineRule="exact"/>
      </w:pPr>
    </w:p>
    <w:p>
      <w:pPr>
        <w:pStyle w:val="Style36"/>
        <w:keepNext/>
        <w:keepLines/>
        <w:widowControl w:val="0"/>
        <w:shd w:val="clear" w:color="auto" w:fill="auto"/>
        <w:bidi w:val="0"/>
        <w:spacing w:before="0" w:after="32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、独立董事对公司有关事项提出异议的情况</w:t>
      </w:r>
      <w:bookmarkEnd w:id="602"/>
      <w:bookmarkEnd w:id="603"/>
      <w:bookmarkEnd w:id="605"/>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bidi w:val="0"/>
        <w:spacing w:before="0" w:after="32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、独立董事履行职责的其他说明</w:t>
      </w:r>
      <w:bookmarkEnd w:id="606"/>
      <w:bookmarkEnd w:id="607"/>
      <w:bookmarkEnd w:id="609"/>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660" w:line="352" w:lineRule="exact"/>
        <w:ind w:left="0" w:right="0" w:firstLine="320"/>
        <w:jc w:val="both"/>
      </w:pPr>
      <w:r>
        <w:rPr>
          <w:color w:val="000000"/>
          <w:spacing w:val="0"/>
          <w:w w:val="100"/>
          <w:position w:val="0"/>
        </w:rPr>
        <w:t>报告期内，公司独立董事本着独立、客观和公正的原则，严格按照《公司法》、《证券法》、《公司章程》、《独立董 事工作制度》等有关法律法规及规章制度的要求，尽职尽责地开展工作，及时了解、关注公司的经营发展与内部控制情况， 积极出席公司相关会议，认真审议公司各项议案，对公司募集资金使用情况、对外投资、关联交易等相关事项提出宝贵的专 业性建议并发表独立意见，有效保证公司规范运作，切实维护公司和全体股东尤其是中小股东的合法利益。公司结合自身实 际情况，对独立董事的意见与建议予以采纳。</w:t>
      </w:r>
    </w:p>
    <w:p>
      <w:pPr>
        <w:pStyle w:val="Style28"/>
        <w:keepNext/>
        <w:keepLines/>
        <w:widowControl w:val="0"/>
        <w:shd w:val="clear" w:color="auto" w:fill="auto"/>
        <w:bidi w:val="0"/>
        <w:spacing w:before="0" w:after="18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六</w:t>
      </w:r>
      <w:bookmarkEnd w:id="612"/>
      <w:r>
        <w:rPr>
          <w:color w:val="000000"/>
          <w:spacing w:val="0"/>
          <w:w w:val="100"/>
          <w:position w:val="0"/>
        </w:rPr>
        <w:t>、董事会下设专门委员会在报告期内履行职责情况</w:t>
      </w:r>
      <w:bookmarkEnd w:id="610"/>
      <w:bookmarkEnd w:id="611"/>
      <w:bookmarkEnd w:id="613"/>
    </w:p>
    <w:p>
      <w:pPr>
        <w:pStyle w:val="Style32"/>
        <w:keepNext w:val="0"/>
        <w:keepLines w:val="0"/>
        <w:widowControl w:val="0"/>
        <w:shd w:val="clear" w:color="auto" w:fill="auto"/>
        <w:bidi w:val="0"/>
        <w:spacing w:before="0" w:after="0" w:line="354" w:lineRule="exact"/>
        <w:ind w:left="0" w:right="0" w:firstLine="380"/>
        <w:jc w:val="both"/>
      </w:pPr>
      <w:bookmarkStart w:id="614" w:name="bookmark614"/>
      <w:r>
        <w:rPr>
          <w:b/>
          <w:bCs/>
          <w:color w:val="000000"/>
          <w:spacing w:val="0"/>
          <w:w w:val="100"/>
          <w:position w:val="0"/>
        </w:rPr>
        <w:t>（</w:t>
      </w:r>
      <w:bookmarkEnd w:id="614"/>
      <w:r>
        <w:rPr>
          <w:b/>
          <w:bCs/>
          <w:color w:val="000000"/>
          <w:spacing w:val="0"/>
          <w:w w:val="100"/>
          <w:position w:val="0"/>
        </w:rPr>
        <w:t>一）审计委员会履职情况</w:t>
      </w:r>
    </w:p>
    <w:p>
      <w:pPr>
        <w:pStyle w:val="Style32"/>
        <w:keepNext w:val="0"/>
        <w:keepLines w:val="0"/>
        <w:widowControl w:val="0"/>
        <w:shd w:val="clear" w:color="auto" w:fill="auto"/>
        <w:tabs>
          <w:tab w:pos="679" w:val="left"/>
        </w:tabs>
        <w:bidi w:val="0"/>
        <w:spacing w:before="0" w:after="0" w:line="354" w:lineRule="exact"/>
        <w:ind w:left="0" w:right="0" w:firstLine="380"/>
        <w:jc w:val="both"/>
      </w:pPr>
      <w:bookmarkStart w:id="615" w:name="bookmark615"/>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报告期内，董事会审计委员会共召开</w:t>
      </w:r>
      <w:r>
        <w:rPr>
          <w:rFonts w:ascii="Times New Roman" w:eastAsia="Times New Roman" w:hAnsi="Times New Roman" w:cs="Times New Roman"/>
          <w:color w:val="000000"/>
          <w:spacing w:val="0"/>
          <w:w w:val="100"/>
          <w:position w:val="0"/>
        </w:rPr>
        <w:t>3</w:t>
      </w:r>
      <w:r>
        <w:rPr>
          <w:color w:val="000000"/>
          <w:spacing w:val="0"/>
          <w:w w:val="100"/>
          <w:position w:val="0"/>
        </w:rPr>
        <w:t>次会议，主要工作情况如下：</w:t>
      </w:r>
    </w:p>
    <w:p>
      <w:pPr>
        <w:pStyle w:val="Style32"/>
        <w:keepNext w:val="0"/>
        <w:keepLines w:val="0"/>
        <w:widowControl w:val="0"/>
        <w:shd w:val="clear" w:color="auto" w:fill="auto"/>
        <w:bidi w:val="0"/>
        <w:spacing w:before="0" w:after="0" w:line="354" w:lineRule="exact"/>
        <w:ind w:left="0" w:right="0" w:firstLine="38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日，审计委员会召开第八届第三次会议，审议通过了《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年度财务报告》、《</w:t>
      </w:r>
      <w:r>
        <w:rPr>
          <w:rFonts w:ascii="Times New Roman" w:eastAsia="Times New Roman" w:hAnsi="Times New Roman" w:cs="Times New Roman"/>
          <w:color w:val="000000"/>
          <w:spacing w:val="0"/>
          <w:w w:val="100"/>
          <w:position w:val="0"/>
        </w:rPr>
        <w:t>2015</w:t>
      </w:r>
      <w:r>
        <w:rPr>
          <w:color w:val="000000"/>
          <w:spacing w:val="0"/>
          <w:w w:val="100"/>
          <w:position w:val="0"/>
        </w:rPr>
        <w:t>年度审计工作总 结》和《公司关于聘请</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年度审计机构及支付报酬的议案》。</w:t>
      </w:r>
    </w:p>
    <w:p>
      <w:pPr>
        <w:pStyle w:val="Style32"/>
        <w:keepNext w:val="0"/>
        <w:keepLines w:val="0"/>
        <w:widowControl w:val="0"/>
        <w:shd w:val="clear" w:color="auto" w:fill="auto"/>
        <w:bidi w:val="0"/>
        <w:spacing w:before="0" w:after="0" w:line="354" w:lineRule="exact"/>
        <w:ind w:left="0" w:right="0" w:firstLine="38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日，审计委员会召开第八届第四次会议，会议选举朱锦梅女士为第八届审计委员会主席，并审议通过 了《关于改聘公司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年度审计机构的议案》，改聘信永中和会计师事务所（特殊普通合伙）为公司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年度财务报告及内 控审计机构。</w:t>
      </w:r>
    </w:p>
    <w:p>
      <w:pPr>
        <w:pStyle w:val="Style32"/>
        <w:keepNext w:val="0"/>
        <w:keepLines w:val="0"/>
        <w:widowControl w:val="0"/>
        <w:shd w:val="clear" w:color="auto" w:fill="auto"/>
        <w:tabs>
          <w:tab w:pos="879" w:val="left"/>
        </w:tabs>
        <w:bidi w:val="0"/>
        <w:spacing w:before="0" w:after="0" w:line="354" w:lineRule="exact"/>
        <w:ind w:left="0" w:right="0" w:firstLine="38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日，审计委员会召开第八届第五次会议，听取了公司管理层对</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年度上半年审计工作的总结以及 </w:t>
      </w:r>
      <w:r>
        <w:rPr>
          <w:rFonts w:ascii="Times New Roman" w:eastAsia="Times New Roman" w:hAnsi="Times New Roman" w:cs="Times New Roman"/>
          <w:color w:val="000000"/>
          <w:spacing w:val="0"/>
          <w:w w:val="100"/>
          <w:position w:val="0"/>
        </w:rPr>
        <w:t>2016</w:t>
      </w:r>
      <w:r>
        <w:rPr>
          <w:color w:val="000000"/>
          <w:spacing w:val="0"/>
          <w:w w:val="100"/>
          <w:position w:val="0"/>
        </w:rPr>
        <w:t>年度中期财务报告。</w:t>
      </w:r>
    </w:p>
    <w:p>
      <w:pPr>
        <w:pStyle w:val="Style32"/>
        <w:keepNext w:val="0"/>
        <w:keepLines w:val="0"/>
        <w:widowControl w:val="0"/>
        <w:shd w:val="clear" w:color="auto" w:fill="auto"/>
        <w:tabs>
          <w:tab w:pos="698" w:val="left"/>
        </w:tabs>
        <w:bidi w:val="0"/>
        <w:spacing w:before="0" w:after="0" w:line="354" w:lineRule="exact"/>
        <w:ind w:left="0" w:right="0" w:firstLine="380"/>
        <w:jc w:val="both"/>
      </w:pPr>
      <w:bookmarkStart w:id="619" w:name="bookmark619"/>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审计委员会在公司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年度财务报告编制过程中，主要履行了以下工作职责：</w:t>
      </w:r>
    </w:p>
    <w:p>
      <w:pPr>
        <w:pStyle w:val="Style32"/>
        <w:keepNext w:val="0"/>
        <w:keepLines w:val="0"/>
        <w:widowControl w:val="0"/>
        <w:shd w:val="clear" w:color="auto" w:fill="auto"/>
        <w:tabs>
          <w:tab w:pos="865" w:val="left"/>
        </w:tabs>
        <w:bidi w:val="0"/>
        <w:spacing w:before="0" w:after="0" w:line="354" w:lineRule="exact"/>
        <w:ind w:left="0" w:right="0" w:firstLine="38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rPr>
        <w:t>1</w:t>
      </w:r>
      <w:r>
        <w:rPr>
          <w:color w:val="000000"/>
          <w:spacing w:val="0"/>
          <w:w w:val="100"/>
          <w:position w:val="0"/>
        </w:rPr>
        <w:t>）</w:t>
        <w:tab/>
        <w:t>与负责公司的年审注册会计师协商确定了</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年度财务报告审计工作的时间安排；会计师进场前，审计委员会提 前对年审进行全面部署，与会计师事务所年审注册会计师沟通确定了公司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年度审计工作的时间安排等事宜。</w:t>
      </w:r>
    </w:p>
    <w:p>
      <w:pPr>
        <w:pStyle w:val="Style32"/>
        <w:keepNext w:val="0"/>
        <w:keepLines w:val="0"/>
        <w:widowControl w:val="0"/>
        <w:shd w:val="clear" w:color="auto" w:fill="auto"/>
        <w:bidi w:val="0"/>
        <w:spacing w:before="0" w:after="0" w:line="354" w:lineRule="exact"/>
        <w:ind w:left="0" w:right="0" w:firstLine="38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rPr>
        <w:t>2</w:t>
      </w:r>
      <w:r>
        <w:rPr>
          <w:color w:val="000000"/>
          <w:spacing w:val="0"/>
          <w:w w:val="100"/>
          <w:position w:val="0"/>
        </w:rPr>
        <w:t>） 在年审注册会计师进场前，审计委员会审阅了公司财务部编制的</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年度财务报告（初稿）。审计委员会认为， 公司编制的</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年度财务报告（初稿）有关数据基本反映了公司</w:t>
      </w:r>
      <w:r>
        <w:rPr>
          <w:rFonts w:ascii="Times New Roman" w:eastAsia="Times New Roman" w:hAnsi="Times New Roman" w:cs="Times New Roman"/>
          <w:color w:val="000000"/>
          <w:spacing w:val="0"/>
          <w:w w:val="100"/>
          <w:position w:val="0"/>
        </w:rPr>
        <w:t>2016</w:t>
      </w:r>
      <w:r>
        <w:rPr>
          <w:color w:val="000000"/>
          <w:spacing w:val="0"/>
          <w:w w:val="100"/>
          <w:position w:val="0"/>
        </w:rPr>
        <w:t>年度的资产负债情况和经营业绩，财务会计报表信息客 观、全面、真实，同意以此财务会计报表为基础开展</w:t>
      </w:r>
      <w:r>
        <w:rPr>
          <w:rFonts w:ascii="Times New Roman" w:eastAsia="Times New Roman" w:hAnsi="Times New Roman" w:cs="Times New Roman"/>
          <w:color w:val="000000"/>
          <w:spacing w:val="0"/>
          <w:w w:val="100"/>
          <w:position w:val="0"/>
        </w:rPr>
        <w:t>2016</w:t>
      </w:r>
      <w:r>
        <w:rPr>
          <w:color w:val="000000"/>
          <w:spacing w:val="0"/>
          <w:w w:val="100"/>
          <w:position w:val="0"/>
        </w:rPr>
        <w:t>年度的财务审计工作。</w:t>
      </w:r>
    </w:p>
    <w:p>
      <w:pPr>
        <w:pStyle w:val="Style32"/>
        <w:keepNext w:val="0"/>
        <w:keepLines w:val="0"/>
        <w:widowControl w:val="0"/>
        <w:shd w:val="clear" w:color="auto" w:fill="auto"/>
        <w:bidi w:val="0"/>
        <w:spacing w:before="0" w:after="0" w:line="354" w:lineRule="exact"/>
        <w:ind w:left="0" w:right="0" w:firstLine="380"/>
        <w:jc w:val="both"/>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rPr>
        <w:t>3</w:t>
      </w:r>
      <w:r>
        <w:rPr>
          <w:color w:val="000000"/>
          <w:spacing w:val="0"/>
          <w:w w:val="100"/>
          <w:position w:val="0"/>
        </w:rPr>
        <w:t>） 年审注册会计师进场后，加强与年审注册会计师的沟通。审计委员会认为，初步审计的</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年度财务报告已经按 照新企业会计准则及公司有关财务制度进行编制，财务报告的编制基础、依据、原则和方法符合相关法律、法规和《公司章 程》，所包含的信息在重大方面公允地反映了公司截至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日的财务状况以和经营成果及现金流量，并同意以此数 据为基础编制</w:t>
      </w:r>
      <w:r>
        <w:rPr>
          <w:rFonts w:ascii="Times New Roman" w:eastAsia="Times New Roman" w:hAnsi="Times New Roman" w:cs="Times New Roman"/>
          <w:color w:val="000000"/>
          <w:spacing w:val="0"/>
          <w:w w:val="100"/>
          <w:position w:val="0"/>
        </w:rPr>
        <w:t>2016</w:t>
      </w:r>
      <w:r>
        <w:rPr>
          <w:color w:val="000000"/>
          <w:spacing w:val="0"/>
          <w:w w:val="100"/>
          <w:position w:val="0"/>
        </w:rPr>
        <w:t>年年度报告及摘要，并提交公司董事会进行审议。同时，要求会计师事务所按照计划尽快完成审计工作， 以保证公司如期披露</w:t>
      </w:r>
      <w:r>
        <w:rPr>
          <w:rFonts w:ascii="Times New Roman" w:eastAsia="Times New Roman" w:hAnsi="Times New Roman" w:cs="Times New Roman"/>
          <w:color w:val="000000"/>
          <w:spacing w:val="0"/>
          <w:w w:val="100"/>
          <w:position w:val="0"/>
        </w:rPr>
        <w:t>2016</w:t>
      </w:r>
      <w:r>
        <w:rPr>
          <w:color w:val="000000"/>
          <w:spacing w:val="0"/>
          <w:w w:val="100"/>
          <w:position w:val="0"/>
        </w:rPr>
        <w:t>年年度报告及摘要。</w:t>
      </w:r>
    </w:p>
    <w:p>
      <w:pPr>
        <w:pStyle w:val="Style32"/>
        <w:keepNext w:val="0"/>
        <w:keepLines w:val="0"/>
        <w:widowControl w:val="0"/>
        <w:shd w:val="clear" w:color="auto" w:fill="auto"/>
        <w:bidi w:val="0"/>
        <w:spacing w:before="0" w:after="0" w:line="354" w:lineRule="exact"/>
        <w:ind w:left="0" w:right="0" w:firstLine="320"/>
        <w:jc w:val="left"/>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4</w:t>
      </w:r>
      <w:r>
        <w:rPr>
          <w:color w:val="000000"/>
          <w:spacing w:val="0"/>
          <w:w w:val="100"/>
          <w:position w:val="0"/>
        </w:rPr>
        <w:t>）在审计过程中注重与年审注册会计师的沟通，积极督促会计师事务所在约定时限内提交审计报告。在审计团队进 场以后，审计委员会始终保持与财务部门负责人、内控内审部门负责人、主要项目负责人员的沟通，密切关注审计工作进 展情况；要求会计师事务所按照审计时间完成审计工作，确保公司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年度报告及相关文件按时披露。</w:t>
      </w:r>
    </w:p>
    <w:p>
      <w:pPr>
        <w:pStyle w:val="Style32"/>
        <w:keepNext w:val="0"/>
        <w:keepLines w:val="0"/>
        <w:widowControl w:val="0"/>
        <w:shd w:val="clear" w:color="auto" w:fill="auto"/>
        <w:bidi w:val="0"/>
        <w:spacing w:before="0" w:after="0" w:line="354" w:lineRule="exact"/>
        <w:ind w:left="0" w:right="0" w:firstLine="38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5</w:t>
      </w:r>
      <w:r>
        <w:rPr>
          <w:color w:val="000000"/>
          <w:spacing w:val="0"/>
          <w:w w:val="100"/>
          <w:position w:val="0"/>
        </w:rPr>
        <w:t>）年审注册会计师出具审计报告后，审计委员会召开会议对公司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年度财务报告、董事会审计委员会履职情况报 告暨关于会计师事务所</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年度审计工作的总结报告，以及续聘公司</w:t>
      </w:r>
      <w:r>
        <w:rPr>
          <w:rFonts w:ascii="Times New Roman" w:eastAsia="Times New Roman" w:hAnsi="Times New Roman" w:cs="Times New Roman"/>
          <w:color w:val="000000"/>
          <w:spacing w:val="0"/>
          <w:w w:val="100"/>
          <w:position w:val="0"/>
        </w:rPr>
        <w:t>2017</w:t>
      </w:r>
      <w:r>
        <w:rPr>
          <w:color w:val="000000"/>
          <w:spacing w:val="0"/>
          <w:w w:val="100"/>
          <w:position w:val="0"/>
        </w:rPr>
        <w:t>年度审计机构等事项进行了审议，形成决议后提交 董事会进行审核。</w:t>
      </w:r>
    </w:p>
    <w:p>
      <w:pPr>
        <w:pStyle w:val="Style32"/>
        <w:keepNext w:val="0"/>
        <w:keepLines w:val="0"/>
        <w:widowControl w:val="0"/>
        <w:shd w:val="clear" w:color="auto" w:fill="auto"/>
        <w:tabs>
          <w:tab w:pos="698" w:val="left"/>
        </w:tabs>
        <w:bidi w:val="0"/>
        <w:spacing w:before="0" w:after="60" w:line="354" w:lineRule="exact"/>
        <w:ind w:left="0" w:right="0" w:firstLine="380"/>
        <w:jc w:val="left"/>
      </w:pPr>
      <w:bookmarkStart w:id="625" w:name="bookmark625"/>
      <w:r>
        <w:rPr>
          <w:rFonts w:ascii="Times New Roman" w:eastAsia="Times New Roman" w:hAnsi="Times New Roman" w:cs="Times New Roman"/>
          <w:color w:val="000000"/>
          <w:spacing w:val="0"/>
          <w:w w:val="100"/>
          <w:position w:val="0"/>
        </w:rPr>
        <w:t>3</w:t>
      </w:r>
      <w:bookmarkEnd w:id="625"/>
      <w:r>
        <w:rPr>
          <w:color w:val="000000"/>
          <w:spacing w:val="0"/>
          <w:w w:val="100"/>
          <w:position w:val="0"/>
        </w:rPr>
        <w:t>、</w:t>
        <w:tab/>
        <w:t>审计委员会关于年审注册会计师从事</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年度审计工作的总结报告</w:t>
      </w:r>
    </w:p>
    <w:p>
      <w:pPr>
        <w:pStyle w:val="Style32"/>
        <w:keepNext w:val="0"/>
        <w:keepLines w:val="0"/>
        <w:widowControl w:val="0"/>
        <w:shd w:val="clear" w:color="auto" w:fill="auto"/>
        <w:bidi w:val="0"/>
        <w:spacing w:before="0" w:after="0" w:line="358" w:lineRule="exact"/>
        <w:ind w:left="0" w:right="0" w:firstLine="380"/>
        <w:jc w:val="both"/>
      </w:pPr>
      <w:r>
        <w:rPr>
          <w:color w:val="000000"/>
          <w:spacing w:val="0"/>
          <w:w w:val="100"/>
          <w:position w:val="0"/>
        </w:rPr>
        <w:t>审计委员会对</w:t>
      </w:r>
      <w:r>
        <w:rPr>
          <w:rFonts w:ascii="Times New Roman" w:eastAsia="Times New Roman" w:hAnsi="Times New Roman" w:cs="Times New Roman"/>
          <w:color w:val="000000"/>
          <w:spacing w:val="0"/>
          <w:w w:val="100"/>
          <w:position w:val="0"/>
        </w:rPr>
        <w:t>2016</w:t>
      </w:r>
      <w:r>
        <w:rPr>
          <w:color w:val="000000"/>
          <w:spacing w:val="0"/>
          <w:w w:val="100"/>
          <w:position w:val="0"/>
        </w:rPr>
        <w:t>年度会计师事务所的审计工作进行了总结报告，认为年审注册会计师已按照中国注册会计师审计准 则的规定执行了审计工作，审计时间充分，审计人员配置合理、执业能力胜任，出具的审计报告从重大方面公允地反映了公 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年度的经营成果和现金流量，出具的审计结论符合公司的实际情况。</w:t>
      </w:r>
    </w:p>
    <w:p>
      <w:pPr>
        <w:pStyle w:val="Style32"/>
        <w:keepNext w:val="0"/>
        <w:keepLines w:val="0"/>
        <w:widowControl w:val="0"/>
        <w:shd w:val="clear" w:color="auto" w:fill="auto"/>
        <w:tabs>
          <w:tab w:pos="841" w:val="left"/>
        </w:tabs>
        <w:bidi w:val="0"/>
        <w:spacing w:before="0" w:after="0" w:line="358" w:lineRule="exact"/>
        <w:ind w:left="0" w:right="0" w:firstLine="300"/>
        <w:jc w:val="both"/>
      </w:pPr>
      <w:bookmarkStart w:id="626" w:name="bookmark626"/>
      <w:r>
        <w:rPr>
          <w:b/>
          <w:bCs/>
          <w:color w:val="000000"/>
          <w:spacing w:val="0"/>
          <w:w w:val="100"/>
          <w:position w:val="0"/>
        </w:rPr>
        <w:t>（</w:t>
      </w:r>
      <w:bookmarkEnd w:id="626"/>
      <w:r>
        <w:rPr>
          <w:b/>
          <w:bCs/>
          <w:color w:val="000000"/>
          <w:spacing w:val="0"/>
          <w:w w:val="100"/>
          <w:position w:val="0"/>
        </w:rPr>
        <w:t>二）</w:t>
        <w:tab/>
        <w:t>薪酬与考核委员会履职情况</w:t>
      </w:r>
    </w:p>
    <w:p>
      <w:pPr>
        <w:pStyle w:val="Style32"/>
        <w:keepNext w:val="0"/>
        <w:keepLines w:val="0"/>
        <w:widowControl w:val="0"/>
        <w:shd w:val="clear" w:color="auto" w:fill="auto"/>
        <w:bidi w:val="0"/>
        <w:spacing w:before="0" w:after="160" w:line="358" w:lineRule="exact"/>
        <w:ind w:left="0" w:right="0" w:firstLine="300"/>
        <w:jc w:val="both"/>
      </w:pPr>
      <w:r>
        <w:rPr>
          <w:color w:val="000000"/>
          <w:spacing w:val="0"/>
          <w:w w:val="100"/>
          <w:position w:val="0"/>
        </w:rPr>
        <w:t xml:space="preserve">报告期内，董事会薪酬与考核委员会共召开了 </w:t>
      </w:r>
      <w:r>
        <w:rPr>
          <w:rFonts w:ascii="Times New Roman" w:eastAsia="Times New Roman" w:hAnsi="Times New Roman" w:cs="Times New Roman"/>
          <w:color w:val="000000"/>
          <w:spacing w:val="0"/>
          <w:w w:val="100"/>
          <w:position w:val="0"/>
        </w:rPr>
        <w:t>3</w:t>
      </w:r>
      <w:r>
        <w:rPr>
          <w:color w:val="000000"/>
          <w:spacing w:val="0"/>
          <w:w w:val="100"/>
          <w:position w:val="0"/>
        </w:rPr>
        <w:t>次会议，主要工作情况如下：</w:t>
      </w:r>
    </w:p>
    <w:p>
      <w:pPr>
        <w:pStyle w:val="Style32"/>
        <w:keepNext w:val="0"/>
        <w:keepLines w:val="0"/>
        <w:widowControl w:val="0"/>
        <w:shd w:val="clear" w:color="auto" w:fill="auto"/>
        <w:tabs>
          <w:tab w:pos="634" w:val="left"/>
        </w:tabs>
        <w:bidi w:val="0"/>
        <w:spacing w:before="0" w:after="0" w:line="415" w:lineRule="auto"/>
        <w:ind w:left="0" w:right="0" w:firstLine="300"/>
        <w:jc w:val="both"/>
      </w:pPr>
      <w:bookmarkStart w:id="627" w:name="bookmark627"/>
      <w:r>
        <w:rPr>
          <w:rFonts w:ascii="Times New Roman" w:eastAsia="Times New Roman" w:hAnsi="Times New Roman" w:cs="Times New Roman"/>
          <w:color w:val="000000"/>
          <w:spacing w:val="0"/>
          <w:w w:val="100"/>
          <w:position w:val="0"/>
        </w:rPr>
        <w:t>1</w:t>
      </w:r>
      <w:bookmarkEnd w:id="62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日，薪酬与考核委员会召开第八届第二次会议，讨论公司</w:t>
      </w:r>
      <w:r>
        <w:rPr>
          <w:rFonts w:ascii="Times New Roman" w:eastAsia="Times New Roman" w:hAnsi="Times New Roman" w:cs="Times New Roman"/>
          <w:color w:val="000000"/>
          <w:spacing w:val="0"/>
          <w:w w:val="100"/>
          <w:position w:val="0"/>
        </w:rPr>
        <w:t>2016</w:t>
      </w:r>
      <w:r>
        <w:rPr>
          <w:color w:val="000000"/>
          <w:spacing w:val="0"/>
          <w:w w:val="100"/>
          <w:position w:val="0"/>
        </w:rPr>
        <w:t>年度经营管理考核办法不提交董事会。</w:t>
      </w:r>
    </w:p>
    <w:p>
      <w:pPr>
        <w:pStyle w:val="Style32"/>
        <w:keepNext w:val="0"/>
        <w:keepLines w:val="0"/>
        <w:widowControl w:val="0"/>
        <w:shd w:val="clear" w:color="auto" w:fill="auto"/>
        <w:tabs>
          <w:tab w:pos="654" w:val="left"/>
        </w:tabs>
        <w:bidi w:val="0"/>
        <w:spacing w:before="0" w:after="0" w:line="415" w:lineRule="auto"/>
        <w:ind w:left="0" w:right="0" w:firstLine="300"/>
        <w:jc w:val="both"/>
      </w:pPr>
      <w:bookmarkStart w:id="628" w:name="bookmark628"/>
      <w:r>
        <w:rPr>
          <w:rFonts w:ascii="Times New Roman" w:eastAsia="Times New Roman" w:hAnsi="Times New Roman" w:cs="Times New Roman"/>
          <w:color w:val="000000"/>
          <w:spacing w:val="0"/>
          <w:w w:val="100"/>
          <w:position w:val="0"/>
        </w:rPr>
        <w:t>2</w:t>
      </w:r>
      <w:bookmarkEnd w:id="62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日，薪酬与考核委员会召开第八届第三次会议，会议选举高良玉先生为薪酬与考核委员会主席。</w:t>
      </w:r>
    </w:p>
    <w:p>
      <w:pPr>
        <w:pStyle w:val="Style32"/>
        <w:keepNext w:val="0"/>
        <w:keepLines w:val="0"/>
        <w:widowControl w:val="0"/>
        <w:shd w:val="clear" w:color="auto" w:fill="auto"/>
        <w:tabs>
          <w:tab w:pos="644" w:val="left"/>
        </w:tabs>
        <w:bidi w:val="0"/>
        <w:spacing w:before="0" w:after="0" w:line="415" w:lineRule="auto"/>
        <w:ind w:left="0" w:right="0" w:firstLine="300"/>
        <w:jc w:val="both"/>
      </w:pPr>
      <w:bookmarkStart w:id="629" w:name="bookmark629"/>
      <w:r>
        <w:rPr>
          <w:rFonts w:ascii="Times New Roman" w:eastAsia="Times New Roman" w:hAnsi="Times New Roman" w:cs="Times New Roman"/>
          <w:color w:val="000000"/>
          <w:spacing w:val="0"/>
          <w:w w:val="100"/>
          <w:position w:val="0"/>
        </w:rPr>
        <w:t>3</w:t>
      </w:r>
      <w:bookmarkEnd w:id="62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日，薪酬与考核委员会召开第八届第四次会议，会议选举侯松容先生为薪酬与考核委员会主席。</w:t>
      </w:r>
    </w:p>
    <w:p>
      <w:pPr>
        <w:pStyle w:val="Style32"/>
        <w:keepNext w:val="0"/>
        <w:keepLines w:val="0"/>
        <w:widowControl w:val="0"/>
        <w:shd w:val="clear" w:color="auto" w:fill="auto"/>
        <w:tabs>
          <w:tab w:pos="841" w:val="left"/>
        </w:tabs>
        <w:bidi w:val="0"/>
        <w:spacing w:before="0" w:after="0" w:line="358" w:lineRule="exact"/>
        <w:ind w:left="0" w:right="0" w:firstLine="300"/>
        <w:jc w:val="left"/>
      </w:pPr>
      <w:bookmarkStart w:id="630" w:name="bookmark630"/>
      <w:r>
        <w:rPr>
          <w:b/>
          <w:bCs/>
          <w:color w:val="000000"/>
          <w:spacing w:val="0"/>
          <w:w w:val="100"/>
          <w:position w:val="0"/>
        </w:rPr>
        <w:t>（</w:t>
      </w:r>
      <w:bookmarkEnd w:id="630"/>
      <w:r>
        <w:rPr>
          <w:b/>
          <w:bCs/>
          <w:color w:val="000000"/>
          <w:spacing w:val="0"/>
          <w:w w:val="100"/>
          <w:position w:val="0"/>
        </w:rPr>
        <w:t>三）</w:t>
        <w:tab/>
        <w:t>战略委员会履职情况</w:t>
      </w:r>
    </w:p>
    <w:p>
      <w:pPr>
        <w:pStyle w:val="Style32"/>
        <w:keepNext w:val="0"/>
        <w:keepLines w:val="0"/>
        <w:widowControl w:val="0"/>
        <w:shd w:val="clear" w:color="auto" w:fill="auto"/>
        <w:bidi w:val="0"/>
        <w:spacing w:before="0" w:after="160" w:line="358" w:lineRule="exact"/>
        <w:ind w:left="0" w:right="0" w:firstLine="300"/>
        <w:jc w:val="left"/>
      </w:pPr>
      <w:r>
        <w:rPr>
          <w:color w:val="000000"/>
          <w:spacing w:val="0"/>
          <w:w w:val="100"/>
          <w:position w:val="0"/>
        </w:rPr>
        <w:t>报告期内，董事会战略委员会共召开</w:t>
      </w:r>
      <w:r>
        <w:rPr>
          <w:rFonts w:ascii="Times New Roman" w:eastAsia="Times New Roman" w:hAnsi="Times New Roman" w:cs="Times New Roman"/>
          <w:color w:val="000000"/>
          <w:spacing w:val="0"/>
          <w:w w:val="100"/>
          <w:position w:val="0"/>
        </w:rPr>
        <w:t>2</w:t>
      </w:r>
      <w:r>
        <w:rPr>
          <w:color w:val="000000"/>
          <w:spacing w:val="0"/>
          <w:w w:val="100"/>
          <w:position w:val="0"/>
        </w:rPr>
        <w:t>次会议，主要工作情况如下：</w:t>
      </w:r>
    </w:p>
    <w:p>
      <w:pPr>
        <w:pStyle w:val="Style32"/>
        <w:keepNext w:val="0"/>
        <w:keepLines w:val="0"/>
        <w:widowControl w:val="0"/>
        <w:shd w:val="clear" w:color="auto" w:fill="auto"/>
        <w:tabs>
          <w:tab w:pos="634" w:val="left"/>
        </w:tabs>
        <w:bidi w:val="0"/>
        <w:spacing w:before="0" w:after="0" w:line="415" w:lineRule="auto"/>
        <w:ind w:left="0" w:right="0" w:firstLine="300"/>
        <w:jc w:val="left"/>
      </w:pPr>
      <w:bookmarkStart w:id="631" w:name="bookmark631"/>
      <w:r>
        <w:rPr>
          <w:rFonts w:ascii="Times New Roman" w:eastAsia="Times New Roman" w:hAnsi="Times New Roman" w:cs="Times New Roman"/>
          <w:color w:val="000000"/>
          <w:spacing w:val="0"/>
          <w:w w:val="100"/>
          <w:position w:val="0"/>
        </w:rPr>
        <w:t>1</w:t>
      </w:r>
      <w:bookmarkEnd w:id="63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日，战略委员会召开第八届第二次会议，会议选举郭为先生为战略委员会主席。</w:t>
      </w:r>
    </w:p>
    <w:p>
      <w:pPr>
        <w:pStyle w:val="Style32"/>
        <w:keepNext w:val="0"/>
        <w:keepLines w:val="0"/>
        <w:widowControl w:val="0"/>
        <w:shd w:val="clear" w:color="auto" w:fill="auto"/>
        <w:tabs>
          <w:tab w:pos="632" w:val="left"/>
        </w:tabs>
        <w:bidi w:val="0"/>
        <w:spacing w:before="0" w:after="0" w:line="358" w:lineRule="exact"/>
        <w:ind w:left="0" w:right="0" w:firstLine="300"/>
        <w:jc w:val="left"/>
      </w:pPr>
      <w:bookmarkStart w:id="632" w:name="bookmark632"/>
      <w:r>
        <w:rPr>
          <w:rFonts w:ascii="Times New Roman" w:eastAsia="Times New Roman" w:hAnsi="Times New Roman" w:cs="Times New Roman"/>
          <w:color w:val="000000"/>
          <w:spacing w:val="0"/>
          <w:w w:val="100"/>
          <w:position w:val="0"/>
        </w:rPr>
        <w:t>2</w:t>
      </w:r>
      <w:bookmarkEnd w:id="63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日，战略委员会召开第八届第三次会议，审议通过了《关于公司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股股票预案的议 案》。</w:t>
      </w:r>
    </w:p>
    <w:p>
      <w:pPr>
        <w:pStyle w:val="Style32"/>
        <w:keepNext w:val="0"/>
        <w:keepLines w:val="0"/>
        <w:widowControl w:val="0"/>
        <w:shd w:val="clear" w:color="auto" w:fill="auto"/>
        <w:tabs>
          <w:tab w:pos="841" w:val="left"/>
        </w:tabs>
        <w:bidi w:val="0"/>
        <w:spacing w:before="0" w:after="0" w:line="358" w:lineRule="exact"/>
        <w:ind w:left="0" w:right="0" w:firstLine="300"/>
        <w:jc w:val="left"/>
      </w:pPr>
      <w:bookmarkStart w:id="633" w:name="bookmark633"/>
      <w:r>
        <w:rPr>
          <w:b/>
          <w:bCs/>
          <w:color w:val="000000"/>
          <w:spacing w:val="0"/>
          <w:w w:val="100"/>
          <w:position w:val="0"/>
        </w:rPr>
        <w:t>（</w:t>
      </w:r>
      <w:bookmarkEnd w:id="633"/>
      <w:r>
        <w:rPr>
          <w:b/>
          <w:bCs/>
          <w:color w:val="000000"/>
          <w:spacing w:val="0"/>
          <w:w w:val="100"/>
          <w:position w:val="0"/>
        </w:rPr>
        <w:t>四）</w:t>
        <w:tab/>
        <w:t>提名委员会履职情况</w:t>
      </w:r>
    </w:p>
    <w:p>
      <w:pPr>
        <w:pStyle w:val="Style32"/>
        <w:keepNext w:val="0"/>
        <w:keepLines w:val="0"/>
        <w:widowControl w:val="0"/>
        <w:shd w:val="clear" w:color="auto" w:fill="auto"/>
        <w:bidi w:val="0"/>
        <w:spacing w:before="0" w:after="0" w:line="358" w:lineRule="exact"/>
        <w:ind w:left="0" w:right="0" w:firstLine="300"/>
        <w:jc w:val="left"/>
      </w:pPr>
      <w:r>
        <w:rPr>
          <w:color w:val="000000"/>
          <w:spacing w:val="0"/>
          <w:w w:val="100"/>
          <w:position w:val="0"/>
        </w:rPr>
        <w:t>报告期内，董事会提名委员会共召开</w:t>
      </w:r>
      <w:r>
        <w:rPr>
          <w:rFonts w:ascii="Times New Roman" w:eastAsia="Times New Roman" w:hAnsi="Times New Roman" w:cs="Times New Roman"/>
          <w:color w:val="000000"/>
          <w:spacing w:val="0"/>
          <w:w w:val="100"/>
          <w:position w:val="0"/>
        </w:rPr>
        <w:t>3</w:t>
      </w:r>
      <w:r>
        <w:rPr>
          <w:color w:val="000000"/>
          <w:spacing w:val="0"/>
          <w:w w:val="100"/>
          <w:position w:val="0"/>
        </w:rPr>
        <w:t>次会议，主要工作情况如下：</w:t>
      </w:r>
    </w:p>
    <w:p>
      <w:pPr>
        <w:pStyle w:val="Style32"/>
        <w:keepNext w:val="0"/>
        <w:keepLines w:val="0"/>
        <w:widowControl w:val="0"/>
        <w:shd w:val="clear" w:color="auto" w:fill="auto"/>
        <w:tabs>
          <w:tab w:pos="632" w:val="left"/>
        </w:tabs>
        <w:bidi w:val="0"/>
        <w:spacing w:before="0" w:after="0" w:line="358" w:lineRule="exact"/>
        <w:ind w:left="0" w:right="0" w:firstLine="300"/>
        <w:jc w:val="left"/>
      </w:pPr>
      <w:bookmarkStart w:id="634" w:name="bookmark634"/>
      <w:r>
        <w:rPr>
          <w:rFonts w:ascii="Times New Roman" w:eastAsia="Times New Roman" w:hAnsi="Times New Roman" w:cs="Times New Roman"/>
          <w:color w:val="000000"/>
          <w:spacing w:val="0"/>
          <w:w w:val="100"/>
          <w:position w:val="0"/>
        </w:rPr>
        <w:t>1</w:t>
      </w:r>
      <w:bookmarkEnd w:id="63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日，提名委员会召开第八届第三次会议，审议通过了《关于补选董事会成员的议案》，提名朱锦梅女士 为第八届董事会独立董事。</w:t>
      </w:r>
    </w:p>
    <w:p>
      <w:pPr>
        <w:pStyle w:val="Style32"/>
        <w:keepNext w:val="0"/>
        <w:keepLines w:val="0"/>
        <w:widowControl w:val="0"/>
        <w:shd w:val="clear" w:color="auto" w:fill="auto"/>
        <w:tabs>
          <w:tab w:pos="632" w:val="left"/>
        </w:tabs>
        <w:bidi w:val="0"/>
        <w:spacing w:before="0" w:after="0" w:line="358" w:lineRule="exact"/>
        <w:ind w:left="0" w:right="0" w:firstLine="300"/>
        <w:jc w:val="left"/>
      </w:pPr>
      <w:bookmarkStart w:id="635" w:name="bookmark635"/>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日，提名委员会召开第八届第四次会议，会议选举郭为先生为第八届提名委员主席，并且提名闫国荣 先生为总裁，韩玉华女士、李岩女士、叶海强先生、张赐安先生、周立达先生为副总裁，张云飞女士为财务总监，王继业 女士为董事会秘书。</w:t>
      </w:r>
    </w:p>
    <w:p>
      <w:pPr>
        <w:pStyle w:val="Style32"/>
        <w:keepNext w:val="0"/>
        <w:keepLines w:val="0"/>
        <w:widowControl w:val="0"/>
        <w:shd w:val="clear" w:color="auto" w:fill="auto"/>
        <w:bidi w:val="0"/>
        <w:spacing w:before="0" w:after="460" w:line="358" w:lineRule="exact"/>
        <w:ind w:left="0" w:right="0" w:firstLine="300"/>
        <w:jc w:val="left"/>
      </w:pPr>
      <w:r>
        <w:rPr>
          <w:rFonts w:ascii="Times New Roman" w:eastAsia="Times New Roman" w:hAnsi="Times New Roman" w:cs="Times New Roman"/>
          <w:color w:val="000000"/>
          <w:spacing w:val="0"/>
          <w:w w:val="100"/>
          <w:position w:val="0"/>
        </w:rPr>
        <w:t>3</w:t>
      </w:r>
      <w:r>
        <w:rPr>
          <w:color w:val="000000"/>
          <w:spacing w:val="0"/>
          <w:w w:val="100"/>
          <w:position w:val="0"/>
        </w:rPr>
        <w:t xml:space="preserve">&gt;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日，提名委员会召开第八届第五次会议，审议通过了《关于变更公司独立董事的议案》，提名张志强 先生、侯松容为公司第八届董事会独立董事。</w:t>
      </w:r>
    </w:p>
    <w:p>
      <w:pPr>
        <w:pStyle w:val="Style28"/>
        <w:keepNext/>
        <w:keepLines/>
        <w:widowControl w:val="0"/>
        <w:shd w:val="clear" w:color="auto" w:fill="auto"/>
        <w:tabs>
          <w:tab w:pos="540" w:val="left"/>
        </w:tabs>
        <w:bidi w:val="0"/>
        <w:spacing w:before="0" w:after="32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七</w:t>
      </w:r>
      <w:bookmarkEnd w:id="638"/>
      <w:r>
        <w:rPr>
          <w:color w:val="000000"/>
          <w:spacing w:val="0"/>
          <w:w w:val="100"/>
          <w:position w:val="0"/>
        </w:rPr>
        <w:t>、</w:t>
        <w:tab/>
        <w:t>监事会工作情况</w:t>
      </w:r>
      <w:bookmarkEnd w:id="636"/>
      <w:bookmarkEnd w:id="637"/>
      <w:bookmarkEnd w:id="639"/>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40" w:val="left"/>
        </w:tabs>
        <w:bidi w:val="0"/>
        <w:spacing w:before="0" w:after="16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八</w:t>
      </w:r>
      <w:bookmarkEnd w:id="642"/>
      <w:r>
        <w:rPr>
          <w:color w:val="000000"/>
          <w:spacing w:val="0"/>
          <w:w w:val="100"/>
          <w:position w:val="0"/>
        </w:rPr>
        <w:t>、</w:t>
        <w:tab/>
        <w:t>高级管理人员的考评及激励情况</w:t>
      </w:r>
      <w:bookmarkEnd w:id="640"/>
      <w:bookmarkEnd w:id="641"/>
      <w:bookmarkEnd w:id="643"/>
    </w:p>
    <w:p>
      <w:pPr>
        <w:pStyle w:val="Style32"/>
        <w:keepNext w:val="0"/>
        <w:keepLines w:val="0"/>
        <w:widowControl w:val="0"/>
        <w:shd w:val="clear" w:color="auto" w:fill="auto"/>
        <w:bidi w:val="0"/>
        <w:spacing w:before="0" w:after="460" w:line="353" w:lineRule="exact"/>
        <w:ind w:left="0" w:right="0" w:firstLine="0"/>
        <w:jc w:val="left"/>
      </w:pPr>
      <w:r>
        <w:rPr>
          <w:color w:val="000000"/>
          <w:spacing w:val="0"/>
          <w:w w:val="100"/>
          <w:position w:val="0"/>
        </w:rPr>
        <w:t>报告期内，公司高级管理人员严格按照《公司法》、《公司章程》及有关法律法规认真履行职责，积极落实公司股东大会 和董事会各项决议。公司高级管理人员依据其在公司的任职岗位领取相应薪酬，并经董事会薪酬与考核委员会考评。报告 期内，公司未实施股权激励计划。</w:t>
      </w:r>
    </w:p>
    <w:p>
      <w:pPr>
        <w:pStyle w:val="Style28"/>
        <w:keepNext/>
        <w:keepLines/>
        <w:widowControl w:val="0"/>
        <w:shd w:val="clear" w:color="auto" w:fill="auto"/>
        <w:tabs>
          <w:tab w:pos="540" w:val="left"/>
        </w:tabs>
        <w:bidi w:val="0"/>
        <w:spacing w:before="0" w:after="32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九</w:t>
      </w:r>
      <w:bookmarkEnd w:id="646"/>
      <w:r>
        <w:rPr>
          <w:color w:val="000000"/>
          <w:spacing w:val="0"/>
          <w:w w:val="100"/>
          <w:position w:val="0"/>
        </w:rPr>
        <w:t>、</w:t>
        <w:tab/>
        <w:t>内部控制情况</w:t>
      </w:r>
      <w:bookmarkEnd w:id="644"/>
      <w:bookmarkEnd w:id="645"/>
      <w:bookmarkEnd w:id="647"/>
    </w:p>
    <w:p>
      <w:pPr>
        <w:pStyle w:val="Style36"/>
        <w:keepNext/>
        <w:keepLines/>
        <w:widowControl w:val="0"/>
        <w:shd w:val="clear" w:color="auto" w:fill="auto"/>
        <w:bidi w:val="0"/>
        <w:spacing w:before="0" w:after="32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、报告期内发现的内部控制重大缺陷的具体情况</w:t>
      </w:r>
      <w:bookmarkEnd w:id="648"/>
      <w:bookmarkEnd w:id="649"/>
      <w:bookmarkEnd w:id="651"/>
    </w:p>
    <w:p>
      <w:pPr>
        <w:pStyle w:val="Style32"/>
        <w:keepNext w:val="0"/>
        <w:keepLines w:val="0"/>
        <w:widowControl w:val="0"/>
        <w:shd w:val="clear" w:color="auto" w:fill="auto"/>
        <w:bidi w:val="0"/>
        <w:spacing w:before="0" w:after="320" w:line="41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6"/>
        <w:keepNext/>
        <w:keepLines/>
        <w:widowControl w:val="0"/>
        <w:shd w:val="clear" w:color="auto" w:fill="auto"/>
        <w:bidi w:val="0"/>
        <w:spacing w:before="0" w:after="32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、内控自我评价报告</w:t>
      </w:r>
      <w:bookmarkEnd w:id="652"/>
      <w:bookmarkEnd w:id="653"/>
      <w:bookmarkEnd w:id="655"/>
    </w:p>
    <w:tbl>
      <w:tblPr>
        <w:tblOverlap w:val="never"/>
        <w:jc w:val="center"/>
        <w:tblLayout w:type="fixed"/>
      </w:tblPr>
      <w:tblGrid>
        <w:gridCol w:w="3197"/>
        <w:gridCol w:w="3322"/>
        <w:gridCol w:w="3062"/>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c>
          <w:tcPr>
            <w:tcBorders>
              <w:top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、部控制自我评价报告</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w:t>
            </w:r>
          </w:p>
        </w:tc>
      </w:tr>
      <w:tr>
        <w:trPr>
          <w:trHeight w:val="322"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69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公司确定的财务报告内部控制缺陷评价的 定性标准如下：存在下列情形之一时，认 定为财务报告的重大缺陷：（</w:t>
            </w:r>
            <w:r>
              <w:rPr>
                <w:rFonts w:ascii="Times New Roman" w:eastAsia="Times New Roman" w:hAnsi="Times New Roman" w:cs="Times New Roman"/>
                <w:color w:val="000000"/>
                <w:spacing w:val="0"/>
                <w:w w:val="100"/>
                <w:position w:val="0"/>
              </w:rPr>
              <w:t>1</w:t>
            </w:r>
            <w:r>
              <w:rPr>
                <w:color w:val="000000"/>
                <w:spacing w:val="0"/>
                <w:w w:val="100"/>
                <w:position w:val="0"/>
              </w:rPr>
              <w:t>）重述以前 年度的财务报告以纠正重大错报，该错报 因财务报告内部控制缺陷导致；（</w:t>
            </w:r>
            <w:r>
              <w:rPr>
                <w:rFonts w:ascii="Times New Roman" w:eastAsia="Times New Roman" w:hAnsi="Times New Roman" w:cs="Times New Roman"/>
                <w:color w:val="000000"/>
                <w:spacing w:val="0"/>
                <w:w w:val="100"/>
                <w:position w:val="0"/>
              </w:rPr>
              <w:t>2</w:t>
            </w:r>
            <w:r>
              <w:rPr>
                <w:color w:val="000000"/>
                <w:spacing w:val="0"/>
                <w:w w:val="100"/>
                <w:position w:val="0"/>
              </w:rPr>
              <w:t>）审计 师在当期审计中发现了财务报告中的重大 错报，该错报并未被公司的内部控制所发 现；（</w:t>
            </w:r>
            <w:r>
              <w:rPr>
                <w:rFonts w:ascii="Times New Roman" w:eastAsia="Times New Roman" w:hAnsi="Times New Roman" w:cs="Times New Roman"/>
                <w:color w:val="000000"/>
                <w:spacing w:val="0"/>
                <w:w w:val="100"/>
                <w:position w:val="0"/>
              </w:rPr>
              <w:t>3</w:t>
            </w:r>
            <w:r>
              <w:rPr>
                <w:color w:val="000000"/>
                <w:spacing w:val="0"/>
                <w:w w:val="100"/>
                <w:position w:val="0"/>
              </w:rPr>
              <w:t>）审计委员会对财务报告和相关内 部控制缺乏有效的监督；（</w:t>
            </w:r>
            <w:r>
              <w:rPr>
                <w:rFonts w:ascii="Times New Roman" w:eastAsia="Times New Roman" w:hAnsi="Times New Roman" w:cs="Times New Roman"/>
                <w:color w:val="000000"/>
                <w:spacing w:val="0"/>
                <w:w w:val="100"/>
                <w:position w:val="0"/>
              </w:rPr>
              <w:t>4</w:t>
            </w:r>
            <w:r>
              <w:rPr>
                <w:color w:val="000000"/>
                <w:spacing w:val="0"/>
                <w:w w:val="100"/>
                <w:position w:val="0"/>
              </w:rPr>
              <w:t>）基本无效的 内部审计和风险评估职能；（</w:t>
            </w:r>
            <w:r>
              <w:rPr>
                <w:rFonts w:ascii="Times New Roman" w:eastAsia="Times New Roman" w:hAnsi="Times New Roman" w:cs="Times New Roman"/>
                <w:color w:val="000000"/>
                <w:spacing w:val="0"/>
                <w:w w:val="100"/>
                <w:position w:val="0"/>
              </w:rPr>
              <w:t>5</w:t>
            </w:r>
            <w:r>
              <w:rPr>
                <w:color w:val="000000"/>
                <w:spacing w:val="0"/>
                <w:w w:val="100"/>
                <w:position w:val="0"/>
              </w:rPr>
              <w:t>）发现高级 管理人员的重大舞弊行为。存在下列情形 之一时，认定为财务报告的重要缺陷：</w:t>
            </w:r>
          </w:p>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）在选择和实施与《企业会计准则》 相一致的会计政策方面存在内部控制缺 陷；（</w:t>
            </w:r>
            <w:r>
              <w:rPr>
                <w:rFonts w:ascii="Times New Roman" w:eastAsia="Times New Roman" w:hAnsi="Times New Roman" w:cs="Times New Roman"/>
                <w:color w:val="000000"/>
                <w:spacing w:val="0"/>
                <w:w w:val="100"/>
                <w:position w:val="0"/>
              </w:rPr>
              <w:t>2</w:t>
            </w:r>
            <w:r>
              <w:rPr>
                <w:color w:val="000000"/>
                <w:spacing w:val="0"/>
                <w:w w:val="100"/>
                <w:position w:val="0"/>
              </w:rPr>
              <w:t>）与财务报告相关的反舞弊程序和 控制受到干预；（</w:t>
            </w:r>
            <w:r>
              <w:rPr>
                <w:rFonts w:ascii="Times New Roman" w:eastAsia="Times New Roman" w:hAnsi="Times New Roman" w:cs="Times New Roman"/>
                <w:color w:val="000000"/>
                <w:spacing w:val="0"/>
                <w:w w:val="100"/>
                <w:position w:val="0"/>
              </w:rPr>
              <w:t>3</w:t>
            </w:r>
            <w:r>
              <w:rPr>
                <w:color w:val="000000"/>
                <w:spacing w:val="0"/>
                <w:w w:val="100"/>
                <w:position w:val="0"/>
              </w:rPr>
              <w:t>）对于期末财务报告过 程的控制存在一项或多项缺陷且不能合理 保证编制的财务报表达到真实、准确的目 标；（</w:t>
            </w:r>
            <w:r>
              <w:rPr>
                <w:rFonts w:ascii="Times New Roman" w:eastAsia="Times New Roman" w:hAnsi="Times New Roman" w:cs="Times New Roman"/>
                <w:color w:val="000000"/>
                <w:spacing w:val="0"/>
                <w:w w:val="100"/>
                <w:position w:val="0"/>
              </w:rPr>
              <w:t>4</w:t>
            </w:r>
            <w:r>
              <w:rPr>
                <w:color w:val="000000"/>
                <w:spacing w:val="0"/>
                <w:w w:val="100"/>
                <w:position w:val="0"/>
              </w:rPr>
              <w:t>）货币资金、存货、收入、成本、 在建工程、固定资产等重要会计科目的关 键控制点在设计或执行方面存在明显缺 陷，且缺乏补偿性控制程序替代。除重大 缺陷、重要缺陷之外的其他缺陷被认定为 一般缺陷。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公司确定的非财务报告内部控制缺陷 评价的定性标准如下：存在下列情形 之一时，认定为非财务报告的重大缺 陷：（</w:t>
            </w:r>
            <w:r>
              <w:rPr>
                <w:rFonts w:ascii="Times New Roman" w:eastAsia="Times New Roman" w:hAnsi="Times New Roman" w:cs="Times New Roman"/>
                <w:color w:val="000000"/>
                <w:spacing w:val="0"/>
                <w:w w:val="100"/>
                <w:position w:val="0"/>
              </w:rPr>
              <w:t>1</w:t>
            </w:r>
            <w:r>
              <w:rPr>
                <w:color w:val="000000"/>
                <w:spacing w:val="0"/>
                <w:w w:val="100"/>
                <w:position w:val="0"/>
              </w:rPr>
              <w:t>）公司在税务管理、生产经 营、社会责任等方面发生重大违法违 规事件和责任事故，给公司造成重要 损失和不利影响，或者遭受重大行政 监管处罚，严重影响经营合规目标的 实现；（</w:t>
            </w:r>
            <w:r>
              <w:rPr>
                <w:rFonts w:ascii="Times New Roman" w:eastAsia="Times New Roman" w:hAnsi="Times New Roman" w:cs="Times New Roman"/>
                <w:color w:val="000000"/>
                <w:spacing w:val="0"/>
                <w:w w:val="100"/>
                <w:position w:val="0"/>
              </w:rPr>
              <w:t>2</w:t>
            </w:r>
            <w:r>
              <w:rPr>
                <w:color w:val="000000"/>
                <w:spacing w:val="0"/>
                <w:w w:val="100"/>
                <w:position w:val="0"/>
              </w:rPr>
              <w:t>）公司因资产安全管理失 当，发生重大资产损失。存在下列情 形之一时，认定为非财务报告的重要 缺陷：（</w:t>
            </w:r>
            <w:r>
              <w:rPr>
                <w:rFonts w:ascii="Times New Roman" w:eastAsia="Times New Roman" w:hAnsi="Times New Roman" w:cs="Times New Roman"/>
                <w:color w:val="000000"/>
                <w:spacing w:val="0"/>
                <w:w w:val="100"/>
                <w:position w:val="0"/>
              </w:rPr>
              <w:t>1</w:t>
            </w:r>
            <w:r>
              <w:rPr>
                <w:color w:val="000000"/>
                <w:spacing w:val="0"/>
                <w:w w:val="100"/>
                <w:position w:val="0"/>
              </w:rPr>
              <w:t>）招标采购、业务分包等生 产运营环节存在明显违规，导致成本 明显上升或存在较大舞弊风险；（</w:t>
            </w:r>
            <w:r>
              <w:rPr>
                <w:rFonts w:ascii="Times New Roman" w:eastAsia="Times New Roman" w:hAnsi="Times New Roman" w:cs="Times New Roman"/>
                <w:color w:val="000000"/>
                <w:spacing w:val="0"/>
                <w:w w:val="100"/>
                <w:position w:val="0"/>
              </w:rPr>
              <w:t>2</w:t>
            </w:r>
            <w:r>
              <w:rPr>
                <w:color w:val="000000"/>
                <w:spacing w:val="0"/>
                <w:w w:val="100"/>
                <w:position w:val="0"/>
              </w:rPr>
              <w:t>） 因管理不善存在较为明显的资产安全 隐患；（</w:t>
            </w:r>
            <w:r>
              <w:rPr>
                <w:rFonts w:ascii="Times New Roman" w:eastAsia="Times New Roman" w:hAnsi="Times New Roman" w:cs="Times New Roman"/>
                <w:color w:val="000000"/>
                <w:spacing w:val="0"/>
                <w:w w:val="100"/>
                <w:position w:val="0"/>
              </w:rPr>
              <w:t>3</w:t>
            </w:r>
            <w:r>
              <w:rPr>
                <w:color w:val="000000"/>
                <w:spacing w:val="0"/>
                <w:w w:val="100"/>
                <w:position w:val="0"/>
              </w:rPr>
              <w:t>）投资论证不到位或不充 分，投资实际情况与投资目标严重偏 离，造成投资决策较为严重的失误或 投资减值。除重大缺陷、重要缺陷之 外的其他缺陷被认定为一般缺陷。</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详见第</w:t>
            </w:r>
            <w:r>
              <w:rPr>
                <w:rFonts w:ascii="Times New Roman" w:eastAsia="Times New Roman" w:hAnsi="Times New Roman" w:cs="Times New Roman"/>
                <w:color w:val="000000"/>
                <w:spacing w:val="0"/>
                <w:w w:val="100"/>
                <w:position w:val="0"/>
              </w:rPr>
              <w:t>3</w:t>
            </w:r>
            <w:r>
              <w:rPr>
                <w:color w:val="000000"/>
                <w:spacing w:val="0"/>
                <w:w w:val="100"/>
                <w:position w:val="0"/>
              </w:rPr>
              <w:t>部分内控自我评价报告</w:t>
            </w:r>
            <w:r>
              <w:rPr>
                <w:rFonts w:ascii="Times New Roman" w:eastAsia="Times New Roman" w:hAnsi="Times New Roman" w:cs="Times New Roman"/>
                <w:color w:val="000000"/>
                <w:spacing w:val="0"/>
                <w:w w:val="100"/>
                <w:position w:val="0"/>
              </w:rPr>
              <w:t>-</w:t>
            </w:r>
            <w:r>
              <w:rPr>
                <w:color w:val="000000"/>
                <w:spacing w:val="0"/>
                <w:w w:val="100"/>
                <w:position w:val="0"/>
              </w:rPr>
              <w:t>缺陷认 定标准</w:t>
            </w:r>
            <w:r>
              <w:rPr>
                <w:rFonts w:ascii="Times New Roman" w:eastAsia="Times New Roman" w:hAnsi="Times New Roman" w:cs="Times New Roman"/>
                <w:color w:val="000000"/>
                <w:spacing w:val="0"/>
                <w:w w:val="100"/>
                <w:position w:val="0"/>
              </w:rPr>
              <w:t>-</w:t>
            </w:r>
            <w:r>
              <w:rPr>
                <w:color w:val="000000"/>
                <w:spacing w:val="0"/>
                <w:w w:val="100"/>
                <w:position w:val="0"/>
              </w:rPr>
              <w:t>定量标准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详见第</w:t>
            </w:r>
            <w:r>
              <w:rPr>
                <w:rFonts w:ascii="Times New Roman" w:eastAsia="Times New Roman" w:hAnsi="Times New Roman" w:cs="Times New Roman"/>
                <w:color w:val="000000"/>
                <w:spacing w:val="0"/>
                <w:w w:val="100"/>
                <w:position w:val="0"/>
              </w:rPr>
              <w:t>3</w:t>
            </w:r>
            <w:r>
              <w:rPr>
                <w:color w:val="000000"/>
                <w:spacing w:val="0"/>
                <w:w w:val="100"/>
                <w:position w:val="0"/>
              </w:rPr>
              <w:t>部分内控自我评价报告</w:t>
            </w:r>
            <w:r>
              <w:rPr>
                <w:rFonts w:ascii="Times New Roman" w:eastAsia="Times New Roman" w:hAnsi="Times New Roman" w:cs="Times New Roman"/>
                <w:color w:val="000000"/>
                <w:spacing w:val="0"/>
                <w:w w:val="100"/>
                <w:position w:val="0"/>
              </w:rPr>
              <w:t>-</w:t>
            </w:r>
            <w:r>
              <w:rPr>
                <w:color w:val="000000"/>
                <w:spacing w:val="0"/>
                <w:w w:val="100"/>
                <w:position w:val="0"/>
              </w:rPr>
              <w:t>缺陷 认定标准</w:t>
            </w:r>
            <w:r>
              <w:rPr>
                <w:rFonts w:ascii="Times New Roman" w:eastAsia="Times New Roman" w:hAnsi="Times New Roman" w:cs="Times New Roman"/>
                <w:color w:val="000000"/>
                <w:spacing w:val="0"/>
                <w:w w:val="100"/>
                <w:position w:val="0"/>
              </w:rPr>
              <w:t>-</w:t>
            </w:r>
            <w:r>
              <w:rPr>
                <w:color w:val="000000"/>
                <w:spacing w:val="0"/>
                <w:w w:val="100"/>
                <w:position w:val="0"/>
              </w:rPr>
              <w:t>定量标准</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、内控自我评价报告</w:t>
      </w:r>
      <w:r>
        <w:rPr>
          <w:rFonts w:ascii="Times New Roman" w:eastAsia="Times New Roman" w:hAnsi="Times New Roman" w:cs="Times New Roman"/>
          <w:color w:val="000000"/>
          <w:spacing w:val="0"/>
          <w:w w:val="100"/>
          <w:position w:val="0"/>
        </w:rPr>
        <w:t>-</w:t>
      </w:r>
      <w:r>
        <w:rPr>
          <w:color w:val="000000"/>
          <w:spacing w:val="0"/>
          <w:w w:val="100"/>
          <w:position w:val="0"/>
        </w:rPr>
        <w:t>缺陷认定标准</w:t>
      </w:r>
      <w:r>
        <w:rPr>
          <w:rFonts w:ascii="Times New Roman" w:eastAsia="Times New Roman" w:hAnsi="Times New Roman" w:cs="Times New Roman"/>
          <w:color w:val="000000"/>
          <w:spacing w:val="0"/>
          <w:w w:val="100"/>
          <w:position w:val="0"/>
        </w:rPr>
        <w:t>-</w:t>
      </w:r>
      <w:r>
        <w:rPr>
          <w:color w:val="000000"/>
          <w:spacing w:val="0"/>
          <w:w w:val="100"/>
          <w:position w:val="0"/>
        </w:rPr>
        <w:t>定量标准</w:t>
      </w:r>
      <w:bookmarkEnd w:id="656"/>
      <w:bookmarkEnd w:id="657"/>
      <w:bookmarkEnd w:id="659"/>
    </w:p>
    <w:p>
      <w:pPr>
        <w:pStyle w:val="Style36"/>
        <w:keepNext/>
        <w:keepLines/>
        <w:widowControl w:val="0"/>
        <w:shd w:val="clear" w:color="auto" w:fill="auto"/>
        <w:bidi w:val="0"/>
        <w:spacing w:before="0" w:after="0" w:line="240" w:lineRule="auto"/>
        <w:ind w:left="0" w:right="0" w:firstLine="400"/>
        <w:jc w:val="left"/>
        <w:rPr>
          <w:sz w:val="22"/>
          <w:szCs w:val="22"/>
        </w:rPr>
      </w:pPr>
      <w:bookmarkStart w:id="656" w:name="bookmark656"/>
      <w:bookmarkStart w:id="657" w:name="bookmark657"/>
      <w:bookmarkStart w:id="660" w:name="bookmark660"/>
      <w:bookmarkStart w:id="661" w:name="bookmark661"/>
      <w:r>
        <w:rPr>
          <w:rFonts w:ascii="Times New Roman" w:eastAsia="Times New Roman" w:hAnsi="Times New Roman" w:cs="Times New Roman"/>
          <w:color w:val="000000"/>
          <w:spacing w:val="0"/>
          <w:w w:val="100"/>
          <w:position w:val="0"/>
          <w:sz w:val="22"/>
          <w:szCs w:val="22"/>
        </w:rPr>
        <w:t>1</w:t>
      </w:r>
      <w:bookmarkEnd w:id="660"/>
      <w:r>
        <w:rPr>
          <w:color w:val="000000"/>
          <w:spacing w:val="0"/>
          <w:w w:val="100"/>
          <w:position w:val="0"/>
          <w:sz w:val="22"/>
          <w:szCs w:val="22"/>
        </w:rPr>
        <w:t>、财务报告内部控制缺陷认定标准</w:t>
      </w:r>
      <w:bookmarkEnd w:id="656"/>
      <w:bookmarkEnd w:id="657"/>
      <w:bookmarkEnd w:id="661"/>
    </w:p>
    <w:tbl>
      <w:tblPr>
        <w:tblOverlap w:val="never"/>
        <w:jc w:val="center"/>
        <w:tblLayout w:type="fixed"/>
      </w:tblPr>
      <w:tblGrid>
        <w:gridCol w:w="1248"/>
        <w:gridCol w:w="2194"/>
        <w:gridCol w:w="2203"/>
        <w:gridCol w:w="2126"/>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指标名称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重大缺陷定量标准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重要缺陷定量标准</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一般缺陷定量标准</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营业收入错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8"/>
                <w:szCs w:val="18"/>
              </w:rPr>
              <w:t xml:space="preserve">营业收入错报金额〉合 并会计报表营业收入的 </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8"/>
                <w:szCs w:val="18"/>
              </w:rPr>
              <w:t xml:space="preserve">合并会计报表营业收入的 </w:t>
            </w:r>
            <w:r>
              <w:rPr>
                <w:color w:val="000000"/>
                <w:spacing w:val="0"/>
                <w:w w:val="100"/>
                <w:position w:val="0"/>
                <w:sz w:val="17"/>
                <w:szCs w:val="17"/>
              </w:rPr>
              <w:t>0. 5%W</w:t>
            </w:r>
            <w:r>
              <w:rPr>
                <w:color w:val="000000"/>
                <w:spacing w:val="0"/>
                <w:w w:val="100"/>
                <w:position w:val="0"/>
                <w:sz w:val="18"/>
                <w:szCs w:val="18"/>
              </w:rPr>
              <w:t xml:space="preserve">营业收入错报金额 </w:t>
            </w:r>
            <w:r>
              <w:rPr>
                <w:color w:val="000000"/>
                <w:spacing w:val="0"/>
                <w:w w:val="100"/>
                <w:position w:val="0"/>
                <w:sz w:val="17"/>
                <w:szCs w:val="17"/>
              </w:rPr>
              <w:t>W</w:t>
            </w:r>
            <w:r>
              <w:rPr>
                <w:color w:val="000000"/>
                <w:spacing w:val="0"/>
                <w:w w:val="100"/>
                <w:position w:val="0"/>
                <w:sz w:val="18"/>
                <w:szCs w:val="18"/>
              </w:rPr>
              <w:t>合并会计报表营业收入 的</w:t>
            </w:r>
            <w:r>
              <w:rPr>
                <w:color w:val="000000"/>
                <w:spacing w:val="0"/>
                <w:w w:val="100"/>
                <w:position w:val="0"/>
                <w:sz w:val="17"/>
                <w:szCs w:val="17"/>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 xml:space="preserve">营业收入错报金额〈合 并会计报表营业收入的 </w:t>
            </w:r>
            <w:r>
              <w:rPr>
                <w:color w:val="000000"/>
                <w:spacing w:val="0"/>
                <w:w w:val="100"/>
                <w:position w:val="0"/>
                <w:sz w:val="17"/>
                <w:szCs w:val="17"/>
              </w:rPr>
              <w:t xml:space="preserve">0. </w:t>
            </w:r>
            <w:r>
              <w:rPr>
                <w:color w:val="000000"/>
                <w:spacing w:val="0"/>
                <w:w w:val="100"/>
                <w:position w:val="0"/>
                <w:sz w:val="17"/>
                <w:szCs w:val="17"/>
              </w:rPr>
              <w:t>5%</w:t>
            </w:r>
          </w:p>
        </w:tc>
      </w:tr>
      <w:tr>
        <w:trPr>
          <w:trHeight w:val="81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利润总额错 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8"/>
                <w:szCs w:val="18"/>
              </w:rPr>
              <w:t xml:space="preserve">利润总额错报金额〉合 并会计报表利润总额的 </w:t>
            </w:r>
            <w:r>
              <w:rPr>
                <w:color w:val="000000"/>
                <w:spacing w:val="0"/>
                <w:w w:val="100"/>
                <w:position w:val="0"/>
                <w:sz w:val="17"/>
                <w:szCs w:val="17"/>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合并会计报表利润总额的</w:t>
            </w:r>
          </w:p>
          <w:p>
            <w:pPr>
              <w:pStyle w:val="Style24"/>
              <w:keepNext w:val="0"/>
              <w:keepLines w:val="0"/>
              <w:widowControl w:val="0"/>
              <w:shd w:val="clear" w:color="auto" w:fill="auto"/>
              <w:bidi w:val="0"/>
              <w:spacing w:before="0" w:after="0" w:line="245" w:lineRule="exact"/>
              <w:ind w:left="0" w:right="0" w:firstLine="0"/>
              <w:jc w:val="both"/>
            </w:pPr>
            <w:r>
              <w:rPr>
                <w:color w:val="000000"/>
                <w:spacing w:val="0"/>
                <w:w w:val="100"/>
                <w:position w:val="0"/>
                <w:sz w:val="17"/>
                <w:szCs w:val="17"/>
              </w:rPr>
              <w:t>6%W</w:t>
            </w:r>
            <w:r>
              <w:rPr>
                <w:color w:val="000000"/>
                <w:spacing w:val="0"/>
                <w:w w:val="100"/>
                <w:position w:val="0"/>
              </w:rPr>
              <w:t>利润总额错报金额</w:t>
            </w:r>
            <w:r>
              <w:rPr>
                <w:color w:val="000000"/>
                <w:spacing w:val="0"/>
                <w:w w:val="100"/>
                <w:position w:val="0"/>
                <w:sz w:val="17"/>
                <w:szCs w:val="17"/>
              </w:rPr>
              <w:t xml:space="preserve">W </w:t>
            </w:r>
            <w:r>
              <w:rPr>
                <w:color w:val="000000"/>
                <w:spacing w:val="0"/>
                <w:w w:val="100"/>
                <w:position w:val="0"/>
              </w:rPr>
              <w:t>合并会计报表利润总额的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 xml:space="preserve">利润总额错报金额〈合 并会计报表利润总额的 </w:t>
            </w:r>
            <w:r>
              <w:rPr>
                <w:color w:val="000000"/>
                <w:spacing w:val="0"/>
                <w:w w:val="100"/>
                <w:position w:val="0"/>
                <w:sz w:val="17"/>
                <w:szCs w:val="17"/>
              </w:rPr>
              <w:t>6%</w:t>
            </w:r>
          </w:p>
        </w:tc>
      </w:tr>
    </w:tbl>
    <w:p>
      <w:pPr>
        <w:spacing w:lineRule="exact" w:line="1"/>
        <w:rPr>
          <w:sz w:val="2"/>
          <w:szCs w:val="2"/>
        </w:rPr>
      </w:pPr>
      <w:r>
        <w:br w:type="page"/>
      </w:r>
    </w:p>
    <w:tbl>
      <w:tblPr>
        <w:tblOverlap w:val="never"/>
        <w:jc w:val="center"/>
        <w:tblLayout w:type="fixed"/>
      </w:tblPr>
      <w:tblGrid>
        <w:gridCol w:w="1248"/>
        <w:gridCol w:w="2194"/>
        <w:gridCol w:w="2203"/>
        <w:gridCol w:w="2126"/>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指标名称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重大缺陷定量标准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重要缺陷定量标准</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一般缺陷定量标准</w:t>
            </w:r>
          </w:p>
        </w:tc>
      </w:tr>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资产错报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8"/>
                <w:szCs w:val="18"/>
              </w:rPr>
              <w:t xml:space="preserve">资产总额错报金额〉合 并会计报表资产总额的 </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8"/>
                <w:szCs w:val="18"/>
              </w:rPr>
              <w:t xml:space="preserve">合并会计报表资产总额的 </w:t>
            </w:r>
            <w:r>
              <w:rPr>
                <w:color w:val="000000"/>
                <w:spacing w:val="0"/>
                <w:w w:val="100"/>
                <w:position w:val="0"/>
                <w:sz w:val="17"/>
                <w:szCs w:val="17"/>
              </w:rPr>
              <w:t>2%W</w:t>
            </w:r>
            <w:r>
              <w:rPr>
                <w:color w:val="000000"/>
                <w:spacing w:val="0"/>
                <w:w w:val="100"/>
                <w:position w:val="0"/>
                <w:sz w:val="18"/>
                <w:szCs w:val="18"/>
              </w:rPr>
              <w:t>资产总额错报金额</w:t>
            </w:r>
            <w:r>
              <w:rPr>
                <w:color w:val="000000"/>
                <w:spacing w:val="0"/>
                <w:w w:val="100"/>
                <w:position w:val="0"/>
                <w:sz w:val="17"/>
                <w:szCs w:val="17"/>
              </w:rPr>
              <w:t xml:space="preserve">W </w:t>
            </w:r>
            <w:r>
              <w:rPr>
                <w:color w:val="000000"/>
                <w:spacing w:val="0"/>
                <w:w w:val="100"/>
                <w:position w:val="0"/>
                <w:sz w:val="18"/>
                <w:szCs w:val="18"/>
              </w:rPr>
              <w:t xml:space="preserve">合并会计报表资产总额的 </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 xml:space="preserve">资产总额错报金额〈合 并会计报表资产总额的 </w:t>
            </w:r>
            <w:r>
              <w:rPr>
                <w:color w:val="000000"/>
                <w:spacing w:val="0"/>
                <w:w w:val="100"/>
                <w:position w:val="0"/>
                <w:sz w:val="17"/>
                <w:szCs w:val="17"/>
              </w:rPr>
              <w:t>2%</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负债错报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 xml:space="preserve">负债总额错报金额〉合 并会计报表负债总额的 </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8"/>
                <w:szCs w:val="18"/>
              </w:rPr>
              <w:t xml:space="preserve">合并会计报表负债总额的 </w:t>
            </w:r>
            <w:r>
              <w:rPr>
                <w:color w:val="000000"/>
                <w:spacing w:val="0"/>
                <w:w w:val="100"/>
                <w:position w:val="0"/>
                <w:sz w:val="17"/>
                <w:szCs w:val="17"/>
              </w:rPr>
              <w:t>2%W</w:t>
            </w:r>
            <w:r>
              <w:rPr>
                <w:color w:val="000000"/>
                <w:spacing w:val="0"/>
                <w:w w:val="100"/>
                <w:position w:val="0"/>
                <w:sz w:val="18"/>
                <w:szCs w:val="18"/>
              </w:rPr>
              <w:t>负债总额错报金额</w:t>
            </w:r>
            <w:r>
              <w:rPr>
                <w:color w:val="000000"/>
                <w:spacing w:val="0"/>
                <w:w w:val="100"/>
                <w:position w:val="0"/>
                <w:sz w:val="17"/>
                <w:szCs w:val="17"/>
              </w:rPr>
              <w:t xml:space="preserve">W </w:t>
            </w:r>
            <w:r>
              <w:rPr>
                <w:color w:val="000000"/>
                <w:spacing w:val="0"/>
                <w:w w:val="100"/>
                <w:position w:val="0"/>
                <w:sz w:val="18"/>
                <w:szCs w:val="18"/>
              </w:rPr>
              <w:t xml:space="preserve">合并会计报表负债总额的 </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 xml:space="preserve">负债总额错报金额〈合 并会计报表负债总额的 </w:t>
            </w:r>
            <w:r>
              <w:rPr>
                <w:color w:val="000000"/>
                <w:spacing w:val="0"/>
                <w:w w:val="100"/>
                <w:position w:val="0"/>
                <w:sz w:val="17"/>
                <w:szCs w:val="17"/>
              </w:rPr>
              <w:t>2%</w:t>
            </w:r>
          </w:p>
        </w:tc>
      </w:tr>
      <w:tr>
        <w:trPr>
          <w:trHeight w:val="12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所有者权益 错报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所有者权益总额错报金 额〉合并会计报表所有 者权益总额的</w:t>
            </w:r>
            <w:r>
              <w:rPr>
                <w:color w:val="000000"/>
                <w:spacing w:val="0"/>
                <w:w w:val="100"/>
                <w:position w:val="0"/>
                <w:sz w:val="17"/>
                <w:szCs w:val="17"/>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合并会计报表所有者权益 总额的</w:t>
            </w:r>
            <w:r>
              <w:rPr>
                <w:color w:val="000000"/>
                <w:spacing w:val="0"/>
                <w:w w:val="100"/>
                <w:position w:val="0"/>
                <w:sz w:val="17"/>
                <w:szCs w:val="17"/>
              </w:rPr>
              <w:t>1%W</w:t>
            </w:r>
            <w:r>
              <w:rPr>
                <w:color w:val="000000"/>
                <w:spacing w:val="0"/>
                <w:w w:val="100"/>
                <w:position w:val="0"/>
                <w:sz w:val="18"/>
                <w:szCs w:val="18"/>
              </w:rPr>
              <w:t>所有者权益 总额错报金额</w:t>
            </w:r>
            <w:r>
              <w:rPr>
                <w:color w:val="000000"/>
                <w:spacing w:val="0"/>
                <w:w w:val="100"/>
                <w:position w:val="0"/>
                <w:sz w:val="17"/>
                <w:szCs w:val="17"/>
              </w:rPr>
              <w:t>W</w:t>
            </w:r>
            <w:r>
              <w:rPr>
                <w:color w:val="000000"/>
                <w:spacing w:val="0"/>
                <w:w w:val="100"/>
                <w:position w:val="0"/>
                <w:sz w:val="18"/>
                <w:szCs w:val="18"/>
              </w:rPr>
              <w:t xml:space="preserve">合并会计 报表所有者权益总额的 </w:t>
            </w:r>
            <w:r>
              <w:rPr>
                <w:color w:val="000000"/>
                <w:spacing w:val="0"/>
                <w:w w:val="100"/>
                <w:position w:val="0"/>
                <w:sz w:val="17"/>
                <w:szCs w:val="17"/>
              </w:rPr>
              <w:t>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所有者权益总额错报金 额〈合并会计报表所有 者权益总额的</w:t>
            </w:r>
            <w:r>
              <w:rPr>
                <w:color w:val="000000"/>
                <w:spacing w:val="0"/>
                <w:w w:val="100"/>
                <w:position w:val="0"/>
                <w:sz w:val="17"/>
                <w:szCs w:val="17"/>
              </w:rPr>
              <w:t>1%</w:t>
            </w:r>
          </w:p>
        </w:tc>
      </w:tr>
    </w:tbl>
    <w:p>
      <w:pPr>
        <w:pStyle w:val="Style36"/>
        <w:keepNext/>
        <w:keepLines/>
        <w:widowControl w:val="0"/>
        <w:shd w:val="clear" w:color="auto" w:fill="auto"/>
        <w:bidi w:val="0"/>
        <w:spacing w:before="0" w:after="0" w:line="240" w:lineRule="auto"/>
        <w:ind w:left="0" w:right="0" w:firstLine="460"/>
        <w:jc w:val="left"/>
        <w:rPr>
          <w:sz w:val="22"/>
          <w:szCs w:val="22"/>
        </w:rPr>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sz w:val="22"/>
          <w:szCs w:val="22"/>
        </w:rPr>
        <w:t>2</w:t>
      </w:r>
      <w:bookmarkEnd w:id="664"/>
      <w:r>
        <w:rPr>
          <w:color w:val="000000"/>
          <w:spacing w:val="0"/>
          <w:w w:val="100"/>
          <w:position w:val="0"/>
          <w:sz w:val="22"/>
          <w:szCs w:val="22"/>
        </w:rPr>
        <w:t>、非财务报告内部控制缺陷认定标准</w:t>
      </w:r>
      <w:bookmarkEnd w:id="662"/>
      <w:bookmarkEnd w:id="663"/>
      <w:bookmarkEnd w:id="665"/>
    </w:p>
    <w:tbl>
      <w:tblPr>
        <w:tblOverlap w:val="never"/>
        <w:jc w:val="center"/>
        <w:tblLayout w:type="fixed"/>
      </w:tblPr>
      <w:tblGrid>
        <w:gridCol w:w="2347"/>
        <w:gridCol w:w="1795"/>
        <w:gridCol w:w="2472"/>
        <w:gridCol w:w="1584"/>
      </w:tblGrid>
      <w:tr>
        <w:trPr>
          <w:trHeight w:val="58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指标名称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重大缺陷定量标准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重要缺陷定量标准</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一般缺陷定量标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w:t>
            </w:r>
          </w:p>
        </w:tc>
      </w:tr>
      <w:tr>
        <w:trPr>
          <w:trHeight w:val="10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因存货损失、固定资产损 失、坏账损失或资产处置价 值过低等造成的资产损失 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8"/>
                <w:szCs w:val="18"/>
              </w:rPr>
              <w:t>资产损失金额＞合 并会计报表所有者 权益总额的</w:t>
            </w:r>
            <w:r>
              <w:rPr>
                <w:color w:val="000000"/>
                <w:spacing w:val="0"/>
                <w:w w:val="100"/>
                <w:position w:val="0"/>
                <w:sz w:val="17"/>
                <w:szCs w:val="17"/>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8"/>
                <w:szCs w:val="18"/>
              </w:rPr>
              <w:t>合并会计报表所有者权益总 额的</w:t>
            </w:r>
            <w:r>
              <w:rPr>
                <w:color w:val="000000"/>
                <w:spacing w:val="0"/>
                <w:w w:val="100"/>
                <w:position w:val="0"/>
                <w:sz w:val="17"/>
                <w:szCs w:val="17"/>
              </w:rPr>
              <w:t>5%w</w:t>
            </w:r>
            <w:r>
              <w:rPr>
                <w:color w:val="000000"/>
                <w:spacing w:val="0"/>
                <w:w w:val="100"/>
                <w:position w:val="0"/>
                <w:sz w:val="18"/>
                <w:szCs w:val="18"/>
              </w:rPr>
              <w:t>资产损失金额</w:t>
            </w:r>
            <w:r>
              <w:rPr>
                <w:color w:val="000000"/>
                <w:spacing w:val="0"/>
                <w:w w:val="100"/>
                <w:position w:val="0"/>
                <w:sz w:val="17"/>
                <w:szCs w:val="17"/>
              </w:rPr>
              <w:t>W</w:t>
            </w:r>
            <w:r>
              <w:rPr>
                <w:color w:val="000000"/>
                <w:spacing w:val="0"/>
                <w:w w:val="100"/>
                <w:position w:val="0"/>
                <w:sz w:val="18"/>
                <w:szCs w:val="18"/>
              </w:rPr>
              <w:t>合 并会计报表所有者权益总额 的</w:t>
            </w:r>
            <w:r>
              <w:rPr>
                <w:color w:val="000000"/>
                <w:spacing w:val="0"/>
                <w:w w:val="100"/>
                <w:position w:val="0"/>
                <w:sz w:val="17"/>
                <w:szCs w:val="17"/>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27" w:lineRule="exact"/>
              <w:ind w:left="0" w:right="0" w:firstLine="0"/>
              <w:jc w:val="left"/>
              <w:rPr>
                <w:sz w:val="17"/>
                <w:szCs w:val="17"/>
              </w:rPr>
            </w:pPr>
            <w:r>
              <w:rPr>
                <w:color w:val="000000"/>
                <w:spacing w:val="0"/>
                <w:w w:val="100"/>
                <w:position w:val="0"/>
                <w:sz w:val="18"/>
                <w:szCs w:val="18"/>
              </w:rPr>
              <w:t xml:space="preserve">资产损失金额＜ 合并会计报表所 有者权益总额的 </w:t>
            </w:r>
            <w:r>
              <w:rPr>
                <w:color w:val="000000"/>
                <w:spacing w:val="0"/>
                <w:w w:val="100"/>
                <w:position w:val="0"/>
                <w:sz w:val="17"/>
                <w:szCs w:val="17"/>
              </w:rPr>
              <w:t>5%</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666" w:name="bookmark666"/>
      <w:bookmarkStart w:id="667" w:name="bookmark667"/>
      <w:bookmarkStart w:id="668" w:name="bookmark668"/>
      <w:r>
        <w:rPr>
          <w:color w:val="000000"/>
          <w:spacing w:val="0"/>
          <w:w w:val="100"/>
          <w:position w:val="0"/>
        </w:rPr>
        <w:t>十、内部控制审计报告</w:t>
      </w:r>
      <w:bookmarkEnd w:id="666"/>
      <w:bookmarkEnd w:id="667"/>
      <w:bookmarkEnd w:id="66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4"/>
        <w:gridCol w:w="6917"/>
      </w:tblGrid>
      <w:tr>
        <w:trPr>
          <w:trHeight w:val="331"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1022"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both"/>
            </w:pPr>
            <w:r>
              <w:rPr>
                <w:color w:val="000000"/>
                <w:spacing w:val="0"/>
                <w:w w:val="100"/>
                <w:position w:val="0"/>
              </w:rPr>
              <w:t>根据《企业内部控制审计指引》及中国注册会计师执业准则的相关要求，信永中和会计师事务所（特殊普通合伙）（以下 简称</w:t>
            </w:r>
            <w:r>
              <w:rPr>
                <w:color w:val="000000"/>
                <w:spacing w:val="0"/>
                <w:w w:val="100"/>
                <w:position w:val="0"/>
              </w:rPr>
              <w:t>''</w:t>
            </w:r>
            <w:r>
              <w:rPr>
                <w:color w:val="000000"/>
                <w:spacing w:val="0"/>
                <w:w w:val="100"/>
                <w:position w:val="0"/>
              </w:rPr>
              <w:t>信永中和</w:t>
            </w:r>
            <w:r>
              <w:rPr>
                <w:rFonts w:ascii="Times New Roman" w:eastAsia="Times New Roman" w:hAnsi="Times New Roman" w:cs="Times New Roman"/>
                <w:color w:val="000000"/>
                <w:spacing w:val="0"/>
                <w:w w:val="100"/>
                <w:position w:val="0"/>
              </w:rPr>
              <w:t>“</w:t>
            </w:r>
            <w:r>
              <w:rPr>
                <w:color w:val="000000"/>
                <w:spacing w:val="0"/>
                <w:w w:val="100"/>
                <w:position w:val="0"/>
              </w:rPr>
              <w:t>）对公司截止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日的财务报告内部控制的有效性进行了审计，出具了信永中和</w:t>
            </w:r>
          </w:p>
          <w:p>
            <w:pPr>
              <w:pStyle w:val="Style24"/>
              <w:keepNext w:val="0"/>
              <w:keepLines w:val="0"/>
              <w:widowControl w:val="0"/>
              <w:shd w:val="clear" w:color="auto" w:fill="auto"/>
              <w:bidi w:val="0"/>
              <w:spacing w:before="0" w:after="0" w:line="22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XYZH/2017BJA10111</w:t>
            </w:r>
            <w:r>
              <w:rPr>
                <w:color w:val="000000"/>
                <w:spacing w:val="0"/>
                <w:w w:val="100"/>
                <w:position w:val="0"/>
              </w:rPr>
              <w:t xml:space="preserve">】号《内部控制审计报告》，并发表如下意见：信永中和认为，神州数码集团股份有限公司于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日按照《企业内部控制基本规范》和相关规定在所有重大方面保持了有效的财务报告内部控制。</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）:内部控制审计报告</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60" w:line="264" w:lineRule="exact"/>
        <w:ind w:left="0" w:right="0" w:firstLine="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264" w:lineRule="exact"/>
        <w:ind w:left="0" w:right="0" w:firstLine="0"/>
        <w:jc w:val="left"/>
        <w:sectPr>
          <w:footnotePr>
            <w:pos w:val="pageBottom"/>
            <w:numFmt w:val="decimal"/>
            <w:numRestart w:val="continuous"/>
          </w:footnotePr>
          <w:pgSz w:w="11900" w:h="16840"/>
          <w:pgMar w:top="1306" w:right="1062" w:bottom="1517" w:left="1060"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2"/>
        <w:keepNext/>
        <w:keepLines/>
        <w:widowControl w:val="0"/>
        <w:shd w:val="clear" w:color="auto" w:fill="auto"/>
        <w:bidi w:val="0"/>
        <w:spacing w:before="0" w:after="860" w:line="240" w:lineRule="auto"/>
        <w:ind w:left="0" w:right="0" w:firstLine="0"/>
        <w:jc w:val="center"/>
      </w:pPr>
      <w:bookmarkStart w:id="669" w:name="bookmark669"/>
      <w:bookmarkStart w:id="670" w:name="bookmark670"/>
      <w:bookmarkStart w:id="671" w:name="bookmark671"/>
      <w:r>
        <w:rPr>
          <w:color w:val="000000"/>
          <w:spacing w:val="0"/>
          <w:w w:val="100"/>
          <w:position w:val="0"/>
        </w:rPr>
        <w:t>第十节公司债券相关情况</w:t>
      </w:r>
      <w:bookmarkEnd w:id="669"/>
      <w:bookmarkEnd w:id="670"/>
      <w:bookmarkEnd w:id="671"/>
    </w:p>
    <w:p>
      <w:pPr>
        <w:pStyle w:val="Style32"/>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1900" w:h="16840"/>
          <w:pgMar w:top="1758" w:right="1162" w:bottom="1758" w:left="1104" w:header="0" w:footer="3" w:gutter="0"/>
          <w:cols w:space="720"/>
          <w:noEndnote/>
          <w:rtlGutter w:val="0"/>
          <w:docGrid w:linePitch="360"/>
        </w:sectPr>
      </w:pPr>
      <w:bookmarkStart w:id="672" w:name="bookmark672"/>
      <w:r>
        <w:rPr>
          <w:color w:val="000000"/>
          <w:spacing w:val="0"/>
          <w:w w:val="100"/>
          <w:position w:val="0"/>
        </w:rPr>
        <w:t>公司是否存在公开发行并在证券交易所上市，且在年度报告批准报出日未到期或到期未能全额兑付的公司债券 否</w:t>
      </w:r>
      <w:bookmarkEnd w:id="672"/>
    </w:p>
    <w:p>
      <w:pPr>
        <w:pStyle w:val="Style12"/>
        <w:keepNext/>
        <w:keepLines/>
        <w:widowControl w:val="0"/>
        <w:shd w:val="clear" w:color="auto" w:fill="auto"/>
        <w:bidi w:val="0"/>
        <w:spacing w:before="0" w:after="960" w:line="240" w:lineRule="auto"/>
        <w:ind w:left="0" w:right="0" w:firstLine="0"/>
        <w:jc w:val="center"/>
      </w:pPr>
      <w:bookmarkStart w:id="673" w:name="bookmark673"/>
      <w:bookmarkStart w:id="674" w:name="bookmark674"/>
      <w:bookmarkStart w:id="675" w:name="bookmark675"/>
      <w:r>
        <w:rPr>
          <w:color w:val="000000"/>
          <w:spacing w:val="0"/>
          <w:w w:val="100"/>
          <w:position w:val="0"/>
        </w:rPr>
        <w:t>第十一节财务报告</w:t>
      </w:r>
      <w:bookmarkEnd w:id="673"/>
      <w:bookmarkEnd w:id="674"/>
      <w:bookmarkEnd w:id="675"/>
    </w:p>
    <w:p>
      <w:pPr>
        <w:pStyle w:val="Style28"/>
        <w:keepNext/>
        <w:keepLines/>
        <w:widowControl w:val="0"/>
        <w:shd w:val="clear" w:color="auto" w:fill="auto"/>
        <w:bidi w:val="0"/>
        <w:spacing w:before="0" w:after="32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一、审计报告</w:t>
      </w:r>
      <w:bookmarkEnd w:id="677"/>
      <w:bookmarkEnd w:id="678"/>
      <w:bookmarkEnd w:id="679"/>
      <w:bookmarkEnd w:id="676"/>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XYZH/2017BJA10105</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bl>
    <w:p>
      <w:pPr>
        <w:pStyle w:val="Style30"/>
        <w:keepNext w:val="0"/>
        <w:keepLines w:val="0"/>
        <w:widowControl w:val="0"/>
        <w:shd w:val="clear" w:color="auto" w:fill="auto"/>
        <w:bidi w:val="0"/>
        <w:spacing w:before="0" w:after="0" w:line="240" w:lineRule="auto"/>
        <w:ind w:left="4238" w:right="0" w:firstLine="0"/>
        <w:jc w:val="left"/>
      </w:pPr>
      <w:r>
        <w:rPr>
          <w:color w:val="000000"/>
          <w:spacing w:val="0"/>
          <w:w w:val="100"/>
          <w:position w:val="0"/>
        </w:rPr>
        <w:t>审计报告正文</w:t>
      </w:r>
    </w:p>
    <w:p>
      <w:pPr>
        <w:pStyle w:val="Style32"/>
        <w:keepNext w:val="0"/>
        <w:keepLines w:val="0"/>
        <w:widowControl w:val="0"/>
        <w:shd w:val="clear" w:color="auto" w:fill="auto"/>
        <w:bidi w:val="0"/>
        <w:spacing w:before="0" w:after="240" w:line="359" w:lineRule="exact"/>
        <w:ind w:left="0" w:right="0" w:firstLine="0"/>
        <w:jc w:val="left"/>
      </w:pPr>
      <w:r>
        <w:rPr>
          <w:b/>
          <w:bCs/>
          <w:color w:val="000000"/>
          <w:spacing w:val="0"/>
          <w:w w:val="100"/>
          <w:position w:val="0"/>
        </w:rPr>
        <w:t>神州数码集团股份有限公司全体股东：</w:t>
      </w:r>
    </w:p>
    <w:p>
      <w:pPr>
        <w:pStyle w:val="Style32"/>
        <w:keepNext w:val="0"/>
        <w:keepLines w:val="0"/>
        <w:widowControl w:val="0"/>
        <w:shd w:val="clear" w:color="auto" w:fill="auto"/>
        <w:bidi w:val="0"/>
        <w:spacing w:before="0" w:after="240" w:line="365" w:lineRule="exact"/>
        <w:ind w:left="0" w:right="0" w:firstLine="280"/>
        <w:jc w:val="both"/>
      </w:pPr>
      <w:r>
        <w:rPr>
          <w:color w:val="000000"/>
          <w:spacing w:val="0"/>
          <w:w w:val="100"/>
          <w:position w:val="0"/>
        </w:rPr>
        <w:t>我们审计了后附的神州数码集团股份有限公司（以下简称神州数码）财务报表，包括</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日的合并及母公司 资产负债表，</w:t>
      </w:r>
      <w:r>
        <w:rPr>
          <w:color w:val="000000"/>
          <w:spacing w:val="0"/>
          <w:w w:val="100"/>
          <w:position w:val="0"/>
          <w:sz w:val="17"/>
          <w:szCs w:val="17"/>
        </w:rPr>
        <w:t>2016</w:t>
      </w:r>
      <w:r>
        <w:rPr>
          <w:color w:val="000000"/>
          <w:spacing w:val="0"/>
          <w:w w:val="100"/>
          <w:position w:val="0"/>
        </w:rPr>
        <w:t>年度的合并及母公司利润表、合并及母公司现金流量表、合并及母公司股东权益变动表以及财务报表附 注。</w:t>
      </w:r>
    </w:p>
    <w:p>
      <w:pPr>
        <w:pStyle w:val="Style32"/>
        <w:keepNext w:val="0"/>
        <w:keepLines w:val="0"/>
        <w:widowControl w:val="0"/>
        <w:shd w:val="clear" w:color="auto" w:fill="auto"/>
        <w:tabs>
          <w:tab w:pos="720" w:val="left"/>
        </w:tabs>
        <w:bidi w:val="0"/>
        <w:spacing w:before="0" w:after="240" w:line="359" w:lineRule="exact"/>
        <w:ind w:left="0" w:right="0" w:firstLine="280"/>
        <w:jc w:val="both"/>
      </w:pPr>
      <w:bookmarkStart w:id="680" w:name="bookmark680"/>
      <w:r>
        <w:rPr>
          <w:b/>
          <w:bCs/>
          <w:color w:val="000000"/>
          <w:spacing w:val="0"/>
          <w:w w:val="100"/>
          <w:position w:val="0"/>
        </w:rPr>
        <w:t>一</w:t>
      </w:r>
      <w:bookmarkEnd w:id="680"/>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240" w:line="355" w:lineRule="exact"/>
        <w:ind w:left="0" w:right="0" w:firstLine="380"/>
        <w:jc w:val="left"/>
      </w:pPr>
      <w:r>
        <w:rPr>
          <w:color w:val="000000"/>
          <w:spacing w:val="0"/>
          <w:w w:val="100"/>
          <w:position w:val="0"/>
        </w:rPr>
        <w:t>编制和公允列报财务报表是神州数码管理层的责任，这种责任包括：</w:t>
      </w:r>
      <w:r>
        <w:rPr>
          <w:color w:val="000000"/>
          <w:spacing w:val="0"/>
          <w:w w:val="100"/>
          <w:position w:val="0"/>
          <w:sz w:val="17"/>
          <w:szCs w:val="17"/>
        </w:rPr>
        <w:t>（1）</w:t>
      </w:r>
      <w:r>
        <w:rPr>
          <w:color w:val="000000"/>
          <w:spacing w:val="0"/>
          <w:w w:val="100"/>
          <w:position w:val="0"/>
        </w:rPr>
        <w:t>按照企业会计准则的规定编制财务报表，并 使其实现公允反映；</w:t>
      </w:r>
      <w:r>
        <w:rPr>
          <w:color w:val="000000"/>
          <w:spacing w:val="0"/>
          <w:w w:val="100"/>
          <w:position w:val="0"/>
          <w:sz w:val="17"/>
          <w:szCs w:val="17"/>
        </w:rPr>
        <w:t>（2）</w:t>
      </w:r>
      <w:r>
        <w:rPr>
          <w:color w:val="000000"/>
          <w:spacing w:val="0"/>
          <w:w w:val="100"/>
          <w:position w:val="0"/>
        </w:rPr>
        <w:t>设计、执行和维护必要的内部控制，以使财务报表不存在由于舞弊或错误导致的重大错报。</w:t>
      </w:r>
    </w:p>
    <w:p>
      <w:pPr>
        <w:pStyle w:val="Style32"/>
        <w:keepNext w:val="0"/>
        <w:keepLines w:val="0"/>
        <w:widowControl w:val="0"/>
        <w:shd w:val="clear" w:color="auto" w:fill="auto"/>
        <w:tabs>
          <w:tab w:pos="720" w:val="left"/>
        </w:tabs>
        <w:bidi w:val="0"/>
        <w:spacing w:before="0" w:after="240" w:line="359" w:lineRule="exact"/>
        <w:ind w:left="0" w:right="0" w:firstLine="280"/>
        <w:jc w:val="both"/>
      </w:pPr>
      <w:bookmarkStart w:id="681" w:name="bookmark681"/>
      <w:r>
        <w:rPr>
          <w:b/>
          <w:bCs/>
          <w:color w:val="000000"/>
          <w:spacing w:val="0"/>
          <w:w w:val="100"/>
          <w:position w:val="0"/>
        </w:rPr>
        <w:t>二</w:t>
      </w:r>
      <w:bookmarkEnd w:id="681"/>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240" w:line="358"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计工作。中国注册会计师审计准则要求我们遵守职业道德守则，计划和执行审计工作以对财务报表是否不存在重大错报获取 合理保证。</w:t>
      </w:r>
    </w:p>
    <w:p>
      <w:pPr>
        <w:pStyle w:val="Style32"/>
        <w:keepNext w:val="0"/>
        <w:keepLines w:val="0"/>
        <w:widowControl w:val="0"/>
        <w:shd w:val="clear" w:color="auto" w:fill="auto"/>
        <w:bidi w:val="0"/>
        <w:spacing w:before="0" w:after="240" w:line="360"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32"/>
        <w:keepNext w:val="0"/>
        <w:keepLines w:val="0"/>
        <w:widowControl w:val="0"/>
        <w:shd w:val="clear" w:color="auto" w:fill="auto"/>
        <w:bidi w:val="0"/>
        <w:spacing w:before="0" w:after="240" w:line="359" w:lineRule="exact"/>
        <w:ind w:left="0" w:right="0" w:firstLine="38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bidi w:val="0"/>
        <w:spacing w:before="0" w:after="240" w:line="359" w:lineRule="exact"/>
        <w:ind w:left="0" w:right="0" w:firstLine="440"/>
        <w:jc w:val="both"/>
      </w:pPr>
      <w:bookmarkStart w:id="682" w:name="bookmark682"/>
      <w:r>
        <w:rPr>
          <w:b/>
          <w:bCs/>
          <w:color w:val="000000"/>
          <w:spacing w:val="0"/>
          <w:w w:val="100"/>
          <w:position w:val="0"/>
        </w:rPr>
        <w:t>三</w:t>
      </w:r>
      <w:bookmarkEnd w:id="682"/>
      <w:r>
        <w:rPr>
          <w:b/>
          <w:bCs/>
          <w:color w:val="000000"/>
          <w:spacing w:val="0"/>
          <w:w w:val="100"/>
          <w:position w:val="0"/>
        </w:rPr>
        <w:t>、审计意见</w:t>
      </w:r>
    </w:p>
    <w:p>
      <w:pPr>
        <w:pStyle w:val="Style32"/>
        <w:keepNext w:val="0"/>
        <w:keepLines w:val="0"/>
        <w:widowControl w:val="0"/>
        <w:shd w:val="clear" w:color="auto" w:fill="auto"/>
        <w:bidi w:val="0"/>
        <w:spacing w:before="0" w:after="240" w:line="350" w:lineRule="exact"/>
        <w:ind w:left="0" w:right="0" w:firstLine="380"/>
        <w:jc w:val="both"/>
        <w:sectPr>
          <w:footnotePr>
            <w:pos w:val="pageBottom"/>
            <w:numFmt w:val="decimal"/>
            <w:numRestart w:val="continuous"/>
          </w:footnotePr>
          <w:pgSz w:w="11900" w:h="16840"/>
          <w:pgMar w:top="1758" w:right="1023" w:bottom="1758" w:left="1104" w:header="0" w:footer="3" w:gutter="0"/>
          <w:cols w:space="720"/>
          <w:noEndnote/>
          <w:rtlGutter w:val="0"/>
          <w:docGrid w:linePitch="360"/>
        </w:sectPr>
      </w:pPr>
      <w:r>
        <w:rPr>
          <w:color w:val="000000"/>
          <w:spacing w:val="0"/>
          <w:w w:val="100"/>
          <w:position w:val="0"/>
        </w:rPr>
        <w:t>我们认为，神州数码财务报表在所有重大方面按照企业会计准则的规定编制，公允反映了神州数码</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 的合并及母公司财务状况以及</w:t>
      </w:r>
      <w:r>
        <w:rPr>
          <w:color w:val="000000"/>
          <w:spacing w:val="0"/>
          <w:w w:val="100"/>
          <w:position w:val="0"/>
          <w:sz w:val="17"/>
          <w:szCs w:val="17"/>
        </w:rPr>
        <w:t>2016</w:t>
      </w:r>
      <w:r>
        <w:rPr>
          <w:color w:val="000000"/>
          <w:spacing w:val="0"/>
          <w:w w:val="100"/>
          <w:position w:val="0"/>
        </w:rPr>
        <w:t>年度的合并及母公司经营成果和现金流量。</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58" w:left="1219" w:header="0" w:footer="3" w:gutter="0"/>
          <w:cols w:space="720"/>
          <w:noEndnote/>
          <w:rtlGutter w:val="0"/>
          <w:docGrid w:linePitch="360"/>
        </w:sectPr>
      </w:pPr>
    </w:p>
    <w:p>
      <w:pPr>
        <w:pStyle w:val="Style32"/>
        <w:keepNext w:val="0"/>
        <w:keepLines w:val="0"/>
        <w:framePr w:w="3278" w:h="235" w:wrap="none" w:vAnchor="text" w:hAnchor="page" w:x="1220" w:y="21"/>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p>
      <w:pPr>
        <w:pStyle w:val="Style32"/>
        <w:keepNext w:val="0"/>
        <w:keepLines w:val="0"/>
        <w:framePr w:w="1464" w:h="230" w:wrap="none" w:vAnchor="text" w:hAnchor="page" w:x="5689" w:y="21"/>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32"/>
        <w:keepNext w:val="0"/>
        <w:keepLines w:val="0"/>
        <w:framePr w:w="1464" w:h="230" w:wrap="none" w:vAnchor="text" w:hAnchor="page" w:x="5689" w:y="1095"/>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32"/>
        <w:keepNext w:val="0"/>
        <w:keepLines w:val="0"/>
        <w:framePr w:w="806" w:h="235" w:wrap="none" w:vAnchor="text" w:hAnchor="page" w:x="2756" w:y="2195"/>
        <w:widowControl w:val="0"/>
        <w:shd w:val="clear" w:color="auto" w:fill="auto"/>
        <w:bidi w:val="0"/>
        <w:spacing w:before="0" w:after="0" w:line="240" w:lineRule="auto"/>
        <w:ind w:left="0" w:right="0" w:firstLine="0"/>
        <w:jc w:val="left"/>
      </w:pPr>
      <w:r>
        <w:rPr>
          <w:color w:val="000000"/>
          <w:spacing w:val="0"/>
          <w:w w:val="100"/>
          <w:position w:val="0"/>
        </w:rPr>
        <w:t>中国北京</w:t>
      </w:r>
    </w:p>
    <w:p>
      <w:pPr>
        <w:pStyle w:val="Style32"/>
        <w:keepNext w:val="0"/>
        <w:keepLines w:val="0"/>
        <w:framePr w:w="2021" w:h="226" w:wrap="none" w:vAnchor="text" w:hAnchor="page" w:x="5675" w:y="2195"/>
        <w:widowControl w:val="0"/>
        <w:shd w:val="clear" w:color="auto" w:fill="auto"/>
        <w:bidi w:val="0"/>
        <w:spacing w:before="0" w:after="0" w:line="240" w:lineRule="auto"/>
        <w:ind w:left="0" w:right="0" w:firstLine="0"/>
        <w:jc w:val="left"/>
      </w:pPr>
      <w:r>
        <w:rPr>
          <w:color w:val="000000"/>
          <w:spacing w:val="0"/>
          <w:w w:val="100"/>
          <w:position w:val="0"/>
        </w:rPr>
        <w:t>二。一七年三月二十八日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type w:val="continuous"/>
          <w:pgSz w:w="11900" w:h="16840"/>
          <w:pgMar w:top="1152" w:right="1138" w:bottom="1158" w:left="1219" w:header="0" w:footer="3" w:gutter="0"/>
          <w:cols w:space="720"/>
          <w:noEndnote/>
          <w:rtlGutter w:val="0"/>
          <w:docGrid w:linePitch="360"/>
        </w:sectPr>
      </w:pPr>
    </w:p>
    <w:p>
      <w:pPr>
        <w:pStyle w:val="Style28"/>
        <w:keepNext/>
        <w:keepLines/>
        <w:widowControl w:val="0"/>
        <w:shd w:val="clear" w:color="auto" w:fill="auto"/>
        <w:bidi w:val="0"/>
        <w:spacing w:before="0" w:after="32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二</w:t>
      </w:r>
      <w:bookmarkEnd w:id="685"/>
      <w:r>
        <w:rPr>
          <w:color w:val="000000"/>
          <w:spacing w:val="0"/>
          <w:w w:val="100"/>
          <w:position w:val="0"/>
        </w:rPr>
        <w:t>、财务报表</w:t>
      </w:r>
      <w:bookmarkEnd w:id="683"/>
      <w:bookmarkEnd w:id="684"/>
      <w:bookmarkEnd w:id="686"/>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2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、合并资产负债表</w:t>
      </w:r>
      <w:bookmarkEnd w:id="687"/>
      <w:bookmarkEnd w:id="688"/>
      <w:bookmarkEnd w:id="690"/>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编制单位：神州数码集团股份有限公司</w:t>
      </w:r>
    </w:p>
    <w:p>
      <w:pPr>
        <w:pStyle w:val="Style5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1,143,255,725.93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114,346,440.09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329,553,795.03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6,621,833,966.99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23,164,403.20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2,157,674,329.58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2,448,331.51</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5,379,013.89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261,583,360.11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2,947,467.00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4,580,372,081.18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99,185,528.49</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482,918,206.46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101,754,407.25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15,607,897,620.96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343,846,577.54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93,253,233.40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56,427,539.48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184,501,128.93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12,710,447.87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214,139,948.08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55,791,316.08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69,417.48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52,615,806.37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4,540,116.92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611,728,930.98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10,349,696.56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2,336,173.35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206,186,253.72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8,783,666.91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1,429,271,955.00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104,161,721.13</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17,037,169,575.96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448,008,298.67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4,370,926,586.94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2,429,264,273.53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3,770,597,215.81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30,225,580.20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942,515,953.31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193,391,843.67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352,866,983.25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7,331,856.12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286,970,010.25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7,013,386.03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8,484,190.29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3,784.27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216,599,406.16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19,340,782.11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2,033,503.71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33,473,705.67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1,522,094.05</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12,761,698,325.21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260,862,830.16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145,609.62</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131,798,035.36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1,624,798,035.36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145,609.62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14,386,496,360.57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261,008,439.78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654,070,434.00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357,973,531.00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2,380,627,616.35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640,726,805.61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23,177,178.74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65,738,593.50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65,738,593.50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-475,450,417.00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-877,439,071.22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2,648,163,405.59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186,999,858.89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2,509,809.80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2,650,673,215.39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186,999,858.89</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17,037,169,575.96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448,008,298.67</w:t>
            </w:r>
          </w:p>
        </w:tc>
      </w:tr>
    </w:tbl>
    <w:p>
      <w:pPr>
        <w:pStyle w:val="Style36"/>
        <w:keepNext/>
        <w:keepLines/>
        <w:widowControl w:val="0"/>
        <w:shd w:val="clear" w:color="auto" w:fill="auto"/>
        <w:bidi w:val="0"/>
        <w:spacing w:before="0" w:after="320" w:line="240" w:lineRule="auto"/>
        <w:ind w:left="0" w:right="0" w:firstLine="0"/>
        <w:jc w:val="left"/>
      </w:pPr>
      <w:r>
        <mc:AlternateContent>
          <mc:Choice Requires="wps">
            <w:drawing>
              <wp:anchor distT="114300" distB="0" distL="114300" distR="5259705" simplePos="0" relativeHeight="125829418" behindDoc="0" locked="0" layoutInCell="1" allowOverlap="1">
                <wp:simplePos x="0" y="0"/>
                <wp:positionH relativeFrom="page">
                  <wp:posOffset>708660</wp:posOffset>
                </wp:positionH>
                <wp:positionV relativeFrom="margin">
                  <wp:posOffset>5126990</wp:posOffset>
                </wp:positionV>
                <wp:extent cx="941705" cy="149225"/>
                <wp:wrapTopAndBottom/>
                <wp:docPr id="73" name="Shape 73"/>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wps:txbx>
                      <wps:bodyPr wrap="none" lIns="0" tIns="0" rIns="0" bIns="0">
                        <a:noAutoFit/>
                      </wps:bodyPr>
                    </wps:wsp>
                  </a:graphicData>
                </a:graphic>
              </wp:anchor>
            </w:drawing>
          </mc:Choice>
          <mc:Fallback>
            <w:pict>
              <v:shape id="_x0000_s1099" type="#_x0000_t202" style="position:absolute;margin-left:55.800000000000004pt;margin-top:403.69999999999999pt;width:74.150000000000006pt;height:11.75pt;z-index:-125829335;mso-wrap-distance-left:9.pt;mso-wrap-distance-top:9.pt;mso-wrap-distance-right:414.15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v:textbox>
                <w10:wrap type="topAndBottom" anchorx="page" anchory="margin"/>
              </v:shape>
            </w:pict>
          </mc:Fallback>
        </mc:AlternateContent>
      </w:r>
      <w:r>
        <mc:AlternateContent>
          <mc:Choice Requires="wps">
            <w:drawing>
              <wp:anchor distT="114300" distB="3175" distL="2235835" distR="2574290" simplePos="0" relativeHeight="125829420" behindDoc="0" locked="0" layoutInCell="1" allowOverlap="1">
                <wp:simplePos x="0" y="0"/>
                <wp:positionH relativeFrom="page">
                  <wp:posOffset>2830195</wp:posOffset>
                </wp:positionH>
                <wp:positionV relativeFrom="margin">
                  <wp:posOffset>5126990</wp:posOffset>
                </wp:positionV>
                <wp:extent cx="1505585" cy="146050"/>
                <wp:wrapTopAndBottom/>
                <wp:docPr id="75" name="Shape 7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主管会计工作负责人：张云飞</w:t>
                            </w:r>
                          </w:p>
                        </w:txbxContent>
                      </wps:txbx>
                      <wps:bodyPr wrap="none" lIns="0" tIns="0" rIns="0" bIns="0">
                        <a:noAutoFit/>
                      </wps:bodyPr>
                    </wps:wsp>
                  </a:graphicData>
                </a:graphic>
              </wp:anchor>
            </w:drawing>
          </mc:Choice>
          <mc:Fallback>
            <w:pict>
              <v:shape id="_x0000_s1101" type="#_x0000_t202" style="position:absolute;margin-left:222.84999999999999pt;margin-top:403.69999999999999pt;width:118.55pt;height:11.5pt;z-index:-125829333;mso-wrap-distance-left:176.05000000000001pt;mso-wrap-distance-top:9.pt;mso-wrap-distance-right:202.70000000000002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主管会计工作负责人：张云飞</w:t>
                      </w:r>
                    </w:p>
                  </w:txbxContent>
                </v:textbox>
                <w10:wrap type="topAndBottom" anchorx="page" anchory="margin"/>
              </v:shape>
            </w:pict>
          </mc:Fallback>
        </mc:AlternateContent>
      </w:r>
      <w:r>
        <mc:AlternateContent>
          <mc:Choice Requires="wps">
            <w:drawing>
              <wp:anchor distT="114300" distB="0" distL="4914900" distR="114300" simplePos="0" relativeHeight="125829422" behindDoc="0" locked="0" layoutInCell="1" allowOverlap="1">
                <wp:simplePos x="0" y="0"/>
                <wp:positionH relativeFrom="page">
                  <wp:posOffset>5509260</wp:posOffset>
                </wp:positionH>
                <wp:positionV relativeFrom="margin">
                  <wp:posOffset>5126990</wp:posOffset>
                </wp:positionV>
                <wp:extent cx="1286510" cy="149225"/>
                <wp:wrapTopAndBottom/>
                <wp:docPr id="77" name="Shape 7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会计机构负责人：陈振坤</w:t>
                            </w:r>
                          </w:p>
                        </w:txbxContent>
                      </wps:txbx>
                      <wps:bodyPr wrap="none" lIns="0" tIns="0" rIns="0" bIns="0">
                        <a:noAutoFit/>
                      </wps:bodyPr>
                    </wps:wsp>
                  </a:graphicData>
                </a:graphic>
              </wp:anchor>
            </w:drawing>
          </mc:Choice>
          <mc:Fallback>
            <w:pict>
              <v:shape id="_x0000_s1103" type="#_x0000_t202" style="position:absolute;margin-left:433.80000000000001pt;margin-top:403.69999999999999pt;width:101.3pt;height:11.75pt;z-index:-125829331;mso-wrap-distance-left:387.pt;mso-wrap-distance-top:9.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会计机构负责人：陈振坤</w:t>
                      </w:r>
                    </w:p>
                  </w:txbxContent>
                </v:textbox>
                <w10:wrap type="topAndBottom" anchorx="page" anchory="margin"/>
              </v:shape>
            </w:pict>
          </mc:Fallback>
        </mc:AlternateContent>
      </w: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、母公司资产负债表</w:t>
      </w:r>
      <w:bookmarkEnd w:id="691"/>
      <w:bookmarkEnd w:id="692"/>
      <w:bookmarkEnd w:id="6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6,645,034.89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37,027,012.00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2,222,729.18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85,230,323.87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101,511,142.86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83,992,567.02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223,768,478.73</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31,503,233.40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4,015,471,500.00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282,180,000.00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742,904.54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1,407,828.42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432,791.76</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4,047,717,637.94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304,020,620.18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4,131,710,204.96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527,789,098.91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7,231,831.84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1,334,709.85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-554,677.81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3,065,307.45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2,388,194.44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14,623,919.82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185,194,946.31</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373,689,268.29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189,594,963.61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1,833,689,268.29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189,594,963.61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654,070,434.00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357,973,531.00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2,489,627,616.35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701,729,530.06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65,738,593.50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65,738,593.50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-913,298,811.01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-787,247,519.26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2,298,020,936.67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338,194,135.30</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4,131,710,204.96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527,789,098.91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、合并利润表</w:t>
      </w:r>
      <w:bookmarkEnd w:id="695"/>
      <w:bookmarkEnd w:id="696"/>
      <w:bookmarkEnd w:id="6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40,531,123,500.93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458,063,353.60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40,531,123,500.93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458,063,353.60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40,334,979,777.57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480,133,437.88</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38,554,241,329.19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409,062,925.80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67,896,934.66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1,945,818.76</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1,177,764,768.70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21,453,421.67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292,592,064.40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45,579,568.14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416,764,225.02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-211,125.52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-174,279,544.40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2,302,829.03</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19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10,827,141.79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253,985,139.25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15,001,000.24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2,233,972.30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7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460,956,004.40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-7,069,084.04</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58,456,045.58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32,397,191.85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1,193,975.14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21,686,032.34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782,786.23</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1,963,574.72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252,908.25</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497,726,017.64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24,545,321.58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94,942,279.39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3,182,077.56</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402,783,738.25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403,795,179.08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-1,011,440.83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23,177,178.74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23,177,178.74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23,177,178.74</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1,883,103.83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21,294,074.91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425,960,916.99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426,972,357.82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-1,011,440.83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299" w:line="1" w:lineRule="exact"/>
      </w:pPr>
    </w:p>
    <w:p>
      <w:pPr>
        <w:pStyle w:val="Style32"/>
        <w:keepNext w:val="0"/>
        <w:keepLines w:val="0"/>
        <w:widowControl w:val="0"/>
        <w:shd w:val="clear" w:color="auto" w:fill="auto"/>
        <w:tabs>
          <w:tab w:pos="3336" w:val="left"/>
          <w:tab w:pos="7555" w:val="left"/>
        </w:tabs>
        <w:bidi w:val="0"/>
        <w:spacing w:before="0" w:after="300" w:line="240" w:lineRule="auto"/>
        <w:ind w:left="0" w:right="0" w:firstLine="0"/>
        <w:jc w:val="left"/>
      </w:pPr>
      <w:r>
        <w:rPr>
          <w:color w:val="000000"/>
          <w:spacing w:val="0"/>
          <w:w w:val="100"/>
          <w:position w:val="0"/>
        </w:rPr>
        <w:t>法定代表人：郭为</w:t>
        <w:tab/>
        <w:t>主管会计工作负责人：张云飞</w:t>
        <w:tab/>
        <w:t>会计机构负责人：陈振坤</w:t>
      </w:r>
    </w:p>
    <w:p>
      <w:pPr>
        <w:pStyle w:val="Style36"/>
        <w:keepNext/>
        <w:keepLines/>
        <w:widowControl w:val="0"/>
        <w:shd w:val="clear" w:color="auto" w:fill="auto"/>
        <w:bidi w:val="0"/>
        <w:spacing w:before="0" w:after="3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、母公司利润表</w:t>
      </w:r>
      <w:bookmarkEnd w:id="699"/>
      <w:bookmarkEnd w:id="700"/>
      <w:bookmarkEnd w:id="7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17,259.17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62,558,650.79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22,736,367.17</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72,163,444.05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2,602,724.56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-27,039,733.83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4,169,492.56</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280" w:right="0" w:firstLine="10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-17,261,786.56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15,001,000.24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-124,944,147.57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-14,524,843.22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739,076.61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32,077,120.00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700,075.10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999,666.72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999,666.65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-125,204,737.68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17,552,266.59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846,554.07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1,068,334.47</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-126,051,291.75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16,483,932.12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（一）以后不能重分类进损益的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1,883,103.83</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1,883,103.83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-124,168,187.92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16,483,932.12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、合并现金流量表</w:t>
      </w:r>
      <w:bookmarkEnd w:id="703"/>
      <w:bookmarkEnd w:id="704"/>
      <w:bookmarkEnd w:id="7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45,509,028,489.69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468,013,389.54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7,529,112.55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44,086,665.57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4,372,126.53</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45,560,644,267.81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472,385,516.07</w:t>
            </w:r>
          </w:p>
        </w:tc>
      </w:tr>
    </w:tbl>
    <w:p>
      <w:pPr>
        <w:widowControl w:val="0"/>
        <w:spacing w:line="1" w:lineRule="exact"/>
      </w:pPr>
      <w:r>
        <w:br w:type="page"/>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43,131,035,192.62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380,878,462.08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641,967,937.75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60,140,421.98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359,410,353.92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10,646,460.68</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1,082,348,667.26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34,222,527.88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45,214,762,151.55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485,887,872.62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345,882,116.26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-13,502,356.55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3,974,546,483.76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57,052,972.16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15,001,000.24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2,201,301.10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154,000.00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54,185,992.42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136,460,000.00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4,087,986,749.44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151,615,000.24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49,684,781.19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1,392,058.24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3,761,274,789.06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1,955,696,118.73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5,766,655,688.98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49,392,058.24</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-1,678,668,939.54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102,222,942.00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2,179,799,989.29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8,712,870,596.30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10,892,670,585.59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8,387,992,637.33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3,272,498.04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239,483,566.60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305,061.00</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38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296,096.90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8,627,772,300.83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3,577,559.04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2,264,898,284.76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-3,577,559.04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26,456,957.59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958,568,419.07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85,143,026.41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114,346,440.09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29,203,413.68</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1,072,914,859.16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114,346,440.09</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、母公司现金流量表</w:t>
      </w:r>
      <w:bookmarkEnd w:id="707"/>
      <w:bookmarkEnd w:id="708"/>
      <w:bookmarkEnd w:id="7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123,817.00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90,715.00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25,602,070.54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88,349,185.75</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25,725,887.54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88,439,900.75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1,112,104.55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17,817,972.36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8,485,956.89</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8,758,325.73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120,083,272.47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148,421,132.96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147,771,675.11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156,907,089.85</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-122,045,787.57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-68,467,189.10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184,046,483.76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7,035,423.77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15,001,000.24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700,075.10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160,800,900.00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136,460,000.00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432,582,882.63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151,461,000.24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40,554.90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92,657.64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90,889,723.66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4,015,471,500.00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48,000,000.00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4,261,401,778.56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48,092,657.64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-3,828,818,895.93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103,368,342.60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2,179,799,989.29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3,989,799,989.29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69,021,186.00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296,096.90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69,317,282.90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3,920,482,706.39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-30,381,977.11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34,901,153.50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37,027,012.00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2,125,858.50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6,645,034.89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37,027,012.00</w:t>
            </w:r>
          </w:p>
        </w:tc>
      </w:tr>
    </w:tbl>
    <w:p>
      <w:pPr>
        <w:sectPr>
          <w:footnotePr>
            <w:pos w:val="pageBottom"/>
            <w:numFmt w:val="decimal"/>
            <w:numRestart w:val="continuous"/>
          </w:footnotePr>
          <w:pgSz w:w="11900" w:h="16840"/>
          <w:pgMar w:top="1441" w:right="1102" w:bottom="1479" w:left="1111" w:header="0" w:footer="3" w:gutter="0"/>
          <w:cols w:space="720"/>
          <w:noEndnote/>
          <w:rtlGutter w:val="0"/>
          <w:docGrid w:linePitch="360"/>
        </w:sectPr>
      </w:pPr>
    </w:p>
    <w:p>
      <w:pPr>
        <w:pStyle w:val="Style36"/>
        <w:keepNext/>
        <w:keepLines/>
        <w:widowControl w:val="0"/>
        <w:shd w:val="clear" w:color="auto" w:fill="auto"/>
        <w:bidi w:val="0"/>
        <w:spacing w:before="320" w:after="320" w:line="240" w:lineRule="auto"/>
        <w:ind w:left="0" w:right="0" w:firstLine="70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、合并所有者权益变动表</w:t>
      </w:r>
      <w:bookmarkEnd w:id="711"/>
      <w:bookmarkEnd w:id="712"/>
      <w:bookmarkEnd w:id="714"/>
    </w:p>
    <w:p>
      <w:pPr>
        <w:pStyle w:val="Style3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939" w:right="0" w:firstLine="0"/>
        <w:jc w:val="left"/>
      </w:pPr>
      <w:r>
        <w:rPr>
          <w:color w:val="000000"/>
          <w:spacing w:val="0"/>
          <w:w w:val="100"/>
          <w:position w:val="0"/>
        </w:rPr>
        <w:t>单位：元</w:t>
      </w:r>
    </w:p>
    <w:tbl>
      <w:tblPr>
        <w:tblOverlap w:val="never"/>
        <w:jc w:val="center"/>
        <w:tblLayout w:type="fixed"/>
      </w:tblPr>
      <w:tblGrid>
        <w:gridCol w:w="2414"/>
        <w:gridCol w:w="1368"/>
        <w:gridCol w:w="528"/>
        <w:gridCol w:w="533"/>
        <w:gridCol w:w="528"/>
        <w:gridCol w:w="1440"/>
        <w:gridCol w:w="662"/>
        <w:gridCol w:w="1181"/>
        <w:gridCol w:w="662"/>
        <w:gridCol w:w="1267"/>
        <w:gridCol w:w="662"/>
        <w:gridCol w:w="1320"/>
        <w:gridCol w:w="1277"/>
        <w:gridCol w:w="1330"/>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640,726,805.61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-877,439,071.22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186,999,858.89</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640,726,805.61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-877,439,071.22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186,999,858.89</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06"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296,096,903.00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1,739,900,810.74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23,177,178.74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401,988,654.22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2,509,809.80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2,463,673,356.50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23,177,178.74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403,795,179.08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-1,011,440.83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425,960,916.99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296,096,903.00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1,883,703,086.29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-1,806,524.86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3,521,250.63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2,181,514,715.06</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296,096,903.00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1,883,703,086.29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5,256,931.37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2,185,056,920.66</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-1,806,524.86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-1,735,680.74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-3,542,205.60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368"/>
        <w:gridCol w:w="528"/>
        <w:gridCol w:w="533"/>
        <w:gridCol w:w="528"/>
        <w:gridCol w:w="1440"/>
        <w:gridCol w:w="662"/>
        <w:gridCol w:w="1181"/>
        <w:gridCol w:w="662"/>
        <w:gridCol w:w="1267"/>
        <w:gridCol w:w="662"/>
        <w:gridCol w:w="1320"/>
        <w:gridCol w:w="1277"/>
        <w:gridCol w:w="1330"/>
      </w:tblGrid>
      <w:tr>
        <w:trPr>
          <w:trHeight w:val="35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-143,802,275.55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-143,802,275.55</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654,070,434.00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2,380,627,616.35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23,177,178.74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65,738,593.50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-475,450,417.00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2,509,809.80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2,650,673,215.39</w:t>
            </w:r>
          </w:p>
        </w:tc>
      </w:tr>
    </w:tbl>
    <w:p>
      <w:pPr>
        <w:pStyle w:val="Style30"/>
        <w:keepNext w:val="0"/>
        <w:keepLines w:val="0"/>
        <w:widowControl w:val="0"/>
        <w:shd w:val="clear" w:color="auto" w:fill="auto"/>
        <w:bidi w:val="0"/>
        <w:spacing w:before="0" w:after="0" w:line="240" w:lineRule="auto"/>
        <w:ind w:left="696" w:right="0" w:firstLine="0"/>
        <w:jc w:val="left"/>
      </w:pPr>
      <w:r>
        <w:rPr>
          <w:color w:val="000000"/>
          <w:spacing w:val="0"/>
          <w:w w:val="100"/>
          <w:position w:val="0"/>
        </w:rPr>
        <w:t>上期金额</w:t>
      </w:r>
    </w:p>
    <w:p>
      <w:pPr>
        <w:pStyle w:val="Style30"/>
        <w:keepNext w:val="0"/>
        <w:keepLines w:val="0"/>
        <w:widowControl w:val="0"/>
        <w:shd w:val="clear" w:color="auto" w:fill="auto"/>
        <w:bidi w:val="0"/>
        <w:spacing w:before="0" w:after="0" w:line="240" w:lineRule="auto"/>
        <w:ind w:left="13939" w:right="0" w:firstLine="0"/>
        <w:jc w:val="left"/>
      </w:pPr>
      <w:r>
        <w:rPr>
          <w:color w:val="000000"/>
          <w:spacing w:val="0"/>
          <w:w w:val="100"/>
          <w:position w:val="0"/>
        </w:rPr>
        <w:t>单位：元</w:t>
      </w:r>
    </w:p>
    <w:tbl>
      <w:tblPr>
        <w:tblOverlap w:val="never"/>
        <w:jc w:val="center"/>
        <w:tblLayout w:type="fixed"/>
      </w:tblPr>
      <w:tblGrid>
        <w:gridCol w:w="2414"/>
        <w:gridCol w:w="1421"/>
        <w:gridCol w:w="528"/>
        <w:gridCol w:w="533"/>
        <w:gridCol w:w="528"/>
        <w:gridCol w:w="1387"/>
        <w:gridCol w:w="662"/>
        <w:gridCol w:w="1181"/>
        <w:gridCol w:w="662"/>
        <w:gridCol w:w="1176"/>
        <w:gridCol w:w="667"/>
        <w:gridCol w:w="1320"/>
        <w:gridCol w:w="1416"/>
        <w:gridCol w:w="1286"/>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所有者权益合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640,726,805.61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-898,802,315.24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165,636,614.87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421"/>
        <w:gridCol w:w="528"/>
        <w:gridCol w:w="533"/>
        <w:gridCol w:w="528"/>
        <w:gridCol w:w="1387"/>
        <w:gridCol w:w="662"/>
        <w:gridCol w:w="1181"/>
        <w:gridCol w:w="662"/>
        <w:gridCol w:w="1176"/>
        <w:gridCol w:w="667"/>
        <w:gridCol w:w="1320"/>
        <w:gridCol w:w="1416"/>
        <w:gridCol w:w="1286"/>
      </w:tblGrid>
      <w:tr>
        <w:trPr>
          <w:trHeight w:val="35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所有者权益合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640,726,805.61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-898,802,315.24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165,636,614.87</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02"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421"/>
        <w:gridCol w:w="528"/>
        <w:gridCol w:w="533"/>
        <w:gridCol w:w="528"/>
        <w:gridCol w:w="1387"/>
        <w:gridCol w:w="662"/>
        <w:gridCol w:w="1181"/>
        <w:gridCol w:w="662"/>
        <w:gridCol w:w="1176"/>
        <w:gridCol w:w="667"/>
        <w:gridCol w:w="1320"/>
        <w:gridCol w:w="1416"/>
        <w:gridCol w:w="1286"/>
      </w:tblGrid>
      <w:tr>
        <w:trPr>
          <w:trHeight w:val="35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所有者权益合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640,726,805.61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65,738,593.50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-877,439,071.22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186,999,858.89</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70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8</w:t>
      </w:r>
      <w:bookmarkEnd w:id="717"/>
      <w:r>
        <w:rPr>
          <w:color w:val="000000"/>
          <w:spacing w:val="0"/>
          <w:w w:val="100"/>
          <w:position w:val="0"/>
        </w:rPr>
        <w:t>、母公司所有者权益变动表</w:t>
      </w:r>
      <w:bookmarkEnd w:id="715"/>
      <w:bookmarkEnd w:id="716"/>
      <w:bookmarkEnd w:id="718"/>
    </w:p>
    <w:p>
      <w:pPr>
        <w:pStyle w:val="Style3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373" w:right="0" w:firstLine="0"/>
        <w:jc w:val="left"/>
      </w:pPr>
      <w:r>
        <w:rPr>
          <w:color w:val="000000"/>
          <w:spacing w:val="0"/>
          <w:w w:val="100"/>
          <w:position w:val="0"/>
        </w:rPr>
        <w:t>单位：元</w:t>
      </w:r>
    </w:p>
    <w:tbl>
      <w:tblPr>
        <w:tblOverlap w:val="never"/>
        <w:jc w:val="center"/>
        <w:tblLayout w:type="fixed"/>
      </w:tblPr>
      <w:tblGrid>
        <w:gridCol w:w="2414"/>
        <w:gridCol w:w="1421"/>
        <w:gridCol w:w="662"/>
        <w:gridCol w:w="667"/>
        <w:gridCol w:w="514"/>
        <w:gridCol w:w="1272"/>
        <w:gridCol w:w="802"/>
        <w:gridCol w:w="1186"/>
        <w:gridCol w:w="797"/>
        <w:gridCol w:w="1330"/>
        <w:gridCol w:w="1560"/>
        <w:gridCol w:w="1565"/>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701,729,530.06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-787,247,519.26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338,194,135.30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701,729,530.06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-787,247,519.26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338,194,135.30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06"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296,096,903.00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1,787,898,086.2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-126,051,291.75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1,959,826,801.37</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-126,051,291.75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-124,168,187.92</w:t>
            </w:r>
          </w:p>
        </w:tc>
      </w:tr>
      <w:tr>
        <w:trPr>
          <w:trHeight w:val="50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296,096,903.00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1,883,703,086.2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2,179,799,989.29</w:t>
            </w:r>
          </w:p>
        </w:tc>
      </w:tr>
      <w:tr>
        <w:trPr>
          <w:trHeight w:val="50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296,096,903.00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1,883,703,086.2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2,179,799,989.29</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421"/>
        <w:gridCol w:w="662"/>
        <w:gridCol w:w="667"/>
        <w:gridCol w:w="514"/>
        <w:gridCol w:w="1272"/>
        <w:gridCol w:w="802"/>
        <w:gridCol w:w="1186"/>
        <w:gridCol w:w="797"/>
        <w:gridCol w:w="1330"/>
        <w:gridCol w:w="1560"/>
        <w:gridCol w:w="1565"/>
      </w:tblGrid>
      <w:tr>
        <w:trPr>
          <w:trHeight w:val="35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-95,805,000.00</w:t>
            </w:r>
          </w:p>
        </w:tc>
      </w:tr>
      <w:tr>
        <w:trPr>
          <w:trHeight w:val="51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654,070,434.00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2,489,627,616.3</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65,738,593.50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-913,298,811.01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2,298,020,936.67</w:t>
            </w:r>
          </w:p>
        </w:tc>
      </w:tr>
    </w:tbl>
    <w:p>
      <w:pPr>
        <w:pStyle w:val="Style30"/>
        <w:keepNext w:val="0"/>
        <w:keepLines w:val="0"/>
        <w:widowControl w:val="0"/>
        <w:shd w:val="clear" w:color="auto" w:fill="auto"/>
        <w:bidi w:val="0"/>
        <w:spacing w:before="0" w:after="0" w:line="240" w:lineRule="auto"/>
        <w:ind w:left="130" w:right="0" w:firstLine="0"/>
        <w:jc w:val="left"/>
      </w:pPr>
      <w:r>
        <w:rPr>
          <w:color w:val="000000"/>
          <w:spacing w:val="0"/>
          <w:w w:val="100"/>
          <w:position w:val="0"/>
        </w:rPr>
        <w:t>上期金额</w:t>
      </w:r>
    </w:p>
    <w:p>
      <w:pPr>
        <w:pStyle w:val="Style30"/>
        <w:keepNext w:val="0"/>
        <w:keepLines w:val="0"/>
        <w:widowControl w:val="0"/>
        <w:shd w:val="clear" w:color="auto" w:fill="auto"/>
        <w:bidi w:val="0"/>
        <w:spacing w:before="0" w:after="0" w:line="240" w:lineRule="auto"/>
        <w:ind w:left="13373" w:right="0" w:firstLine="0"/>
        <w:jc w:val="left"/>
      </w:pPr>
      <w:r>
        <w:rPr>
          <w:color w:val="000000"/>
          <w:spacing w:val="0"/>
          <w:w w:val="100"/>
          <w:position w:val="0"/>
        </w:rPr>
        <w:t>单位：元</w:t>
      </w:r>
    </w:p>
    <w:tbl>
      <w:tblPr>
        <w:tblOverlap w:val="never"/>
        <w:jc w:val="center"/>
        <w:tblLayout w:type="fixed"/>
      </w:tblPr>
      <w:tblGrid>
        <w:gridCol w:w="2414"/>
        <w:gridCol w:w="1421"/>
        <w:gridCol w:w="662"/>
        <w:gridCol w:w="667"/>
        <w:gridCol w:w="662"/>
        <w:gridCol w:w="1406"/>
        <w:gridCol w:w="994"/>
        <w:gridCol w:w="1277"/>
        <w:gridCol w:w="797"/>
        <w:gridCol w:w="1152"/>
        <w:gridCol w:w="1277"/>
        <w:gridCol w:w="1570"/>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701,729,530.06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-803,731,451.38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321,710,203.18</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421"/>
        <w:gridCol w:w="662"/>
        <w:gridCol w:w="667"/>
        <w:gridCol w:w="662"/>
        <w:gridCol w:w="1406"/>
        <w:gridCol w:w="994"/>
        <w:gridCol w:w="1277"/>
        <w:gridCol w:w="797"/>
        <w:gridCol w:w="1152"/>
        <w:gridCol w:w="1277"/>
        <w:gridCol w:w="1570"/>
      </w:tblGrid>
      <w:tr>
        <w:trPr>
          <w:trHeight w:val="35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701,729,530.06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-803,731,451.38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321,710,203.18</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02"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16,483,932.12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16,483,932.12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16,483,932.12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16,483,932.12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421"/>
        <w:gridCol w:w="662"/>
        <w:gridCol w:w="667"/>
        <w:gridCol w:w="662"/>
        <w:gridCol w:w="1406"/>
        <w:gridCol w:w="994"/>
        <w:gridCol w:w="1277"/>
        <w:gridCol w:w="797"/>
        <w:gridCol w:w="1152"/>
        <w:gridCol w:w="1277"/>
        <w:gridCol w:w="1570"/>
      </w:tblGrid>
      <w:tr>
        <w:trPr>
          <w:trHeight w:val="35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701,729,530.06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65,738,593.50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-787,247,519.26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338,194,135.30</w:t>
            </w:r>
          </w:p>
        </w:tc>
      </w:tr>
    </w:tbl>
    <w:p>
      <w:pPr>
        <w:sectPr>
          <w:headerReference w:type="default" r:id="rId19"/>
          <w:footerReference w:type="default" r:id="rId20"/>
          <w:footnotePr>
            <w:pos w:val="pageBottom"/>
            <w:numFmt w:val="decimal"/>
            <w:numRestart w:val="continuous"/>
          </w:footnotePr>
          <w:pgSz w:w="16840" w:h="11900" w:orient="landscape"/>
          <w:pgMar w:top="1112" w:right="897" w:bottom="1226" w:left="761" w:header="0" w:footer="3" w:gutter="0"/>
          <w:cols w:space="720"/>
          <w:noEndnote/>
          <w:rtlGutter w:val="0"/>
          <w:docGrid w:linePitch="360"/>
        </w:sectPr>
      </w:pPr>
    </w:p>
    <w:p>
      <w:pPr>
        <w:pStyle w:val="Style28"/>
        <w:keepNext/>
        <w:keepLines/>
        <w:widowControl w:val="0"/>
        <w:shd w:val="clear" w:color="auto" w:fill="auto"/>
        <w:bidi w:val="0"/>
        <w:spacing w:before="80" w:after="260" w:line="240" w:lineRule="auto"/>
        <w:ind w:left="0" w:right="0" w:firstLine="0"/>
        <w:jc w:val="both"/>
      </w:pPr>
      <w:bookmarkStart w:id="719" w:name="bookmark719"/>
      <w:bookmarkStart w:id="720" w:name="bookmark720"/>
      <w:bookmarkStart w:id="721" w:name="bookmark721"/>
      <w:bookmarkStart w:id="722" w:name="bookmark722"/>
      <w:r>
        <w:rPr>
          <w:color w:val="000000"/>
          <w:spacing w:val="0"/>
          <w:w w:val="100"/>
          <w:position w:val="0"/>
        </w:rPr>
        <w:t>三</w:t>
      </w:r>
      <w:bookmarkEnd w:id="721"/>
      <w:r>
        <w:rPr>
          <w:color w:val="000000"/>
          <w:spacing w:val="0"/>
          <w:w w:val="100"/>
          <w:position w:val="0"/>
        </w:rPr>
        <w:t>、公司基本情况</w:t>
      </w:r>
      <w:bookmarkEnd w:id="719"/>
      <w:bookmarkEnd w:id="720"/>
      <w:bookmarkEnd w:id="722"/>
    </w:p>
    <w:p>
      <w:pPr>
        <w:pStyle w:val="Style32"/>
        <w:keepNext w:val="0"/>
        <w:keepLines w:val="0"/>
        <w:widowControl w:val="0"/>
        <w:shd w:val="clear" w:color="auto" w:fill="auto"/>
        <w:bidi w:val="0"/>
        <w:spacing w:before="0" w:after="100" w:line="267" w:lineRule="exact"/>
        <w:ind w:left="0" w:right="0" w:firstLine="480"/>
        <w:jc w:val="both"/>
      </w:pPr>
      <w:r>
        <w:rPr>
          <w:color w:val="000000"/>
          <w:spacing w:val="0"/>
          <w:w w:val="100"/>
          <w:position w:val="0"/>
        </w:rPr>
        <w:t>神州数码集团股份有限公司（以下简称“本公司”或“公司”，在包含子公司时统称“本集团”）原名深圳市深信泰丰 （集团）股份有限公司，前身为深圳市华宝畜禽联合公司，</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日经深圳市人民政府以市特府</w:t>
      </w:r>
      <w:r>
        <w:rPr>
          <w:rFonts w:ascii="Times New Roman" w:eastAsia="Times New Roman" w:hAnsi="Times New Roman" w:cs="Times New Roman"/>
          <w:color w:val="000000"/>
          <w:spacing w:val="0"/>
          <w:w w:val="100"/>
          <w:position w:val="0"/>
        </w:rPr>
        <w:t>[1981]20</w:t>
      </w:r>
      <w:r>
        <w:rPr>
          <w:color w:val="000000"/>
          <w:spacing w:val="0"/>
          <w:w w:val="100"/>
          <w:position w:val="0"/>
        </w:rPr>
        <w:t>号文批 准成立，并于</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日经中国牧工商联合总公司以（</w:t>
      </w:r>
      <w:r>
        <w:rPr>
          <w:rFonts w:ascii="Times New Roman" w:eastAsia="Times New Roman" w:hAnsi="Times New Roman" w:cs="Times New Roman"/>
          <w:color w:val="000000"/>
          <w:spacing w:val="0"/>
          <w:w w:val="100"/>
          <w:position w:val="0"/>
        </w:rPr>
        <w:t>83</w:t>
      </w:r>
      <w:r>
        <w:rPr>
          <w:color w:val="000000"/>
          <w:spacing w:val="0"/>
          <w:w w:val="100"/>
          <w:position w:val="0"/>
        </w:rPr>
        <w:t>）农牧（办）字第</w:t>
      </w:r>
      <w:r>
        <w:rPr>
          <w:rFonts w:ascii="Times New Roman" w:eastAsia="Times New Roman" w:hAnsi="Times New Roman" w:cs="Times New Roman"/>
          <w:color w:val="000000"/>
          <w:spacing w:val="0"/>
          <w:w w:val="100"/>
          <w:position w:val="0"/>
        </w:rPr>
        <w:t>02</w:t>
      </w:r>
      <w:r>
        <w:rPr>
          <w:color w:val="000000"/>
          <w:spacing w:val="0"/>
          <w:w w:val="100"/>
          <w:position w:val="0"/>
        </w:rPr>
        <w:t>号文批准更名为深圳华宝牧工商联 合公司。</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日经深圳市人民政府以深府办复</w:t>
      </w:r>
      <w:r>
        <w:rPr>
          <w:rFonts w:ascii="Times New Roman" w:eastAsia="Times New Roman" w:hAnsi="Times New Roman" w:cs="Times New Roman"/>
          <w:color w:val="000000"/>
          <w:spacing w:val="0"/>
          <w:w w:val="100"/>
          <w:position w:val="0"/>
        </w:rPr>
        <w:t>[1993]855</w:t>
      </w:r>
      <w:r>
        <w:rPr>
          <w:color w:val="000000"/>
          <w:spacing w:val="0"/>
          <w:w w:val="100"/>
          <w:position w:val="0"/>
        </w:rPr>
        <w:t>号文批准，由中国牧工商总公司、深圳市宝安区投资 管理公司、深圳经济特区食品贸易（集团）公司三家为发起人，通过改组以社会募集方式设立深圳市华宝（集团）股份有限 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日经深圳市工商行政管理局批准，公司名称变更为深圳市深信泰丰（集团）股份有限公司。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日经深圳市工商行政管理局批准，公司名称变更为现名称神州数码集团股份有限公司。本公司已领取统一社会信用 代码</w:t>
      </w:r>
      <w:r>
        <w:rPr>
          <w:rFonts w:ascii="Times New Roman" w:eastAsia="Times New Roman" w:hAnsi="Times New Roman" w:cs="Times New Roman"/>
          <w:color w:val="000000"/>
          <w:spacing w:val="0"/>
          <w:w w:val="100"/>
          <w:position w:val="0"/>
        </w:rPr>
        <w:t>9144030019218259X7</w:t>
      </w:r>
      <w:r>
        <w:rPr>
          <w:color w:val="000000"/>
          <w:spacing w:val="0"/>
          <w:w w:val="100"/>
          <w:position w:val="0"/>
        </w:rPr>
        <w:t>号企业法人营业执照，注册资本为人民币</w:t>
      </w:r>
      <w:r>
        <w:rPr>
          <w:rFonts w:ascii="Times New Roman" w:eastAsia="Times New Roman" w:hAnsi="Times New Roman" w:cs="Times New Roman"/>
          <w:color w:val="000000"/>
          <w:spacing w:val="0"/>
          <w:w w:val="100"/>
          <w:position w:val="0"/>
        </w:rPr>
        <w:t>654,070,434.00</w:t>
      </w:r>
      <w:r>
        <w:rPr>
          <w:color w:val="000000"/>
          <w:spacing w:val="0"/>
          <w:w w:val="100"/>
          <w:position w:val="0"/>
        </w:rPr>
        <w:t>元。</w:t>
      </w:r>
    </w:p>
    <w:p>
      <w:pPr>
        <w:pStyle w:val="Style32"/>
        <w:keepNext w:val="0"/>
        <w:keepLines w:val="0"/>
        <w:widowControl w:val="0"/>
        <w:numPr>
          <w:ilvl w:val="0"/>
          <w:numId w:val="17"/>
        </w:numPr>
        <w:shd w:val="clear" w:color="auto" w:fill="auto"/>
        <w:bidi w:val="0"/>
        <w:spacing w:before="0" w:after="100" w:line="269" w:lineRule="exact"/>
        <w:ind w:left="0" w:right="0" w:firstLine="380"/>
        <w:jc w:val="both"/>
      </w:pPr>
      <w:bookmarkStart w:id="723" w:name="bookmark723"/>
      <w:bookmarkEnd w:id="723"/>
      <w:r>
        <w:rPr>
          <w:color w:val="000000"/>
          <w:spacing w:val="0"/>
          <w:w w:val="100"/>
          <w:position w:val="0"/>
        </w:rPr>
        <w:t>股东所持公司的法人股发生的股权转让事宜：</w:t>
      </w:r>
    </w:p>
    <w:p>
      <w:pPr>
        <w:pStyle w:val="Style32"/>
        <w:keepNext w:val="0"/>
        <w:keepLines w:val="0"/>
        <w:widowControl w:val="0"/>
        <w:shd w:val="clear" w:color="auto" w:fill="auto"/>
        <w:tabs>
          <w:tab w:pos="481" w:val="left"/>
        </w:tabs>
        <w:bidi w:val="0"/>
        <w:spacing w:before="0" w:after="100" w:line="266" w:lineRule="exact"/>
        <w:ind w:left="0" w:right="0" w:firstLine="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1</w:t>
      </w:r>
      <w:r>
        <w:rPr>
          <w:color w:val="000000"/>
          <w:spacing w:val="0"/>
          <w:w w:val="100"/>
          <w:position w:val="0"/>
        </w:rPr>
        <w:t>）</w:t>
        <w:tab/>
        <w:t>深圳市证券管理办公室于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日以深证办复</w:t>
      </w:r>
      <w:r>
        <w:rPr>
          <w:rFonts w:ascii="Times New Roman" w:eastAsia="Times New Roman" w:hAnsi="Times New Roman" w:cs="Times New Roman"/>
          <w:color w:val="000000"/>
          <w:spacing w:val="0"/>
          <w:w w:val="100"/>
          <w:position w:val="0"/>
        </w:rPr>
        <w:t>[1999]42</w:t>
      </w:r>
      <w:r>
        <w:rPr>
          <w:color w:val="000000"/>
          <w:spacing w:val="0"/>
          <w:w w:val="100"/>
          <w:position w:val="0"/>
        </w:rPr>
        <w:t>号文批准，以及经财政部于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日以 财管字</w:t>
      </w:r>
      <w:r>
        <w:rPr>
          <w:rFonts w:ascii="Times New Roman" w:eastAsia="Times New Roman" w:hAnsi="Times New Roman" w:cs="Times New Roman"/>
          <w:color w:val="000000"/>
          <w:spacing w:val="0"/>
          <w:w w:val="100"/>
          <w:position w:val="0"/>
        </w:rPr>
        <w:t>[1999]362</w:t>
      </w:r>
      <w:r>
        <w:rPr>
          <w:color w:val="000000"/>
          <w:spacing w:val="0"/>
          <w:w w:val="100"/>
          <w:position w:val="0"/>
        </w:rPr>
        <w:t>号文批准，由深圳国际信托投资有限责任公司受让本公司原股东一中国牧工商（集团）总公司持有的本公 司法人股份</w:t>
      </w:r>
      <w:r>
        <w:rPr>
          <w:rFonts w:ascii="Times New Roman" w:eastAsia="Times New Roman" w:hAnsi="Times New Roman" w:cs="Times New Roman"/>
          <w:color w:val="000000"/>
          <w:spacing w:val="0"/>
          <w:w w:val="100"/>
          <w:position w:val="0"/>
        </w:rPr>
        <w:t>77,886,656</w:t>
      </w:r>
      <w:r>
        <w:rPr>
          <w:color w:val="000000"/>
          <w:spacing w:val="0"/>
          <w:w w:val="100"/>
          <w:position w:val="0"/>
        </w:rPr>
        <w:t>股，并办妥股权过户手续。转让完成后，中国牧工商（集团）总公司不再持有本公司股权。</w:t>
      </w:r>
    </w:p>
    <w:p>
      <w:pPr>
        <w:pStyle w:val="Style32"/>
        <w:keepNext w:val="0"/>
        <w:keepLines w:val="0"/>
        <w:widowControl w:val="0"/>
        <w:shd w:val="clear" w:color="auto" w:fill="auto"/>
        <w:tabs>
          <w:tab w:pos="481" w:val="left"/>
        </w:tabs>
        <w:bidi w:val="0"/>
        <w:spacing w:before="0" w:after="100" w:line="270" w:lineRule="exact"/>
        <w:ind w:left="0" w:right="0" w:firstLine="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2</w:t>
      </w:r>
      <w:r>
        <w:rPr>
          <w:color w:val="000000"/>
          <w:spacing w:val="0"/>
          <w:w w:val="100"/>
          <w:position w:val="0"/>
        </w:rPr>
        <w:t>）</w:t>
        <w:tab/>
        <w:t>深圳市宝安区人民政府于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日以深宝府函</w:t>
      </w:r>
      <w:r>
        <w:rPr>
          <w:rFonts w:ascii="Times New Roman" w:eastAsia="Times New Roman" w:hAnsi="Times New Roman" w:cs="Times New Roman"/>
          <w:color w:val="000000"/>
          <w:spacing w:val="0"/>
          <w:w w:val="100"/>
          <w:position w:val="0"/>
        </w:rPr>
        <w:t>[1999]29</w:t>
      </w:r>
      <w:r>
        <w:rPr>
          <w:color w:val="000000"/>
          <w:spacing w:val="0"/>
          <w:w w:val="100"/>
          <w:position w:val="0"/>
        </w:rPr>
        <w:t>号文批准、深圳市国有资产管理办公室于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日以</w:t>
      </w:r>
      <w:r>
        <w:rPr>
          <w:rFonts w:ascii="Times New Roman" w:eastAsia="Times New Roman" w:hAnsi="Times New Roman" w:cs="Times New Roman"/>
          <w:color w:val="000000"/>
          <w:spacing w:val="0"/>
          <w:w w:val="100"/>
          <w:position w:val="0"/>
        </w:rPr>
        <w:t>[1999]65</w:t>
      </w:r>
      <w:r>
        <w:rPr>
          <w:color w:val="000000"/>
          <w:spacing w:val="0"/>
          <w:w w:val="100"/>
          <w:position w:val="0"/>
        </w:rPr>
        <w:t>号文批准，以及深圳市证券管理办公室于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日以深证办复</w:t>
      </w:r>
      <w:r>
        <w:rPr>
          <w:rFonts w:ascii="Times New Roman" w:eastAsia="Times New Roman" w:hAnsi="Times New Roman" w:cs="Times New Roman"/>
          <w:color w:val="000000"/>
          <w:spacing w:val="0"/>
          <w:w w:val="100"/>
          <w:position w:val="0"/>
        </w:rPr>
        <w:t>[1999]42</w:t>
      </w:r>
      <w:r>
        <w:rPr>
          <w:color w:val="000000"/>
          <w:spacing w:val="0"/>
          <w:w w:val="100"/>
          <w:position w:val="0"/>
        </w:rPr>
        <w:t>号文批准，以及经财政 部于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日以财管字</w:t>
      </w:r>
      <w:r>
        <w:rPr>
          <w:rFonts w:ascii="Times New Roman" w:eastAsia="Times New Roman" w:hAnsi="Times New Roman" w:cs="Times New Roman"/>
          <w:color w:val="000000"/>
          <w:spacing w:val="0"/>
          <w:w w:val="100"/>
          <w:position w:val="0"/>
        </w:rPr>
        <w:t>[1999]362</w:t>
      </w:r>
      <w:r>
        <w:rPr>
          <w:color w:val="000000"/>
          <w:spacing w:val="0"/>
          <w:w w:val="100"/>
          <w:position w:val="0"/>
        </w:rPr>
        <w:t>号文批准由深圳国际信托投资有限责任公司受让本公司原第一大股东一深圳 市宝安区投资管理公司持有的本公司国家股份</w:t>
      </w:r>
      <w:r>
        <w:rPr>
          <w:rFonts w:ascii="Times New Roman" w:eastAsia="Times New Roman" w:hAnsi="Times New Roman" w:cs="Times New Roman"/>
          <w:color w:val="000000"/>
          <w:spacing w:val="0"/>
          <w:w w:val="100"/>
          <w:position w:val="0"/>
        </w:rPr>
        <w:t>71,335,413</w:t>
      </w:r>
      <w:r>
        <w:rPr>
          <w:color w:val="000000"/>
          <w:spacing w:val="0"/>
          <w:w w:val="100"/>
          <w:position w:val="0"/>
        </w:rPr>
        <w:t>股。</w:t>
      </w:r>
    </w:p>
    <w:p>
      <w:pPr>
        <w:pStyle w:val="Style32"/>
        <w:keepNext w:val="0"/>
        <w:keepLines w:val="0"/>
        <w:widowControl w:val="0"/>
        <w:shd w:val="clear" w:color="auto" w:fill="auto"/>
        <w:bidi w:val="0"/>
        <w:spacing w:before="0" w:after="100" w:line="269" w:lineRule="exact"/>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color w:val="000000"/>
          <w:spacing w:val="0"/>
          <w:w w:val="100"/>
          <w:position w:val="0"/>
        </w:rPr>
        <w:t>，</w:t>
      </w:r>
      <w:r>
        <w:rPr>
          <w:color w:val="000000"/>
          <w:spacing w:val="0"/>
          <w:w w:val="100"/>
          <w:position w:val="0"/>
        </w:rPr>
        <w:t>深圳市宝安区投资管理公司与深圳国际信托投资有限责任公司重新签定了《股权转让协议书》，根据审 计后本公司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日净资产，上述股权转让价格为</w:t>
      </w:r>
      <w:r>
        <w:rPr>
          <w:rFonts w:ascii="Times New Roman" w:eastAsia="Times New Roman" w:hAnsi="Times New Roman" w:cs="Times New Roman"/>
          <w:color w:val="000000"/>
          <w:spacing w:val="0"/>
          <w:w w:val="100"/>
          <w:position w:val="0"/>
        </w:rPr>
        <w:t>1.16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股，总价款为</w:t>
      </w:r>
      <w:r>
        <w:rPr>
          <w:rFonts w:ascii="Times New Roman" w:eastAsia="Times New Roman" w:hAnsi="Times New Roman" w:cs="Times New Roman"/>
          <w:color w:val="000000"/>
          <w:spacing w:val="0"/>
          <w:w w:val="100"/>
          <w:position w:val="0"/>
        </w:rPr>
        <w:t>82,749,079.08</w:t>
      </w:r>
      <w:r>
        <w:rPr>
          <w:color w:val="000000"/>
          <w:spacing w:val="0"/>
          <w:w w:val="100"/>
          <w:position w:val="0"/>
        </w:rPr>
        <w:t>元。该事项已获财政部 财企</w:t>
      </w:r>
      <w:r>
        <w:rPr>
          <w:rFonts w:ascii="Times New Roman" w:eastAsia="Times New Roman" w:hAnsi="Times New Roman" w:cs="Times New Roman"/>
          <w:color w:val="000000"/>
          <w:spacing w:val="0"/>
          <w:w w:val="100"/>
          <w:position w:val="0"/>
        </w:rPr>
        <w:t>[2003]64</w:t>
      </w:r>
      <w:r>
        <w:rPr>
          <w:color w:val="000000"/>
          <w:spacing w:val="0"/>
          <w:w w:val="100"/>
          <w:position w:val="0"/>
        </w:rPr>
        <w:t>号文批复、中国证监会证监公司字</w:t>
      </w:r>
      <w:r>
        <w:rPr>
          <w:rFonts w:ascii="Times New Roman" w:eastAsia="Times New Roman" w:hAnsi="Times New Roman" w:cs="Times New Roman"/>
          <w:color w:val="000000"/>
          <w:spacing w:val="0"/>
          <w:w w:val="100"/>
          <w:position w:val="0"/>
        </w:rPr>
        <w:t>[2003]38</w:t>
      </w:r>
      <w:r>
        <w:rPr>
          <w:color w:val="000000"/>
          <w:spacing w:val="0"/>
          <w:w w:val="100"/>
          <w:position w:val="0"/>
        </w:rPr>
        <w:t>号文批复，并办妥股权过户手续。</w:t>
      </w:r>
    </w:p>
    <w:p>
      <w:pPr>
        <w:pStyle w:val="Style32"/>
        <w:keepNext w:val="0"/>
        <w:keepLines w:val="0"/>
        <w:widowControl w:val="0"/>
        <w:shd w:val="clear" w:color="auto" w:fill="auto"/>
        <w:bidi w:val="0"/>
        <w:spacing w:before="0" w:after="100" w:line="269" w:lineRule="exact"/>
        <w:ind w:left="0" w:right="0" w:firstLine="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3</w:t>
      </w:r>
      <w:r>
        <w:rPr>
          <w:color w:val="000000"/>
          <w:spacing w:val="0"/>
          <w:w w:val="100"/>
          <w:position w:val="0"/>
        </w:rPr>
        <w:t>） 深圳市宝安区人民政府于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日以深宝函</w:t>
      </w:r>
      <w:r>
        <w:rPr>
          <w:rFonts w:ascii="Times New Roman" w:eastAsia="Times New Roman" w:hAnsi="Times New Roman" w:cs="Times New Roman"/>
          <w:color w:val="000000"/>
          <w:spacing w:val="0"/>
          <w:w w:val="100"/>
          <w:position w:val="0"/>
        </w:rPr>
        <w:t>[2000]42</w:t>
      </w:r>
      <w:r>
        <w:rPr>
          <w:color w:val="000000"/>
          <w:spacing w:val="0"/>
          <w:w w:val="100"/>
          <w:position w:val="0"/>
        </w:rPr>
        <w:t>号文批准，由深圳泰丰电子有限公司受让本公司原股 东一深圳市宝安区投资管理公司持有的公司国家股</w:t>
      </w:r>
      <w:r>
        <w:rPr>
          <w:rFonts w:ascii="Times New Roman" w:eastAsia="Times New Roman" w:hAnsi="Times New Roman" w:cs="Times New Roman"/>
          <w:color w:val="000000"/>
          <w:spacing w:val="0"/>
          <w:w w:val="100"/>
          <w:position w:val="0"/>
        </w:rPr>
        <w:t>24,891,152</w:t>
      </w:r>
      <w:r>
        <w:rPr>
          <w:color w:val="000000"/>
          <w:spacing w:val="0"/>
          <w:w w:val="100"/>
          <w:position w:val="0"/>
        </w:rPr>
        <w:t>股。</w:t>
      </w:r>
    </w:p>
    <w:p>
      <w:pPr>
        <w:pStyle w:val="Style32"/>
        <w:keepNext w:val="0"/>
        <w:keepLines w:val="0"/>
        <w:widowControl w:val="0"/>
        <w:shd w:val="clear" w:color="auto" w:fill="auto"/>
        <w:bidi w:val="0"/>
        <w:spacing w:before="0" w:after="100" w:line="266" w:lineRule="exact"/>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日，深圳市宝安区投资管理公司与深圳泰丰电子有限公司重新签定了《股权转让协议书》，根据审计后的 本公司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日净资产，上述股权转让价格为</w:t>
      </w:r>
      <w:r>
        <w:rPr>
          <w:rFonts w:ascii="Times New Roman" w:eastAsia="Times New Roman" w:hAnsi="Times New Roman" w:cs="Times New Roman"/>
          <w:color w:val="000000"/>
          <w:spacing w:val="0"/>
          <w:w w:val="100"/>
          <w:position w:val="0"/>
        </w:rPr>
        <w:t>1.16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股，总价款为</w:t>
      </w:r>
      <w:r>
        <w:rPr>
          <w:rFonts w:ascii="Times New Roman" w:eastAsia="Times New Roman" w:hAnsi="Times New Roman" w:cs="Times New Roman"/>
          <w:color w:val="000000"/>
          <w:spacing w:val="0"/>
          <w:w w:val="100"/>
          <w:position w:val="0"/>
        </w:rPr>
        <w:t>28,873,736.32</w:t>
      </w:r>
      <w:r>
        <w:rPr>
          <w:color w:val="000000"/>
          <w:spacing w:val="0"/>
          <w:w w:val="100"/>
          <w:position w:val="0"/>
        </w:rPr>
        <w:t xml:space="preserve">元。该事项已获财政部财企 </w:t>
      </w:r>
      <w:r>
        <w:rPr>
          <w:rFonts w:ascii="Times New Roman" w:eastAsia="Times New Roman" w:hAnsi="Times New Roman" w:cs="Times New Roman"/>
          <w:color w:val="000000"/>
          <w:spacing w:val="0"/>
          <w:w w:val="100"/>
          <w:position w:val="0"/>
        </w:rPr>
        <w:t>[2003]64</w:t>
      </w:r>
      <w:r>
        <w:rPr>
          <w:color w:val="000000"/>
          <w:spacing w:val="0"/>
          <w:w w:val="100"/>
          <w:position w:val="0"/>
        </w:rPr>
        <w:t>号文批复，并办妥股权过户手续。</w:t>
      </w:r>
    </w:p>
    <w:p>
      <w:pPr>
        <w:pStyle w:val="Style32"/>
        <w:keepNext w:val="0"/>
        <w:keepLines w:val="0"/>
        <w:widowControl w:val="0"/>
        <w:shd w:val="clear" w:color="auto" w:fill="auto"/>
        <w:bidi w:val="0"/>
        <w:spacing w:before="0" w:after="100" w:line="269" w:lineRule="exact"/>
        <w:ind w:left="0" w:right="0" w:firstLine="0"/>
        <w:jc w:val="both"/>
      </w:pPr>
      <w:r>
        <w:rPr>
          <w:color w:val="000000"/>
          <w:spacing w:val="0"/>
          <w:w w:val="100"/>
          <w:position w:val="0"/>
        </w:rPr>
        <w:t>此次股权转让后，深圳市宝安区投资管理公司尚持有本公司股份为</w:t>
      </w:r>
      <w:r>
        <w:rPr>
          <w:rFonts w:ascii="Times New Roman" w:eastAsia="Times New Roman" w:hAnsi="Times New Roman" w:cs="Times New Roman"/>
          <w:color w:val="000000"/>
          <w:spacing w:val="0"/>
          <w:w w:val="100"/>
          <w:position w:val="0"/>
        </w:rPr>
        <w:t>37,329,007</w:t>
      </w:r>
      <w:r>
        <w:rPr>
          <w:color w:val="000000"/>
          <w:spacing w:val="0"/>
          <w:w w:val="100"/>
          <w:position w:val="0"/>
        </w:rPr>
        <w:t>股。</w:t>
      </w:r>
    </w:p>
    <w:p>
      <w:pPr>
        <w:pStyle w:val="Style32"/>
        <w:keepNext w:val="0"/>
        <w:keepLines w:val="0"/>
        <w:widowControl w:val="0"/>
        <w:shd w:val="clear" w:color="auto" w:fill="auto"/>
        <w:bidi w:val="0"/>
        <w:spacing w:before="0" w:after="100" w:line="274" w:lineRule="exact"/>
        <w:ind w:left="0" w:right="0" w:firstLine="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4</w:t>
      </w:r>
      <w:r>
        <w:rPr>
          <w:color w:val="000000"/>
          <w:spacing w:val="0"/>
          <w:w w:val="100"/>
          <w:position w:val="0"/>
        </w:rPr>
        <w:t>） 深圳市投资管理公司于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日以深投</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000]411</w:t>
      </w:r>
      <w:r>
        <w:rPr>
          <w:color w:val="000000"/>
          <w:spacing w:val="0"/>
          <w:w w:val="100"/>
          <w:position w:val="0"/>
        </w:rPr>
        <w:t>号批准，由深圳泰丰电子有限公司受让公司原股东一深圳 市国际信托投资有限责任公司持有的本公司法人股</w:t>
      </w:r>
      <w:r>
        <w:rPr>
          <w:rFonts w:ascii="Times New Roman" w:eastAsia="Times New Roman" w:hAnsi="Times New Roman" w:cs="Times New Roman"/>
          <w:color w:val="000000"/>
          <w:spacing w:val="0"/>
          <w:w w:val="100"/>
          <w:position w:val="0"/>
        </w:rPr>
        <w:t>57,560,789</w:t>
      </w:r>
      <w:r>
        <w:rPr>
          <w:color w:val="000000"/>
          <w:spacing w:val="0"/>
          <w:w w:val="100"/>
          <w:position w:val="0"/>
        </w:rPr>
        <w:t>股，因需政府其他部门批准，故未办理股权过户手续。</w:t>
      </w:r>
    </w:p>
    <w:p>
      <w:pPr>
        <w:pStyle w:val="Style32"/>
        <w:keepNext w:val="0"/>
        <w:keepLines w:val="0"/>
        <w:widowControl w:val="0"/>
        <w:shd w:val="clear" w:color="auto" w:fill="auto"/>
        <w:tabs>
          <w:tab w:pos="481" w:val="left"/>
        </w:tabs>
        <w:bidi w:val="0"/>
        <w:spacing w:before="0" w:after="100" w:line="274" w:lineRule="exact"/>
        <w:ind w:left="0" w:right="0" w:firstLine="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5</w:t>
      </w:r>
      <w:r>
        <w:rPr>
          <w:color w:val="000000"/>
          <w:spacing w:val="0"/>
          <w:w w:val="100"/>
          <w:position w:val="0"/>
        </w:rPr>
        <w:t>）</w:t>
        <w:tab/>
        <w:t>国务院国有资产监督管理委员会于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日以国资产权</w:t>
      </w:r>
      <w:r>
        <w:rPr>
          <w:rFonts w:ascii="Times New Roman" w:eastAsia="Times New Roman" w:hAnsi="Times New Roman" w:cs="Times New Roman"/>
          <w:color w:val="000000"/>
          <w:spacing w:val="0"/>
          <w:w w:val="100"/>
          <w:position w:val="0"/>
        </w:rPr>
        <w:t>[2006]106</w:t>
      </w:r>
      <w:r>
        <w:rPr>
          <w:color w:val="000000"/>
          <w:spacing w:val="0"/>
          <w:w w:val="100"/>
          <w:position w:val="0"/>
        </w:rPr>
        <w:t>号批准，由中国希格玛有限公司受让公司 原股东一深圳市国际信托投资有限责任公司持有的本公司国有股</w:t>
      </w:r>
      <w:r>
        <w:rPr>
          <w:rFonts w:ascii="Times New Roman" w:eastAsia="Times New Roman" w:hAnsi="Times New Roman" w:cs="Times New Roman"/>
          <w:color w:val="000000"/>
          <w:spacing w:val="0"/>
          <w:w w:val="100"/>
          <w:position w:val="0"/>
        </w:rPr>
        <w:t>91,661,280</w:t>
      </w:r>
      <w:r>
        <w:rPr>
          <w:color w:val="000000"/>
          <w:spacing w:val="0"/>
          <w:w w:val="100"/>
          <w:position w:val="0"/>
        </w:rPr>
        <w:t>股，并办妥股权过户手续。</w:t>
      </w:r>
    </w:p>
    <w:p>
      <w:pPr>
        <w:pStyle w:val="Style32"/>
        <w:keepNext w:val="0"/>
        <w:keepLines w:val="0"/>
        <w:widowControl w:val="0"/>
        <w:shd w:val="clear" w:color="auto" w:fill="auto"/>
        <w:bidi w:val="0"/>
        <w:spacing w:before="0" w:after="100" w:line="278" w:lineRule="exact"/>
        <w:ind w:left="0" w:right="0" w:firstLine="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6</w:t>
      </w:r>
      <w:r>
        <w:rPr>
          <w:color w:val="000000"/>
          <w:spacing w:val="0"/>
          <w:w w:val="100"/>
          <w:position w:val="0"/>
        </w:rPr>
        <w:t>） 由于深圳泰丰电子有限公司持有的本公司</w:t>
      </w:r>
      <w:r>
        <w:rPr>
          <w:rFonts w:ascii="Times New Roman" w:eastAsia="Times New Roman" w:hAnsi="Times New Roman" w:cs="Times New Roman"/>
          <w:color w:val="000000"/>
          <w:spacing w:val="0"/>
          <w:w w:val="100"/>
          <w:position w:val="0"/>
        </w:rPr>
        <w:t>24,891,152</w:t>
      </w:r>
      <w:r>
        <w:rPr>
          <w:color w:val="000000"/>
          <w:spacing w:val="0"/>
          <w:w w:val="100"/>
          <w:position w:val="0"/>
        </w:rPr>
        <w:t>股法人股被北京市第一中级人民法院于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日公开 拍卖。上海灵竹投资咨询有限公司、上海美佳商贸有限公司以联合竞拍方式各得</w:t>
      </w:r>
      <w:r>
        <w:rPr>
          <w:rFonts w:ascii="Times New Roman" w:eastAsia="Times New Roman" w:hAnsi="Times New Roman" w:cs="Times New Roman"/>
          <w:color w:val="000000"/>
          <w:spacing w:val="0"/>
          <w:w w:val="100"/>
          <w:position w:val="0"/>
        </w:rPr>
        <w:t>12,445,576</w:t>
      </w:r>
      <w:r>
        <w:rPr>
          <w:color w:val="000000"/>
          <w:spacing w:val="0"/>
          <w:w w:val="100"/>
          <w:position w:val="0"/>
        </w:rPr>
        <w:t>股，并于</w:t>
      </w:r>
      <w:r>
        <w:rPr>
          <w:rFonts w:ascii="Times New Roman" w:eastAsia="Times New Roman" w:hAnsi="Times New Roman" w:cs="Times New Roman"/>
          <w:color w:val="000000"/>
          <w:spacing w:val="0"/>
          <w:w w:val="100"/>
          <w:position w:val="0"/>
        </w:rPr>
        <w:t>2007</w:t>
      </w:r>
      <w:r>
        <w:rPr>
          <w:color w:val="000000"/>
          <w:spacing w:val="0"/>
          <w:w w:val="100"/>
          <w:position w:val="0"/>
        </w:rPr>
        <w:t>年办妥股权过户 手续。</w:t>
      </w:r>
    </w:p>
    <w:p>
      <w:pPr>
        <w:pStyle w:val="Style32"/>
        <w:keepNext w:val="0"/>
        <w:keepLines w:val="0"/>
        <w:widowControl w:val="0"/>
        <w:shd w:val="clear" w:color="auto" w:fill="auto"/>
        <w:tabs>
          <w:tab w:pos="486" w:val="left"/>
        </w:tabs>
        <w:bidi w:val="0"/>
        <w:spacing w:before="0" w:after="100" w:line="266" w:lineRule="exact"/>
        <w:ind w:left="0" w:right="0" w:firstLine="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7</w:t>
      </w:r>
      <w:r>
        <w:rPr>
          <w:color w:val="000000"/>
          <w:spacing w:val="0"/>
          <w:w w:val="100"/>
          <w:position w:val="0"/>
        </w:rPr>
        <w:t>）</w:t>
        <w:tab/>
        <w:t>由于深圳泰丰电子有限公司持有的本公司</w:t>
      </w:r>
      <w:r>
        <w:rPr>
          <w:rFonts w:ascii="Times New Roman" w:eastAsia="Times New Roman" w:hAnsi="Times New Roman" w:cs="Times New Roman"/>
          <w:color w:val="000000"/>
          <w:spacing w:val="0"/>
          <w:w w:val="100"/>
          <w:position w:val="0"/>
        </w:rPr>
        <w:t>6,000,000</w:t>
      </w:r>
      <w:r>
        <w:rPr>
          <w:color w:val="000000"/>
          <w:spacing w:val="0"/>
          <w:w w:val="100"/>
          <w:position w:val="0"/>
        </w:rPr>
        <w:t>股法人股被广东省河源市中级人民法院公开拍卖。竞买人杨跃烽、 郝琳、谢雯、张丽程以联合竞拍方式竞得。具体为：杨跃烽拥有</w:t>
      </w:r>
      <w:r>
        <w:rPr>
          <w:rFonts w:ascii="Times New Roman" w:eastAsia="Times New Roman" w:hAnsi="Times New Roman" w:cs="Times New Roman"/>
          <w:color w:val="000000"/>
          <w:spacing w:val="0"/>
          <w:w w:val="100"/>
          <w:position w:val="0"/>
        </w:rPr>
        <w:t>300</w:t>
      </w:r>
      <w:r>
        <w:rPr>
          <w:color w:val="000000"/>
          <w:spacing w:val="0"/>
          <w:w w:val="100"/>
          <w:position w:val="0"/>
        </w:rPr>
        <w:t>万股、郝琳拥有</w:t>
      </w:r>
      <w:r>
        <w:rPr>
          <w:rFonts w:ascii="Times New Roman" w:eastAsia="Times New Roman" w:hAnsi="Times New Roman" w:cs="Times New Roman"/>
          <w:color w:val="000000"/>
          <w:spacing w:val="0"/>
          <w:w w:val="100"/>
          <w:position w:val="0"/>
        </w:rPr>
        <w:t>100</w:t>
      </w:r>
      <w:r>
        <w:rPr>
          <w:color w:val="000000"/>
          <w:spacing w:val="0"/>
          <w:w w:val="100"/>
          <w:position w:val="0"/>
        </w:rPr>
        <w:t>万股、谢雯拥有</w:t>
      </w:r>
      <w:r>
        <w:rPr>
          <w:rFonts w:ascii="Times New Roman" w:eastAsia="Times New Roman" w:hAnsi="Times New Roman" w:cs="Times New Roman"/>
          <w:color w:val="000000"/>
          <w:spacing w:val="0"/>
          <w:w w:val="100"/>
          <w:position w:val="0"/>
        </w:rPr>
        <w:t>100</w:t>
      </w:r>
      <w:r>
        <w:rPr>
          <w:color w:val="000000"/>
          <w:spacing w:val="0"/>
          <w:w w:val="100"/>
          <w:position w:val="0"/>
        </w:rPr>
        <w:t>万股、张丽 程拥有</w:t>
      </w:r>
      <w:r>
        <w:rPr>
          <w:rFonts w:ascii="Times New Roman" w:eastAsia="Times New Roman" w:hAnsi="Times New Roman" w:cs="Times New Roman"/>
          <w:color w:val="000000"/>
          <w:spacing w:val="0"/>
          <w:w w:val="100"/>
          <w:position w:val="0"/>
        </w:rPr>
        <w:t>100</w:t>
      </w:r>
      <w:r>
        <w:rPr>
          <w:color w:val="000000"/>
          <w:spacing w:val="0"/>
          <w:w w:val="100"/>
          <w:position w:val="0"/>
        </w:rPr>
        <w:t>万股，并于</w:t>
      </w:r>
      <w:r>
        <w:rPr>
          <w:rFonts w:ascii="Times New Roman" w:eastAsia="Times New Roman" w:hAnsi="Times New Roman" w:cs="Times New Roman"/>
          <w:color w:val="000000"/>
          <w:spacing w:val="0"/>
          <w:w w:val="100"/>
          <w:position w:val="0"/>
        </w:rPr>
        <w:t>2008</w:t>
      </w:r>
      <w:r>
        <w:rPr>
          <w:color w:val="000000"/>
          <w:spacing w:val="0"/>
          <w:w w:val="100"/>
          <w:position w:val="0"/>
        </w:rPr>
        <w:t>年办妥股权过户手续。</w:t>
      </w:r>
    </w:p>
    <w:p>
      <w:pPr>
        <w:pStyle w:val="Style32"/>
        <w:keepNext w:val="0"/>
        <w:keepLines w:val="0"/>
        <w:widowControl w:val="0"/>
        <w:shd w:val="clear" w:color="auto" w:fill="auto"/>
        <w:tabs>
          <w:tab w:pos="481" w:val="left"/>
        </w:tabs>
        <w:bidi w:val="0"/>
        <w:spacing w:before="0" w:after="100" w:line="274" w:lineRule="exact"/>
        <w:ind w:left="0" w:right="0" w:firstLine="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日，深圳泰丰电子有限公司持有的公司</w:t>
      </w:r>
      <w:r>
        <w:rPr>
          <w:rFonts w:ascii="Times New Roman" w:eastAsia="Times New Roman" w:hAnsi="Times New Roman" w:cs="Times New Roman"/>
          <w:color w:val="000000"/>
          <w:spacing w:val="0"/>
          <w:w w:val="100"/>
          <w:position w:val="0"/>
        </w:rPr>
        <w:t>3050</w:t>
      </w:r>
      <w:r>
        <w:rPr>
          <w:color w:val="000000"/>
          <w:spacing w:val="0"/>
          <w:w w:val="100"/>
          <w:position w:val="0"/>
        </w:rPr>
        <w:t>万股股权被北京市第一中级人民法院公开拍卖，由重庆 润江基础设施投资有限公司竞得，并已办妥股权过户手续。</w:t>
      </w:r>
    </w:p>
    <w:p>
      <w:pPr>
        <w:pStyle w:val="Style32"/>
        <w:keepNext w:val="0"/>
        <w:keepLines w:val="0"/>
        <w:widowControl w:val="0"/>
        <w:shd w:val="clear" w:color="auto" w:fill="auto"/>
        <w:tabs>
          <w:tab w:pos="481" w:val="left"/>
        </w:tabs>
        <w:bidi w:val="0"/>
        <w:spacing w:before="0" w:after="100" w:line="270" w:lineRule="exact"/>
        <w:ind w:left="0" w:right="0" w:firstLine="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日，广东省高级人民法院以</w:t>
      </w:r>
      <w:r>
        <w:rPr>
          <w:rFonts w:ascii="Times New Roman" w:eastAsia="Times New Roman" w:hAnsi="Times New Roman" w:cs="Times New Roman"/>
          <w:color w:val="000000"/>
          <w:spacing w:val="0"/>
          <w:w w:val="100"/>
          <w:position w:val="0"/>
        </w:rPr>
        <w:t>（2013）</w:t>
      </w:r>
      <w:r>
        <w:rPr>
          <w:color w:val="000000"/>
          <w:spacing w:val="0"/>
          <w:w w:val="100"/>
          <w:position w:val="0"/>
        </w:rPr>
        <w:t>粤高法民二终第</w:t>
      </w:r>
      <w:r>
        <w:rPr>
          <w:rFonts w:ascii="Times New Roman" w:eastAsia="Times New Roman" w:hAnsi="Times New Roman" w:cs="Times New Roman"/>
          <w:color w:val="000000"/>
          <w:spacing w:val="0"/>
          <w:w w:val="100"/>
          <w:position w:val="0"/>
        </w:rPr>
        <w:t>41</w:t>
      </w:r>
      <w:r>
        <w:rPr>
          <w:color w:val="000000"/>
          <w:spacing w:val="0"/>
          <w:w w:val="100"/>
          <w:position w:val="0"/>
        </w:rPr>
        <w:t>号民事判决书确认华润深国投信托有限公司持有 的公司</w:t>
      </w:r>
      <w:r>
        <w:rPr>
          <w:rFonts w:ascii="Times New Roman" w:eastAsia="Times New Roman" w:hAnsi="Times New Roman" w:cs="Times New Roman"/>
          <w:color w:val="000000"/>
          <w:spacing w:val="0"/>
          <w:w w:val="100"/>
          <w:position w:val="0"/>
        </w:rPr>
        <w:t>17,901,671</w:t>
      </w:r>
      <w:r>
        <w:rPr>
          <w:color w:val="000000"/>
          <w:spacing w:val="0"/>
          <w:w w:val="100"/>
          <w:position w:val="0"/>
        </w:rPr>
        <w:t>股股权为深圳泰丰电子有限公司所有。</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日，深圳市中级人民法院裁定受理深圳泰丰电子有 限公司破产清算。</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日，中国证券登记结算有限责任公司深圳分公司出具《证券过户登记确认书》，将华润深 国投信托有限公司名下的公司</w:t>
      </w:r>
      <w:r>
        <w:rPr>
          <w:rFonts w:ascii="Times New Roman" w:eastAsia="Times New Roman" w:hAnsi="Times New Roman" w:cs="Times New Roman"/>
          <w:color w:val="000000"/>
          <w:spacing w:val="0"/>
          <w:w w:val="100"/>
          <w:position w:val="0"/>
        </w:rPr>
        <w:t>17,901,671</w:t>
      </w:r>
      <w:r>
        <w:rPr>
          <w:color w:val="000000"/>
          <w:spacing w:val="0"/>
          <w:w w:val="100"/>
          <w:position w:val="0"/>
        </w:rPr>
        <w:t>股过户至管理人开立的证券账户中，户名为“深圳泰丰电子有限公司破产企业财产 处置专用账户七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月，将股权分置改革后遗留的限售流通股</w:t>
      </w:r>
      <w:r>
        <w:rPr>
          <w:rFonts w:ascii="Times New Roman" w:eastAsia="Times New Roman" w:hAnsi="Times New Roman" w:cs="Times New Roman"/>
          <w:color w:val="000000"/>
          <w:spacing w:val="0"/>
          <w:w w:val="100"/>
          <w:position w:val="0"/>
        </w:rPr>
        <w:t>17,901,671</w:t>
      </w:r>
      <w:r>
        <w:rPr>
          <w:color w:val="000000"/>
          <w:spacing w:val="0"/>
          <w:w w:val="100"/>
          <w:position w:val="0"/>
        </w:rPr>
        <w:t>股依法办理解除限售，同年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日上市 流通。</w:t>
      </w:r>
    </w:p>
    <w:p>
      <w:pPr>
        <w:pStyle w:val="Style32"/>
        <w:keepNext w:val="0"/>
        <w:keepLines w:val="0"/>
        <w:widowControl w:val="0"/>
        <w:numPr>
          <w:ilvl w:val="0"/>
          <w:numId w:val="17"/>
        </w:numPr>
        <w:shd w:val="clear" w:color="auto" w:fill="auto"/>
        <w:tabs>
          <w:tab w:pos="306" w:val="left"/>
        </w:tabs>
        <w:bidi w:val="0"/>
        <w:spacing w:before="0" w:after="100" w:line="268" w:lineRule="exact"/>
        <w:ind w:left="0" w:right="0" w:firstLine="0"/>
        <w:jc w:val="both"/>
      </w:pPr>
      <w:bookmarkStart w:id="733" w:name="bookmark733"/>
      <w:bookmarkEnd w:id="733"/>
      <w:r>
        <w:rPr>
          <w:color w:val="000000"/>
          <w:spacing w:val="0"/>
          <w:w w:val="100"/>
          <w:position w:val="0"/>
        </w:rPr>
        <w:t>股权分置改革情况</w:t>
      </w:r>
    </w:p>
    <w:p>
      <w:pPr>
        <w:pStyle w:val="Style32"/>
        <w:keepNext w:val="0"/>
        <w:keepLines w:val="0"/>
        <w:widowControl w:val="0"/>
        <w:shd w:val="clear" w:color="auto" w:fill="auto"/>
        <w:bidi w:val="0"/>
        <w:spacing w:before="0" w:after="100" w:line="268"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日召开股权分置改革相关股东会议，审议通过《深圳市深信泰丰（集团）股份有限公司股权分置 改革方案》。根据股权分置改革方案，公司申请增加注册资本人民币</w:t>
      </w:r>
      <w:r>
        <w:rPr>
          <w:rFonts w:ascii="Times New Roman" w:eastAsia="Times New Roman" w:hAnsi="Times New Roman" w:cs="Times New Roman"/>
          <w:color w:val="000000"/>
          <w:spacing w:val="0"/>
          <w:w w:val="100"/>
          <w:position w:val="0"/>
        </w:rPr>
        <w:t>46,834,131.00</w:t>
      </w:r>
      <w:r>
        <w:rPr>
          <w:color w:val="000000"/>
          <w:spacing w:val="0"/>
          <w:w w:val="100"/>
          <w:position w:val="0"/>
        </w:rPr>
        <w:t>元，以截止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日的可流通 股本</w:t>
      </w:r>
      <w:r>
        <w:rPr>
          <w:rFonts w:ascii="Times New Roman" w:eastAsia="Times New Roman" w:hAnsi="Times New Roman" w:cs="Times New Roman"/>
          <w:color w:val="000000"/>
          <w:spacing w:val="0"/>
          <w:w w:val="100"/>
          <w:position w:val="0"/>
        </w:rPr>
        <w:t>84,658,866</w:t>
      </w:r>
      <w:r>
        <w:rPr>
          <w:color w:val="000000"/>
          <w:spacing w:val="0"/>
          <w:w w:val="100"/>
          <w:position w:val="0"/>
        </w:rPr>
        <w:t>股为基数，用资本公积金向截止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日在册的全体流通股股东转增股本，流通股股东获得每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5.5321</w:t>
      </w:r>
      <w:r>
        <w:rPr>
          <w:color w:val="000000"/>
          <w:spacing w:val="0"/>
          <w:w w:val="100"/>
          <w:position w:val="0"/>
        </w:rPr>
        <w:t>股的股份，即</w:t>
      </w:r>
      <w:r>
        <w:rPr>
          <w:rFonts w:ascii="Times New Roman" w:eastAsia="Times New Roman" w:hAnsi="Times New Roman" w:cs="Times New Roman"/>
          <w:color w:val="000000"/>
          <w:spacing w:val="0"/>
          <w:w w:val="100"/>
          <w:position w:val="0"/>
        </w:rPr>
        <w:t>46,834,131</w:t>
      </w:r>
      <w:r>
        <w:rPr>
          <w:color w:val="000000"/>
          <w:spacing w:val="0"/>
          <w:w w:val="100"/>
          <w:position w:val="0"/>
        </w:rPr>
        <w:t>股，面值每股人民币</w:t>
      </w:r>
      <w:r>
        <w:rPr>
          <w:rFonts w:ascii="Times New Roman" w:eastAsia="Times New Roman" w:hAnsi="Times New Roman" w:cs="Times New Roman"/>
          <w:color w:val="000000"/>
          <w:spacing w:val="0"/>
          <w:w w:val="100"/>
          <w:position w:val="0"/>
        </w:rPr>
        <w:t>1</w:t>
      </w:r>
      <w:r>
        <w:rPr>
          <w:color w:val="000000"/>
          <w:spacing w:val="0"/>
          <w:w w:val="100"/>
          <w:position w:val="0"/>
        </w:rPr>
        <w:t>元；上述对价水平换算为非流通股股东送股方案，相当 于流通股股东每</w:t>
      </w:r>
      <w:r>
        <w:rPr>
          <w:rFonts w:ascii="Times New Roman" w:eastAsia="Times New Roman" w:hAnsi="Times New Roman" w:cs="Times New Roman"/>
          <w:color w:val="000000"/>
          <w:spacing w:val="0"/>
          <w:w w:val="100"/>
          <w:position w:val="0"/>
        </w:rPr>
        <w:t>10</w:t>
      </w:r>
      <w:r>
        <w:rPr>
          <w:color w:val="000000"/>
          <w:spacing w:val="0"/>
          <w:w w:val="100"/>
          <w:position w:val="0"/>
        </w:rPr>
        <w:t>股获送</w:t>
      </w:r>
      <w:r>
        <w:rPr>
          <w:rFonts w:ascii="Times New Roman" w:eastAsia="Times New Roman" w:hAnsi="Times New Roman" w:cs="Times New Roman"/>
          <w:color w:val="000000"/>
          <w:spacing w:val="0"/>
          <w:w w:val="100"/>
          <w:position w:val="0"/>
        </w:rPr>
        <w:t>3.5</w:t>
      </w:r>
      <w:r>
        <w:rPr>
          <w:color w:val="000000"/>
          <w:spacing w:val="0"/>
          <w:w w:val="100"/>
          <w:position w:val="0"/>
        </w:rPr>
        <w:t>股，公司总股本增加至</w:t>
      </w:r>
      <w:r>
        <w:rPr>
          <w:rFonts w:ascii="Times New Roman" w:eastAsia="Times New Roman" w:hAnsi="Times New Roman" w:cs="Times New Roman"/>
          <w:color w:val="000000"/>
          <w:spacing w:val="0"/>
          <w:w w:val="100"/>
          <w:position w:val="0"/>
        </w:rPr>
        <w:t>357,973,531</w:t>
      </w:r>
      <w:r>
        <w:rPr>
          <w:color w:val="000000"/>
          <w:spacing w:val="0"/>
          <w:w w:val="100"/>
          <w:position w:val="0"/>
        </w:rPr>
        <w:t>股。转增完成后，公司的注册资本增加人民币</w:t>
      </w:r>
      <w:r>
        <w:rPr>
          <w:rFonts w:ascii="Times New Roman" w:eastAsia="Times New Roman" w:hAnsi="Times New Roman" w:cs="Times New Roman"/>
          <w:color w:val="000000"/>
          <w:spacing w:val="0"/>
          <w:w w:val="100"/>
          <w:position w:val="0"/>
        </w:rPr>
        <w:t xml:space="preserve">46,834,131.00 </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357,973,531.00</w:t>
      </w:r>
      <w:r>
        <w:rPr>
          <w:color w:val="000000"/>
          <w:spacing w:val="0"/>
          <w:w w:val="100"/>
          <w:position w:val="0"/>
        </w:rPr>
        <w:t>元。</w:t>
      </w:r>
    </w:p>
    <w:p>
      <w:pPr>
        <w:pStyle w:val="Style32"/>
        <w:keepNext w:val="0"/>
        <w:keepLines w:val="0"/>
        <w:widowControl w:val="0"/>
        <w:numPr>
          <w:ilvl w:val="0"/>
          <w:numId w:val="17"/>
        </w:numPr>
        <w:shd w:val="clear" w:color="auto" w:fill="auto"/>
        <w:tabs>
          <w:tab w:pos="306" w:val="left"/>
        </w:tabs>
        <w:bidi w:val="0"/>
        <w:spacing w:before="0" w:after="100" w:line="268" w:lineRule="exact"/>
        <w:ind w:left="0" w:right="0" w:firstLine="0"/>
        <w:jc w:val="both"/>
      </w:pPr>
      <w:bookmarkStart w:id="734" w:name="bookmark734"/>
      <w:bookmarkEnd w:id="734"/>
      <w:r>
        <w:rPr>
          <w:color w:val="000000"/>
          <w:spacing w:val="0"/>
          <w:w w:val="100"/>
          <w:position w:val="0"/>
        </w:rPr>
        <w:t>公司重整事项中股东权益调整事项：</w:t>
      </w:r>
    </w:p>
    <w:p>
      <w:pPr>
        <w:pStyle w:val="Style32"/>
        <w:keepNext w:val="0"/>
        <w:keepLines w:val="0"/>
        <w:widowControl w:val="0"/>
        <w:shd w:val="clear" w:color="auto" w:fill="auto"/>
        <w:bidi w:val="0"/>
        <w:spacing w:before="0" w:after="180" w:line="269"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年，根据深圳市中级人民法院批准的重整计划，公司全体限售流通股股东，即中国希格玛有限公司、深圳市宝安区投 资管理公司、重庆润江基础设施投资有限公司、深圳国际信托投资有限责任公司各无偿让渡所持有的限售流通股的</w:t>
      </w:r>
      <w:r>
        <w:rPr>
          <w:rFonts w:ascii="Times New Roman" w:eastAsia="Times New Roman" w:hAnsi="Times New Roman" w:cs="Times New Roman"/>
          <w:color w:val="000000"/>
          <w:spacing w:val="0"/>
          <w:w w:val="100"/>
          <w:position w:val="0"/>
        </w:rPr>
        <w:t>15%</w:t>
      </w:r>
      <w:r>
        <w:rPr>
          <w:color w:val="000000"/>
          <w:spacing w:val="0"/>
          <w:w w:val="100"/>
          <w:position w:val="0"/>
        </w:rPr>
        <w:t>，合 计让渡限售流通股</w:t>
      </w:r>
      <w:r>
        <w:rPr>
          <w:rFonts w:ascii="Times New Roman" w:eastAsia="Times New Roman" w:hAnsi="Times New Roman" w:cs="Times New Roman"/>
          <w:color w:val="000000"/>
          <w:spacing w:val="0"/>
          <w:w w:val="100"/>
          <w:position w:val="0"/>
        </w:rPr>
        <w:t>25,415,516</w:t>
      </w:r>
      <w:r>
        <w:rPr>
          <w:color w:val="000000"/>
          <w:spacing w:val="0"/>
          <w:w w:val="100"/>
          <w:position w:val="0"/>
        </w:rPr>
        <w:t>股；全体流通股股东各无偿让渡所持有的流通股的</w:t>
      </w:r>
      <w:r>
        <w:rPr>
          <w:rFonts w:ascii="Times New Roman" w:eastAsia="Times New Roman" w:hAnsi="Times New Roman" w:cs="Times New Roman"/>
          <w:color w:val="000000"/>
          <w:spacing w:val="0"/>
          <w:w w:val="100"/>
          <w:position w:val="0"/>
        </w:rPr>
        <w:t>10%</w:t>
      </w:r>
      <w:r>
        <w:rPr>
          <w:color w:val="000000"/>
          <w:spacing w:val="0"/>
          <w:w w:val="100"/>
          <w:position w:val="0"/>
        </w:rPr>
        <w:t>，合计让渡流通股</w:t>
      </w:r>
      <w:r>
        <w:rPr>
          <w:rFonts w:ascii="Times New Roman" w:eastAsia="Times New Roman" w:hAnsi="Times New Roman" w:cs="Times New Roman"/>
          <w:color w:val="000000"/>
          <w:spacing w:val="0"/>
          <w:w w:val="100"/>
          <w:position w:val="0"/>
        </w:rPr>
        <w:t>18,849,303</w:t>
      </w:r>
      <w:r>
        <w:rPr>
          <w:color w:val="000000"/>
          <w:spacing w:val="0"/>
          <w:w w:val="100"/>
          <w:position w:val="0"/>
        </w:rPr>
        <w:t>股。以 上共计让渡公司股票</w:t>
      </w:r>
      <w:r>
        <w:rPr>
          <w:rFonts w:ascii="Times New Roman" w:eastAsia="Times New Roman" w:hAnsi="Times New Roman" w:cs="Times New Roman"/>
          <w:color w:val="000000"/>
          <w:spacing w:val="0"/>
          <w:w w:val="100"/>
          <w:position w:val="0"/>
        </w:rPr>
        <w:t>44,264,819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12.37%</w:t>
      </w:r>
      <w:r>
        <w:rPr>
          <w:color w:val="000000"/>
          <w:spacing w:val="0"/>
          <w:w w:val="100"/>
          <w:position w:val="0"/>
        </w:rPr>
        <w:t>。该等股票用于支付公司重整费用和共益债务、清偿普通债权、 保全主要子公司经营性资产。</w:t>
      </w:r>
      <w:r>
        <w:rPr>
          <w:rFonts w:ascii="Times New Roman" w:eastAsia="Times New Roman" w:hAnsi="Times New Roman" w:cs="Times New Roman"/>
          <w:color w:val="000000"/>
          <w:spacing w:val="0"/>
          <w:w w:val="100"/>
          <w:position w:val="0"/>
        </w:rPr>
        <w:t>2010</w:t>
      </w:r>
      <w:r>
        <w:rPr>
          <w:color w:val="000000"/>
          <w:spacing w:val="0"/>
          <w:w w:val="100"/>
          <w:position w:val="0"/>
        </w:rPr>
        <w:t>年度重整完后，本公司注册资本仍为人民币</w:t>
      </w:r>
      <w:r>
        <w:rPr>
          <w:rFonts w:ascii="Times New Roman" w:eastAsia="Times New Roman" w:hAnsi="Times New Roman" w:cs="Times New Roman"/>
          <w:color w:val="000000"/>
          <w:spacing w:val="0"/>
          <w:w w:val="100"/>
          <w:position w:val="0"/>
        </w:rPr>
        <w:t>357,973,531.00</w:t>
      </w:r>
      <w:r>
        <w:rPr>
          <w:color w:val="000000"/>
          <w:spacing w:val="0"/>
          <w:w w:val="100"/>
          <w:position w:val="0"/>
        </w:rPr>
        <w:t>元。</w:t>
      </w:r>
    </w:p>
    <w:p>
      <w:pPr>
        <w:pStyle w:val="Style32"/>
        <w:keepNext w:val="0"/>
        <w:keepLines w:val="0"/>
        <w:widowControl w:val="0"/>
        <w:numPr>
          <w:ilvl w:val="0"/>
          <w:numId w:val="17"/>
        </w:numPr>
        <w:shd w:val="clear" w:color="auto" w:fill="auto"/>
        <w:tabs>
          <w:tab w:pos="306" w:val="left"/>
        </w:tabs>
        <w:bidi w:val="0"/>
        <w:spacing w:before="0" w:after="100" w:line="310" w:lineRule="auto"/>
        <w:ind w:left="0" w:right="0" w:firstLine="0"/>
        <w:jc w:val="both"/>
      </w:pPr>
      <w:bookmarkStart w:id="735" w:name="bookmark735"/>
      <w:bookmarkEnd w:id="735"/>
      <w:r>
        <w:rPr>
          <w:color w:val="000000"/>
          <w:spacing w:val="0"/>
          <w:w w:val="100"/>
          <w:position w:val="0"/>
        </w:rPr>
        <w:t>公司重大资产重组事项：</w:t>
      </w:r>
    </w:p>
    <w:p>
      <w:pPr>
        <w:pStyle w:val="Style32"/>
        <w:keepNext w:val="0"/>
        <w:keepLines w:val="0"/>
        <w:widowControl w:val="0"/>
        <w:shd w:val="clear" w:color="auto" w:fill="auto"/>
        <w:tabs>
          <w:tab w:pos="385" w:val="left"/>
        </w:tabs>
        <w:bidi w:val="0"/>
        <w:spacing w:before="0" w:after="100" w:line="268" w:lineRule="exact"/>
        <w:ind w:left="0" w:right="0" w:firstLine="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1</w:t>
      </w:r>
      <w:r>
        <w:rPr>
          <w:color w:val="000000"/>
          <w:spacing w:val="0"/>
          <w:w w:val="100"/>
          <w:position w:val="0"/>
        </w:rPr>
        <w:t>）</w:t>
        <w:tab/>
        <w:t>发行股份购买资产</w:t>
      </w:r>
    </w:p>
    <w:p>
      <w:pPr>
        <w:pStyle w:val="Style32"/>
        <w:keepNext w:val="0"/>
        <w:keepLines w:val="0"/>
        <w:widowControl w:val="0"/>
        <w:shd w:val="clear" w:color="auto" w:fill="auto"/>
        <w:bidi w:val="0"/>
        <w:spacing w:before="0" w:after="100" w:line="27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日，本公司与神州数码控股有限公司（以下简称“神州控股”）及其全资子公司神州数码有限公司（以下简称 “神码有限”）签订股权转让协议，本公司通过向特定对象发行股份募集资金及自筹资金的方式受让重组后的神码有限的全 资子公司神州数码（中国）有限公司（以下简称''神码中国”）、上海神州数码有限公司（以下简称"神码上海”）及广州神 州数码信息科技有限公司（以下简称“神码广州信息”，神码中国、神码上海及神码广州信息合称为“标的公司”）的全部 股权。</w:t>
      </w:r>
    </w:p>
    <w:p>
      <w:pPr>
        <w:pStyle w:val="Style32"/>
        <w:keepNext w:val="0"/>
        <w:keepLines w:val="0"/>
        <w:widowControl w:val="0"/>
        <w:shd w:val="clear" w:color="auto" w:fill="auto"/>
        <w:bidi w:val="0"/>
        <w:spacing w:before="0" w:after="100" w:line="268"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年第一次临时股东大会决议，并经中国证券监督管理委员会“证监许可</w:t>
      </w:r>
      <w:r>
        <w:rPr>
          <w:rFonts w:ascii="Times New Roman" w:eastAsia="Times New Roman" w:hAnsi="Times New Roman" w:cs="Times New Roman"/>
          <w:color w:val="000000"/>
          <w:spacing w:val="0"/>
          <w:w w:val="100"/>
          <w:position w:val="0"/>
        </w:rPr>
        <w:t>[2015]2952</w:t>
      </w:r>
      <w:r>
        <w:rPr>
          <w:color w:val="000000"/>
          <w:spacing w:val="0"/>
          <w:w w:val="100"/>
          <w:position w:val="0"/>
        </w:rPr>
        <w:t>号”文核准，本公司于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日启动向郭为发行</w:t>
      </w:r>
      <w:r>
        <w:rPr>
          <w:rFonts w:ascii="Times New Roman" w:eastAsia="Times New Roman" w:hAnsi="Times New Roman" w:cs="Times New Roman"/>
          <w:color w:val="000000"/>
          <w:spacing w:val="0"/>
          <w:w w:val="100"/>
          <w:position w:val="0"/>
        </w:rPr>
        <w:t>154,777,803</w:t>
      </w:r>
      <w:r>
        <w:rPr>
          <w:color w:val="000000"/>
          <w:spacing w:val="0"/>
          <w:w w:val="100"/>
          <w:position w:val="0"/>
        </w:rPr>
        <w:t>股、向王晓岩发行</w:t>
      </w:r>
      <w:r>
        <w:rPr>
          <w:rFonts w:ascii="Times New Roman" w:eastAsia="Times New Roman" w:hAnsi="Times New Roman" w:cs="Times New Roman"/>
          <w:color w:val="000000"/>
          <w:spacing w:val="0"/>
          <w:w w:val="100"/>
          <w:position w:val="0"/>
        </w:rPr>
        <w:t>64,603,000</w:t>
      </w:r>
      <w:r>
        <w:rPr>
          <w:color w:val="000000"/>
          <w:spacing w:val="0"/>
          <w:w w:val="100"/>
          <w:position w:val="0"/>
        </w:rPr>
        <w:t>股、向王廷月发行</w:t>
      </w:r>
      <w:r>
        <w:rPr>
          <w:rFonts w:ascii="Times New Roman" w:eastAsia="Times New Roman" w:hAnsi="Times New Roman" w:cs="Times New Roman"/>
          <w:color w:val="000000"/>
          <w:spacing w:val="0"/>
          <w:w w:val="100"/>
          <w:position w:val="0"/>
        </w:rPr>
        <w:t>26,917,900</w:t>
      </w:r>
      <w:r>
        <w:rPr>
          <w:color w:val="000000"/>
          <w:spacing w:val="0"/>
          <w:w w:val="100"/>
          <w:position w:val="0"/>
        </w:rPr>
        <w:t xml:space="preserve">股、向钱学宁发行 </w:t>
      </w:r>
      <w:r>
        <w:rPr>
          <w:rFonts w:ascii="Times New Roman" w:eastAsia="Times New Roman" w:hAnsi="Times New Roman" w:cs="Times New Roman"/>
          <w:color w:val="000000"/>
          <w:spacing w:val="0"/>
          <w:w w:val="100"/>
          <w:position w:val="0"/>
        </w:rPr>
        <w:t>13,459,000</w:t>
      </w:r>
      <w:r>
        <w:rPr>
          <w:color w:val="000000"/>
          <w:spacing w:val="0"/>
          <w:w w:val="100"/>
          <w:position w:val="0"/>
        </w:rPr>
        <w:t>股、向张明发行</w:t>
      </w:r>
      <w:r>
        <w:rPr>
          <w:rFonts w:ascii="Times New Roman" w:eastAsia="Times New Roman" w:hAnsi="Times New Roman" w:cs="Times New Roman"/>
          <w:color w:val="000000"/>
          <w:spacing w:val="0"/>
          <w:w w:val="100"/>
          <w:position w:val="0"/>
        </w:rPr>
        <w:t>6,729,500</w:t>
      </w:r>
      <w:r>
        <w:rPr>
          <w:color w:val="000000"/>
          <w:spacing w:val="0"/>
          <w:w w:val="100"/>
          <w:position w:val="0"/>
        </w:rPr>
        <w:t>股、向中信建投基金管理有限公司发行</w:t>
      </w:r>
      <w:r>
        <w:rPr>
          <w:rFonts w:ascii="Times New Roman" w:eastAsia="Times New Roman" w:hAnsi="Times New Roman" w:cs="Times New Roman"/>
          <w:color w:val="000000"/>
          <w:spacing w:val="0"/>
          <w:w w:val="100"/>
          <w:position w:val="0"/>
        </w:rPr>
        <w:t>29,609,700</w:t>
      </w:r>
      <w:r>
        <w:rPr>
          <w:color w:val="000000"/>
          <w:spacing w:val="0"/>
          <w:w w:val="100"/>
          <w:position w:val="0"/>
        </w:rPr>
        <w:t>股股份购买标的公司全部股权。本 次实际增发人民币普通股</w:t>
      </w:r>
      <w:r>
        <w:rPr>
          <w:rFonts w:ascii="Times New Roman" w:eastAsia="Times New Roman" w:hAnsi="Times New Roman" w:cs="Times New Roman"/>
          <w:color w:val="000000"/>
          <w:spacing w:val="0"/>
          <w:w w:val="100"/>
          <w:position w:val="0"/>
        </w:rPr>
        <w:t>296,096,903</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元，增发价格为人民币</w:t>
      </w:r>
      <w:r>
        <w:rPr>
          <w:rFonts w:ascii="Times New Roman" w:eastAsia="Times New Roman" w:hAnsi="Times New Roman" w:cs="Times New Roman"/>
          <w:color w:val="000000"/>
          <w:spacing w:val="0"/>
          <w:w w:val="100"/>
          <w:position w:val="0"/>
        </w:rPr>
        <w:t>7.43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 币</w:t>
      </w:r>
      <w:r>
        <w:rPr>
          <w:rFonts w:ascii="Times New Roman" w:eastAsia="Times New Roman" w:hAnsi="Times New Roman" w:cs="Times New Roman"/>
          <w:color w:val="000000"/>
          <w:spacing w:val="0"/>
          <w:w w:val="100"/>
          <w:position w:val="0"/>
        </w:rPr>
        <w:t>2,199,999,989.29</w:t>
      </w:r>
      <w:r>
        <w:rPr>
          <w:color w:val="000000"/>
          <w:spacing w:val="0"/>
          <w:w w:val="100"/>
          <w:position w:val="0"/>
        </w:rPr>
        <w:t>元，扣除发行费用后募集资金净额为人民币</w:t>
      </w:r>
      <w:r>
        <w:rPr>
          <w:rFonts w:ascii="Times New Roman" w:eastAsia="Times New Roman" w:hAnsi="Times New Roman" w:cs="Times New Roman"/>
          <w:color w:val="000000"/>
          <w:spacing w:val="0"/>
          <w:w w:val="100"/>
          <w:position w:val="0"/>
        </w:rPr>
        <w:t>2,179,799,989.29</w:t>
      </w:r>
      <w:r>
        <w:rPr>
          <w:color w:val="000000"/>
          <w:spacing w:val="0"/>
          <w:w w:val="100"/>
          <w:position w:val="0"/>
        </w:rPr>
        <w:t>元。本次非公开发行后，本公司注册资本变 更为</w:t>
      </w:r>
      <w:r>
        <w:rPr>
          <w:rFonts w:ascii="Times New Roman" w:eastAsia="Times New Roman" w:hAnsi="Times New Roman" w:cs="Times New Roman"/>
          <w:color w:val="000000"/>
          <w:spacing w:val="0"/>
          <w:w w:val="100"/>
          <w:position w:val="0"/>
        </w:rPr>
        <w:t>654,070,434.00</w:t>
      </w:r>
      <w:r>
        <w:rPr>
          <w:color w:val="000000"/>
          <w:spacing w:val="0"/>
          <w:w w:val="100"/>
          <w:position w:val="0"/>
        </w:rPr>
        <w:t>元，郭为成为本公司实际控制人。</w:t>
      </w:r>
    </w:p>
    <w:p>
      <w:pPr>
        <w:pStyle w:val="Style32"/>
        <w:keepNext w:val="0"/>
        <w:keepLines w:val="0"/>
        <w:widowControl w:val="0"/>
        <w:shd w:val="clear" w:color="auto" w:fill="auto"/>
        <w:tabs>
          <w:tab w:pos="385" w:val="left"/>
        </w:tabs>
        <w:bidi w:val="0"/>
        <w:spacing w:before="0" w:after="100" w:line="268" w:lineRule="exact"/>
        <w:ind w:left="0" w:right="0" w:firstLine="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2</w:t>
      </w:r>
      <w:r>
        <w:rPr>
          <w:color w:val="000000"/>
          <w:spacing w:val="0"/>
          <w:w w:val="100"/>
          <w:position w:val="0"/>
        </w:rPr>
        <w:t>）</w:t>
        <w:tab/>
        <w:t>出售重大资产</w:t>
      </w:r>
    </w:p>
    <w:p>
      <w:pPr>
        <w:pStyle w:val="Style32"/>
        <w:keepNext w:val="0"/>
        <w:keepLines w:val="0"/>
        <w:widowControl w:val="0"/>
        <w:shd w:val="clear" w:color="auto" w:fill="auto"/>
        <w:bidi w:val="0"/>
        <w:spacing w:before="0" w:after="100" w:line="26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日，本公司与中国希格玛有限公司（以下简称''希格玛”）签订重大资产出售协议，本公司将持有的深圳市 深信西部房地产有限公司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股权、深圳市泰丰科技有限公司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股权、深圳市华宝（集团）饲料有限公司</w:t>
      </w:r>
      <w:r>
        <w:rPr>
          <w:rFonts w:ascii="Times New Roman" w:eastAsia="Times New Roman" w:hAnsi="Times New Roman" w:cs="Times New Roman"/>
          <w:color w:val="000000"/>
          <w:spacing w:val="0"/>
          <w:w w:val="100"/>
          <w:position w:val="0"/>
        </w:rPr>
        <w:t>100%</w:t>
      </w:r>
      <w:r>
        <w:rPr>
          <w:color w:val="000000"/>
          <w:spacing w:val="0"/>
          <w:w w:val="100"/>
          <w:position w:val="0"/>
        </w:rPr>
        <w:t>股权、 深圳市深信泰丰投资发展有限公司</w:t>
      </w:r>
      <w:r>
        <w:rPr>
          <w:rFonts w:ascii="Times New Roman" w:eastAsia="Times New Roman" w:hAnsi="Times New Roman" w:cs="Times New Roman"/>
          <w:color w:val="000000"/>
          <w:spacing w:val="0"/>
          <w:w w:val="100"/>
          <w:position w:val="0"/>
        </w:rPr>
        <w:t>90%</w:t>
      </w:r>
      <w:r>
        <w:rPr>
          <w:color w:val="000000"/>
          <w:spacing w:val="0"/>
          <w:w w:val="100"/>
          <w:position w:val="0"/>
        </w:rPr>
        <w:t>股权、深圳市龙岗区华宝经济发展有限公司</w:t>
      </w:r>
      <w:r>
        <w:rPr>
          <w:rFonts w:ascii="Times New Roman" w:eastAsia="Times New Roman" w:hAnsi="Times New Roman" w:cs="Times New Roman"/>
          <w:color w:val="000000"/>
          <w:spacing w:val="0"/>
          <w:w w:val="100"/>
          <w:position w:val="0"/>
        </w:rPr>
        <w:t>90%</w:t>
      </w:r>
      <w:r>
        <w:rPr>
          <w:color w:val="000000"/>
          <w:spacing w:val="0"/>
          <w:w w:val="100"/>
          <w:position w:val="0"/>
        </w:rPr>
        <w:t>股权以</w:t>
      </w:r>
      <w:r>
        <w:rPr>
          <w:rFonts w:ascii="Times New Roman" w:eastAsia="Times New Roman" w:hAnsi="Times New Roman" w:cs="Times New Roman"/>
          <w:color w:val="000000"/>
          <w:spacing w:val="0"/>
          <w:w w:val="100"/>
          <w:position w:val="0"/>
        </w:rPr>
        <w:t>160,801</w:t>
      </w:r>
      <w:r>
        <w:rPr>
          <w:color w:val="000000"/>
          <w:spacing w:val="0"/>
          <w:w w:val="100"/>
          <w:position w:val="0"/>
        </w:rPr>
        <w:t>千元的对价转让给希 格玛。上述公司已于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日办妥工商变更登记，本公司已于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日收到上述转让价款。</w:t>
      </w:r>
    </w:p>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本公司主要经营范围为：计算机硬件及配套零件的研究、开发；网络产品、多媒体产品、电子信息产品及通讯产品、办公自 动化设备、仪器仪表、电器及印刷照排设备、计算机应用系统的安装和维修；自产产品的技术咨询、技术服务、技术转让（法 律、行政法规、国务院决定禁止的项目除外，限制的项目须取得许可后方可经营）；经营进出口业务（法律、行政法规、国 务院决定禁止的项目除外，限制的项目须取得许可后方可经营）；计算机硬件、软件及外围设施的代理销售；销售自产产品</w:t>
      </w:r>
    </w:p>
    <w:p>
      <w:pPr>
        <w:pStyle w:val="Style32"/>
        <w:keepNext w:val="0"/>
        <w:keepLines w:val="0"/>
        <w:widowControl w:val="0"/>
        <w:shd w:val="clear" w:color="auto" w:fill="auto"/>
        <w:bidi w:val="0"/>
        <w:spacing w:before="0" w:after="100" w:line="270" w:lineRule="exact"/>
        <w:ind w:left="0" w:right="0" w:firstLine="0"/>
        <w:jc w:val="both"/>
      </w:pPr>
      <w:r>
        <w:rPr>
          <w:color w:val="000000"/>
          <w:spacing w:val="0"/>
          <w:w w:val="100"/>
          <w:position w:val="0"/>
        </w:rPr>
        <w:t>（法律、行政法规、国务院决定禁止的项目除外，限制的项目须取得许可后方可经营）；国内贸易（不含专营、专卖、专控 商品）。</w:t>
      </w:r>
    </w:p>
    <w:p>
      <w:pPr>
        <w:pStyle w:val="Style32"/>
        <w:keepNext w:val="0"/>
        <w:keepLines w:val="0"/>
        <w:widowControl w:val="0"/>
        <w:shd w:val="clear" w:color="auto" w:fill="auto"/>
        <w:bidi w:val="0"/>
        <w:spacing w:before="0" w:after="100" w:line="268" w:lineRule="exact"/>
        <w:ind w:left="0" w:right="0" w:firstLine="440"/>
        <w:jc w:val="left"/>
      </w:pPr>
      <w:r>
        <w:rPr>
          <w:color w:val="000000"/>
          <w:spacing w:val="0"/>
          <w:w w:val="100"/>
          <w:position w:val="0"/>
        </w:rPr>
        <w:t>合并财务报表范围</w:t>
      </w:r>
    </w:p>
    <w:p>
      <w:pPr>
        <w:pStyle w:val="Style32"/>
        <w:keepNext w:val="0"/>
        <w:keepLines w:val="0"/>
        <w:widowControl w:val="0"/>
        <w:shd w:val="clear" w:color="auto" w:fill="auto"/>
        <w:bidi w:val="0"/>
        <w:spacing w:before="0" w:after="100" w:line="264" w:lineRule="exact"/>
        <w:ind w:left="0" w:right="0" w:firstLine="0"/>
        <w:jc w:val="both"/>
      </w:pPr>
      <w:r>
        <w:rPr>
          <w:color w:val="000000"/>
          <w:spacing w:val="0"/>
          <w:w w:val="100"/>
          <w:position w:val="0"/>
        </w:rPr>
        <w:t>本集团合并财务报表范围包括本公司、神码中国、神码上海、神码广州信息等</w:t>
      </w:r>
      <w:r>
        <w:rPr>
          <w:rFonts w:ascii="Times New Roman" w:eastAsia="Times New Roman" w:hAnsi="Times New Roman" w:cs="Times New Roman"/>
          <w:color w:val="000000"/>
          <w:spacing w:val="0"/>
          <w:w w:val="100"/>
          <w:position w:val="0"/>
        </w:rPr>
        <w:t>34</w:t>
      </w:r>
      <w:r>
        <w:rPr>
          <w:color w:val="000000"/>
          <w:spacing w:val="0"/>
          <w:w w:val="100"/>
          <w:position w:val="0"/>
        </w:rPr>
        <w:t>家公司。与上年相比，本年因非同一控制 下企业合并增加神码中国、神码上海、神码广州信息等</w:t>
      </w:r>
      <w:r>
        <w:rPr>
          <w:rFonts w:ascii="Times New Roman" w:eastAsia="Times New Roman" w:hAnsi="Times New Roman" w:cs="Times New Roman"/>
          <w:color w:val="000000"/>
          <w:spacing w:val="0"/>
          <w:w w:val="100"/>
          <w:position w:val="0"/>
        </w:rPr>
        <w:t>34</w:t>
      </w:r>
      <w:r>
        <w:rPr>
          <w:color w:val="000000"/>
          <w:spacing w:val="0"/>
          <w:w w:val="100"/>
          <w:position w:val="0"/>
        </w:rPr>
        <w:t>家公司，因处置减少深圳市深信西部房地产有限公司、深圳市泰 丰科技有限公司等</w:t>
      </w:r>
      <w:r>
        <w:rPr>
          <w:rFonts w:ascii="Times New Roman" w:eastAsia="Times New Roman" w:hAnsi="Times New Roman" w:cs="Times New Roman"/>
          <w:color w:val="000000"/>
          <w:spacing w:val="0"/>
          <w:w w:val="100"/>
          <w:position w:val="0"/>
        </w:rPr>
        <w:t>8</w:t>
      </w:r>
      <w:r>
        <w:rPr>
          <w:color w:val="000000"/>
          <w:spacing w:val="0"/>
          <w:w w:val="100"/>
          <w:position w:val="0"/>
        </w:rPr>
        <w:t>家公司，因注销清算减少神州数码（上海）网络有限公司</w:t>
      </w:r>
      <w:r>
        <w:rPr>
          <w:rFonts w:ascii="Times New Roman" w:eastAsia="Times New Roman" w:hAnsi="Times New Roman" w:cs="Times New Roman"/>
          <w:color w:val="000000"/>
          <w:spacing w:val="0"/>
          <w:w w:val="100"/>
          <w:position w:val="0"/>
        </w:rPr>
        <w:t>1</w:t>
      </w:r>
      <w:r>
        <w:rPr>
          <w:color w:val="000000"/>
          <w:spacing w:val="0"/>
          <w:w w:val="100"/>
          <w:position w:val="0"/>
        </w:rPr>
        <w:t>家子公司。</w:t>
      </w:r>
    </w:p>
    <w:p>
      <w:pPr>
        <w:pStyle w:val="Style32"/>
        <w:keepNext w:val="0"/>
        <w:keepLines w:val="0"/>
        <w:widowControl w:val="0"/>
        <w:shd w:val="clear" w:color="auto" w:fill="auto"/>
        <w:bidi w:val="0"/>
        <w:spacing w:before="0" w:after="100" w:line="268" w:lineRule="exact"/>
        <w:ind w:left="0" w:right="0" w:firstLine="0"/>
        <w:jc w:val="both"/>
      </w:pPr>
      <w:r>
        <w:rPr>
          <w:color w:val="000000"/>
          <w:spacing w:val="0"/>
          <w:w w:val="100"/>
          <w:position w:val="0"/>
        </w:rPr>
        <w:t>详见本附注“八、合并范围的变化”及本附注“九、在其他主体中的权益”相关内容。</w:t>
      </w:r>
    </w:p>
    <w:p>
      <w:pPr>
        <w:pStyle w:val="Style28"/>
        <w:keepNext/>
        <w:keepLines/>
        <w:widowControl w:val="0"/>
        <w:shd w:val="clear" w:color="auto" w:fill="auto"/>
        <w:bidi w:val="0"/>
        <w:spacing w:before="0" w:after="360" w:line="240" w:lineRule="auto"/>
        <w:ind w:left="0" w:right="0" w:firstLine="0"/>
        <w:jc w:val="both"/>
      </w:pPr>
      <w:bookmarkStart w:id="738" w:name="bookmark738"/>
      <w:bookmarkStart w:id="739" w:name="bookmark739"/>
      <w:bookmarkStart w:id="740" w:name="bookmark740"/>
      <w:bookmarkStart w:id="741" w:name="bookmark741"/>
      <w:r>
        <w:rPr>
          <w:color w:val="000000"/>
          <w:spacing w:val="0"/>
          <w:w w:val="100"/>
          <w:position w:val="0"/>
        </w:rPr>
        <w:t>四</w:t>
      </w:r>
      <w:bookmarkEnd w:id="740"/>
      <w:r>
        <w:rPr>
          <w:color w:val="000000"/>
          <w:spacing w:val="0"/>
          <w:w w:val="100"/>
          <w:position w:val="0"/>
        </w:rPr>
        <w:t>、财务报表的编制基础</w:t>
      </w:r>
      <w:bookmarkEnd w:id="738"/>
      <w:bookmarkEnd w:id="739"/>
      <w:bookmarkEnd w:id="741"/>
    </w:p>
    <w:p>
      <w:pPr>
        <w:pStyle w:val="Style36"/>
        <w:keepNext/>
        <w:keepLines/>
        <w:widowControl w:val="0"/>
        <w:shd w:val="clear" w:color="auto" w:fill="auto"/>
        <w:bidi w:val="0"/>
        <w:spacing w:before="0" w:after="30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、编制基础</w:t>
      </w:r>
      <w:bookmarkEnd w:id="742"/>
      <w:bookmarkEnd w:id="743"/>
      <w:bookmarkEnd w:id="745"/>
    </w:p>
    <w:p>
      <w:pPr>
        <w:pStyle w:val="Style32"/>
        <w:keepNext w:val="0"/>
        <w:keepLines w:val="0"/>
        <w:widowControl w:val="0"/>
        <w:shd w:val="clear" w:color="auto" w:fill="auto"/>
        <w:bidi w:val="0"/>
        <w:spacing w:before="0" w:after="540" w:line="230" w:lineRule="exact"/>
        <w:ind w:left="0" w:right="0" w:firstLine="460"/>
        <w:jc w:val="both"/>
      </w:pPr>
      <w:r>
        <w:rPr>
          <w:color w:val="000000"/>
          <w:spacing w:val="0"/>
          <w:w w:val="100"/>
          <w:position w:val="0"/>
        </w:rPr>
        <w:t>本集团财务报表以持续经营为基础，根据实际发生的交易和事项，按照财政部颁布的《企业会计准则》及相关规定, 并基于本附注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36"/>
        <w:keepNext/>
        <w:keepLines/>
        <w:widowControl w:val="0"/>
        <w:shd w:val="clear" w:color="auto" w:fill="auto"/>
        <w:bidi w:val="0"/>
        <w:spacing w:before="0" w:after="30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、持续经营</w:t>
      </w:r>
      <w:bookmarkEnd w:id="746"/>
      <w:bookmarkEnd w:id="747"/>
      <w:bookmarkEnd w:id="749"/>
    </w:p>
    <w:p>
      <w:pPr>
        <w:pStyle w:val="Style32"/>
        <w:keepNext w:val="0"/>
        <w:keepLines w:val="0"/>
        <w:widowControl w:val="0"/>
        <w:shd w:val="clear" w:color="auto" w:fill="auto"/>
        <w:bidi w:val="0"/>
        <w:spacing w:before="0" w:after="540" w:line="240" w:lineRule="auto"/>
        <w:ind w:left="0" w:right="0" w:firstLine="460"/>
        <w:jc w:val="both"/>
      </w:pPr>
      <w:r>
        <w:rPr>
          <w:color w:val="000000"/>
          <w:spacing w:val="0"/>
          <w:w w:val="100"/>
          <w:position w:val="0"/>
        </w:rPr>
        <w:t>本集团不存在导致对报告期末起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8"/>
        <w:keepNext/>
        <w:keepLines/>
        <w:widowControl w:val="0"/>
        <w:shd w:val="clear" w:color="auto" w:fill="auto"/>
        <w:bidi w:val="0"/>
        <w:spacing w:before="0" w:after="30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五</w:t>
      </w:r>
      <w:bookmarkEnd w:id="752"/>
      <w:r>
        <w:rPr>
          <w:color w:val="000000"/>
          <w:spacing w:val="0"/>
          <w:w w:val="100"/>
          <w:position w:val="0"/>
        </w:rPr>
        <w:t>、重要会计政策及会计估计</w:t>
      </w:r>
      <w:bookmarkEnd w:id="750"/>
      <w:bookmarkEnd w:id="751"/>
      <w:bookmarkEnd w:id="753"/>
    </w:p>
    <w:p>
      <w:pPr>
        <w:pStyle w:val="Style32"/>
        <w:keepNext w:val="0"/>
        <w:keepLines w:val="0"/>
        <w:widowControl w:val="0"/>
        <w:shd w:val="clear" w:color="auto" w:fill="auto"/>
        <w:bidi w:val="0"/>
        <w:spacing w:before="0" w:after="40" w:line="230"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40" w:line="230"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40" w:line="230" w:lineRule="exact"/>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360" w:line="230" w:lineRule="exact"/>
        <w:ind w:left="0" w:right="0" w:firstLine="300"/>
        <w:jc w:val="left"/>
      </w:pPr>
      <w:r>
        <w:rPr>
          <w:color w:val="000000"/>
          <w:spacing w:val="0"/>
          <w:w w:val="100"/>
          <w:position w:val="0"/>
        </w:rPr>
        <w:t>具体会计政策和会计估计提示：本集团根据实际生产经营特点制定的具体会计政策和会计估计包括营业周期、应收款 项坏账准备的确认和计量、发出存货计量、固定资产分类及折旧方法、无形资产摊销、递延所得税资产和递延所得税负债 确认、收入确认和计量等。</w:t>
      </w:r>
    </w:p>
    <w:p>
      <w:pPr>
        <w:pStyle w:val="Style36"/>
        <w:keepNext/>
        <w:keepLines/>
        <w:widowControl w:val="0"/>
        <w:shd w:val="clear" w:color="auto" w:fill="auto"/>
        <w:bidi w:val="0"/>
        <w:spacing w:before="0" w:after="300" w:line="240" w:lineRule="auto"/>
        <w:ind w:left="0" w:right="0" w:firstLine="0"/>
        <w:jc w:val="left"/>
      </w:pPr>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54"/>
      <w:bookmarkEnd w:id="755"/>
      <w:bookmarkEnd w:id="756"/>
    </w:p>
    <w:p>
      <w:pPr>
        <w:pStyle w:val="Style32"/>
        <w:keepNext w:val="0"/>
        <w:keepLines w:val="0"/>
        <w:widowControl w:val="0"/>
        <w:shd w:val="clear" w:color="auto" w:fill="auto"/>
        <w:bidi w:val="0"/>
        <w:spacing w:before="0" w:after="540" w:line="230" w:lineRule="exact"/>
        <w:ind w:left="0" w:right="0" w:firstLine="460"/>
        <w:jc w:val="both"/>
      </w:pPr>
      <w:r>
        <w:rPr>
          <w:color w:val="000000"/>
          <w:spacing w:val="0"/>
          <w:w w:val="100"/>
          <w:position w:val="0"/>
        </w:rPr>
        <w:t>本公司编制的财务报表符合企业会计准则的要求，真实、完整地反映了本公司及本集团的财务状况、经营成果和现金 流量等有关信息。</w:t>
      </w:r>
    </w:p>
    <w:p>
      <w:pPr>
        <w:pStyle w:val="Style36"/>
        <w:keepNext/>
        <w:keepLines/>
        <w:widowControl w:val="0"/>
        <w:shd w:val="clear" w:color="auto" w:fill="auto"/>
        <w:bidi w:val="0"/>
        <w:spacing w:before="0" w:after="30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、会计期间</w:t>
      </w:r>
      <w:bookmarkEnd w:id="757"/>
      <w:bookmarkEnd w:id="758"/>
      <w:bookmarkEnd w:id="760"/>
    </w:p>
    <w:p>
      <w:pPr>
        <w:pStyle w:val="Style32"/>
        <w:keepNext w:val="0"/>
        <w:keepLines w:val="0"/>
        <w:widowControl w:val="0"/>
        <w:shd w:val="clear" w:color="auto" w:fill="auto"/>
        <w:bidi w:val="0"/>
        <w:spacing w:before="0" w:after="540" w:line="240" w:lineRule="auto"/>
        <w:ind w:left="0" w:right="0" w:firstLine="460"/>
        <w:jc w:val="both"/>
      </w:pPr>
      <w:r>
        <w:rPr>
          <w:color w:val="000000"/>
          <w:spacing w:val="0"/>
          <w:w w:val="100"/>
          <w:position w:val="0"/>
        </w:rPr>
        <w:t>本集团的会计期间为公历</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日至</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p>
      <w:pPr>
        <w:pStyle w:val="Style36"/>
        <w:keepNext/>
        <w:keepLines/>
        <w:widowControl w:val="0"/>
        <w:shd w:val="clear" w:color="auto" w:fill="auto"/>
        <w:bidi w:val="0"/>
        <w:spacing w:before="0" w:after="30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3</w:t>
      </w:r>
      <w:bookmarkEnd w:id="763"/>
      <w:r>
        <w:rPr>
          <w:color w:val="000000"/>
          <w:spacing w:val="0"/>
          <w:w w:val="100"/>
          <w:position w:val="0"/>
        </w:rPr>
        <w:t>、营业周期</w:t>
      </w:r>
      <w:bookmarkEnd w:id="761"/>
      <w:bookmarkEnd w:id="762"/>
      <w:bookmarkEnd w:id="764"/>
    </w:p>
    <w:p>
      <w:pPr>
        <w:pStyle w:val="Style32"/>
        <w:keepNext w:val="0"/>
        <w:keepLines w:val="0"/>
        <w:widowControl w:val="0"/>
        <w:shd w:val="clear" w:color="auto" w:fill="auto"/>
        <w:bidi w:val="0"/>
        <w:spacing w:before="0" w:after="540" w:line="240" w:lineRule="auto"/>
        <w:ind w:left="0" w:right="0" w:firstLine="460"/>
        <w:jc w:val="both"/>
      </w:pPr>
      <w:r>
        <w:rPr>
          <w:color w:val="000000"/>
          <w:spacing w:val="0"/>
          <w:w w:val="100"/>
          <w:position w:val="0"/>
        </w:rPr>
        <w:t>本集团的营业周期为</w:t>
      </w:r>
      <w:r>
        <w:rPr>
          <w:color w:val="000000"/>
          <w:spacing w:val="0"/>
          <w:w w:val="100"/>
          <w:position w:val="0"/>
          <w:sz w:val="17"/>
          <w:szCs w:val="17"/>
        </w:rPr>
        <w:t>12</w:t>
      </w:r>
      <w:r>
        <w:rPr>
          <w:color w:val="000000"/>
          <w:spacing w:val="0"/>
          <w:w w:val="100"/>
          <w:position w:val="0"/>
        </w:rPr>
        <w:t>个月。</w:t>
      </w:r>
    </w:p>
    <w:p>
      <w:pPr>
        <w:pStyle w:val="Style36"/>
        <w:keepNext/>
        <w:keepLines/>
        <w:widowControl w:val="0"/>
        <w:shd w:val="clear" w:color="auto" w:fill="auto"/>
        <w:bidi w:val="0"/>
        <w:spacing w:before="0" w:after="30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4</w:t>
      </w:r>
      <w:bookmarkEnd w:id="767"/>
      <w:r>
        <w:rPr>
          <w:color w:val="000000"/>
          <w:spacing w:val="0"/>
          <w:w w:val="100"/>
          <w:position w:val="0"/>
        </w:rPr>
        <w:t>、记账本位币</w:t>
      </w:r>
      <w:bookmarkEnd w:id="765"/>
      <w:bookmarkEnd w:id="766"/>
      <w:bookmarkEnd w:id="768"/>
    </w:p>
    <w:p>
      <w:pPr>
        <w:pStyle w:val="Style32"/>
        <w:keepNext w:val="0"/>
        <w:keepLines w:val="0"/>
        <w:widowControl w:val="0"/>
        <w:shd w:val="clear" w:color="auto" w:fill="auto"/>
        <w:bidi w:val="0"/>
        <w:spacing w:before="0" w:after="540" w:line="235" w:lineRule="exact"/>
        <w:ind w:left="0" w:right="0" w:firstLine="460"/>
        <w:jc w:val="both"/>
      </w:pPr>
      <w:r>
        <w:rPr>
          <w:color w:val="000000"/>
          <w:spacing w:val="0"/>
          <w:w w:val="100"/>
          <w:position w:val="0"/>
        </w:rPr>
        <w:t>本公司、本公司子公司、合营企业及联营企业根据其经营所处的主要经济环境自行决定其记账本位币，在编制合并财 务报表时折算为人民币。本集团编制本合并财务报表所采用的货币为人民币。</w:t>
      </w:r>
    </w:p>
    <w:p>
      <w:pPr>
        <w:pStyle w:val="Style36"/>
        <w:keepNext/>
        <w:keepLines/>
        <w:widowControl w:val="0"/>
        <w:shd w:val="clear" w:color="auto" w:fill="auto"/>
        <w:bidi w:val="0"/>
        <w:spacing w:before="0" w:after="30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5</w:t>
      </w:r>
      <w:bookmarkEnd w:id="771"/>
      <w:r>
        <w:rPr>
          <w:color w:val="000000"/>
          <w:spacing w:val="0"/>
          <w:w w:val="100"/>
          <w:position w:val="0"/>
        </w:rPr>
        <w:t>、同一控制下和非同一控制下企业合并的会计处理方法</w:t>
      </w:r>
      <w:bookmarkEnd w:id="769"/>
      <w:bookmarkEnd w:id="770"/>
      <w:bookmarkEnd w:id="772"/>
    </w:p>
    <w:p>
      <w:pPr>
        <w:pStyle w:val="Style32"/>
        <w:keepNext w:val="0"/>
        <w:keepLines w:val="0"/>
        <w:widowControl w:val="0"/>
        <w:shd w:val="clear" w:color="auto" w:fill="auto"/>
        <w:bidi w:val="0"/>
        <w:spacing w:before="0" w:after="240" w:line="235" w:lineRule="exact"/>
        <w:ind w:left="0" w:right="0" w:firstLine="460"/>
        <w:jc w:val="both"/>
      </w:pPr>
      <w:r>
        <w:rPr>
          <w:color w:val="000000"/>
          <w:spacing w:val="0"/>
          <w:w w:val="100"/>
          <w:position w:val="0"/>
        </w:rPr>
        <w:t>合并方在同一控制下企业合并中取得的资产和负债，在合并日按被合并方在最终控制方合并报表中的账面价值计量。 取得的净资产账面价值与支付的合并对价账面价值的差额，调整资本公积；资本公积不足冲减的，调整留存收益。</w:t>
      </w:r>
    </w:p>
    <w:p>
      <w:pPr>
        <w:pStyle w:val="Style32"/>
        <w:keepNext w:val="0"/>
        <w:keepLines w:val="0"/>
        <w:widowControl w:val="0"/>
        <w:shd w:val="clear" w:color="auto" w:fill="auto"/>
        <w:bidi w:val="0"/>
        <w:spacing w:before="0" w:after="800" w:line="234" w:lineRule="exact"/>
        <w:ind w:left="0" w:right="0" w:firstLine="460"/>
        <w:jc w:val="both"/>
      </w:pPr>
      <w:r>
        <w:rPr>
          <w:color w:val="000000"/>
          <w:spacing w:val="0"/>
          <w:w w:val="100"/>
          <w:position w:val="0"/>
        </w:rPr>
        <w:t xml:space="preserve">在非同一控制下企业合并中取得的被购买方可辨认资产、负债及或有负债在收购日以公允价值计量。合并成本为本集 团在购买日为取得对被购买方的控制权而支付的现金或非现金资产、发行或承担的负债、发行的权益性证券等的公允价值以 及在企业合并中发生的各项直接相关费用之和（通过多次交易分步实现的企业合并，其合并成本为每一单项交易的成本之 和）。合并成本大于合并中取得的被购买方可辨认净资产公允价值份额的差额，确认为商誉；合并成本小于合并中取得的被 </w:t>
      </w:r>
      <w:r>
        <w:rPr>
          <w:color w:val="000000"/>
          <w:spacing w:val="0"/>
          <w:w w:val="100"/>
          <w:position w:val="0"/>
        </w:rPr>
        <w:t>购买方可辨认净资产公允价值份额的，首先对合并中取得的各项可辨认资产、负债及或有负债的公允价值、以及合并对价的 非现金资产或发行的权益性证券等的公允价值进行复核，经复核后，合并成本仍小于合并中取得的被购买方可辨认净资产公 允价值份额的，将其差额计入合并当期营业外收入。</w:t>
      </w:r>
    </w:p>
    <w:p>
      <w:pPr>
        <w:pStyle w:val="Style36"/>
        <w:keepNext/>
        <w:keepLines/>
        <w:widowControl w:val="0"/>
        <w:shd w:val="clear" w:color="auto" w:fill="auto"/>
        <w:bidi w:val="0"/>
        <w:spacing w:before="0" w:after="300" w:line="240"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6</w:t>
      </w:r>
      <w:bookmarkEnd w:id="775"/>
      <w:r>
        <w:rPr>
          <w:color w:val="000000"/>
          <w:spacing w:val="0"/>
          <w:w w:val="100"/>
          <w:position w:val="0"/>
        </w:rPr>
        <w:t>、合并财务报表的编制方法</w:t>
      </w:r>
      <w:bookmarkEnd w:id="773"/>
      <w:bookmarkEnd w:id="774"/>
      <w:bookmarkEnd w:id="776"/>
    </w:p>
    <w:p>
      <w:pPr>
        <w:pStyle w:val="Style32"/>
        <w:keepNext w:val="0"/>
        <w:keepLines w:val="0"/>
        <w:widowControl w:val="0"/>
        <w:shd w:val="clear" w:color="auto" w:fill="auto"/>
        <w:bidi w:val="0"/>
        <w:spacing w:before="0" w:after="240" w:line="233" w:lineRule="exact"/>
        <w:ind w:left="0" w:right="0" w:firstLine="460"/>
        <w:jc w:val="both"/>
      </w:pPr>
      <w:r>
        <w:rPr>
          <w:color w:val="000000"/>
          <w:spacing w:val="0"/>
          <w:w w:val="100"/>
          <w:position w:val="0"/>
        </w:rPr>
        <w:t>本公司将所有控制的子公司纳入合并财务报表范围。</w:t>
      </w:r>
    </w:p>
    <w:p>
      <w:pPr>
        <w:pStyle w:val="Style32"/>
        <w:keepNext w:val="0"/>
        <w:keepLines w:val="0"/>
        <w:widowControl w:val="0"/>
        <w:shd w:val="clear" w:color="auto" w:fill="auto"/>
        <w:bidi w:val="0"/>
        <w:spacing w:before="0" w:after="240" w:line="235" w:lineRule="exact"/>
        <w:ind w:left="0" w:right="0" w:firstLine="460"/>
        <w:jc w:val="both"/>
      </w:pPr>
      <w:r>
        <w:rPr>
          <w:color w:val="000000"/>
          <w:spacing w:val="0"/>
          <w:w w:val="100"/>
          <w:position w:val="0"/>
        </w:rPr>
        <w:t>在编制合并财务报表时，子公司与本公司采用的会计政策或会计期间不一致的，按照本公司的会计政策或会计期间对 子公司财务报表进行必要的调整。</w:t>
      </w:r>
    </w:p>
    <w:p>
      <w:pPr>
        <w:pStyle w:val="Style32"/>
        <w:keepNext w:val="0"/>
        <w:keepLines w:val="0"/>
        <w:widowControl w:val="0"/>
        <w:shd w:val="clear" w:color="auto" w:fill="auto"/>
        <w:bidi w:val="0"/>
        <w:spacing w:before="0" w:after="240" w:line="230" w:lineRule="exact"/>
        <w:ind w:left="0" w:right="0" w:firstLine="460"/>
        <w:jc w:val="both"/>
      </w:pPr>
      <w:r>
        <w:rPr>
          <w:color w:val="000000"/>
          <w:spacing w:val="0"/>
          <w:w w:val="100"/>
          <w:position w:val="0"/>
        </w:rPr>
        <w:t>合并范围内的所有重大内部交易、往来余额及未实现利润在合并报表编制时予以抵销。子公司的所有者权益中不属于 母公司的份额以及当期净损益、其他综合收益及综合收益总额中属于少数股东权益的份额，分别在合并财务报表“少数股东 权益、少数股东损益、归属于少数股东的其他综合收益及归属于少数股东的综合收益总额”项目列示。</w:t>
      </w:r>
    </w:p>
    <w:p>
      <w:pPr>
        <w:pStyle w:val="Style32"/>
        <w:keepNext w:val="0"/>
        <w:keepLines w:val="0"/>
        <w:widowControl w:val="0"/>
        <w:shd w:val="clear" w:color="auto" w:fill="auto"/>
        <w:bidi w:val="0"/>
        <w:spacing w:before="0" w:after="240" w:line="230" w:lineRule="exact"/>
        <w:ind w:left="0" w:right="0" w:firstLine="460"/>
        <w:jc w:val="both"/>
      </w:pPr>
      <w:r>
        <w:rPr>
          <w:color w:val="000000"/>
          <w:spacing w:val="0"/>
          <w:w w:val="100"/>
          <w:position w:val="0"/>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pStyle w:val="Style32"/>
        <w:keepNext w:val="0"/>
        <w:keepLines w:val="0"/>
        <w:widowControl w:val="0"/>
        <w:shd w:val="clear" w:color="auto" w:fill="auto"/>
        <w:bidi w:val="0"/>
        <w:spacing w:before="0" w:after="520" w:line="235" w:lineRule="exact"/>
        <w:ind w:left="0" w:right="0" w:firstLine="460"/>
        <w:jc w:val="both"/>
      </w:pPr>
      <w:r>
        <w:rPr>
          <w:color w:val="000000"/>
          <w:spacing w:val="0"/>
          <w:w w:val="100"/>
          <w:position w:val="0"/>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pStyle w:val="Style36"/>
        <w:keepNext/>
        <w:keepLines/>
        <w:widowControl w:val="0"/>
        <w:shd w:val="clear" w:color="auto" w:fill="auto"/>
        <w:bidi w:val="0"/>
        <w:spacing w:before="0" w:after="30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7</w:t>
      </w:r>
      <w:bookmarkEnd w:id="779"/>
      <w:r>
        <w:rPr>
          <w:color w:val="000000"/>
          <w:spacing w:val="0"/>
          <w:w w:val="100"/>
          <w:position w:val="0"/>
        </w:rPr>
        <w:t>、合营安排分类及共同经营会计处理方法</w:t>
      </w:r>
      <w:bookmarkEnd w:id="777"/>
      <w:bookmarkEnd w:id="778"/>
      <w:bookmarkEnd w:id="780"/>
    </w:p>
    <w:p>
      <w:pPr>
        <w:pStyle w:val="Style32"/>
        <w:keepNext w:val="0"/>
        <w:keepLines w:val="0"/>
        <w:widowControl w:val="0"/>
        <w:shd w:val="clear" w:color="auto" w:fill="auto"/>
        <w:bidi w:val="0"/>
        <w:spacing w:before="0" w:after="300" w:line="230" w:lineRule="exact"/>
        <w:ind w:left="0" w:right="0" w:firstLine="460"/>
        <w:jc w:val="both"/>
      </w:pPr>
      <w:r>
        <w:rPr>
          <w:color w:val="000000"/>
          <w:spacing w:val="0"/>
          <w:w w:val="100"/>
          <w:position w:val="0"/>
        </w:rPr>
        <w:t>合营安排分为共同经营和合营企业。共同经营，是指合营方享有该安排相关资产且承担该安排相关负债的合营安排。 合营企业，是指合营方仅对该安排的净资产享有权利的合营安排。本集团无共同经营情况。</w:t>
      </w:r>
    </w:p>
    <w:p>
      <w:pPr>
        <w:pStyle w:val="Style36"/>
        <w:keepNext/>
        <w:keepLines/>
        <w:widowControl w:val="0"/>
        <w:shd w:val="clear" w:color="auto" w:fill="auto"/>
        <w:bidi w:val="0"/>
        <w:spacing w:before="0" w:after="30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8</w:t>
      </w:r>
      <w:bookmarkEnd w:id="783"/>
      <w:r>
        <w:rPr>
          <w:color w:val="000000"/>
          <w:spacing w:val="0"/>
          <w:w w:val="100"/>
          <w:position w:val="0"/>
        </w:rPr>
        <w:t>、现金及现金等价物的确定标准</w:t>
      </w:r>
      <w:bookmarkEnd w:id="781"/>
      <w:bookmarkEnd w:id="782"/>
      <w:bookmarkEnd w:id="784"/>
    </w:p>
    <w:p>
      <w:pPr>
        <w:pStyle w:val="Style32"/>
        <w:keepNext w:val="0"/>
        <w:keepLines w:val="0"/>
        <w:widowControl w:val="0"/>
        <w:shd w:val="clear" w:color="auto" w:fill="auto"/>
        <w:bidi w:val="0"/>
        <w:spacing w:before="0" w:after="520" w:line="245" w:lineRule="exact"/>
        <w:ind w:left="0" w:right="0" w:firstLine="460"/>
        <w:jc w:val="both"/>
      </w:pPr>
      <w:r>
        <w:rPr>
          <w:color w:val="000000"/>
          <w:spacing w:val="0"/>
          <w:w w:val="100"/>
          <w:position w:val="0"/>
        </w:rPr>
        <w:t>本集团现金流量表之现金指库存现金以及可以随时用于支付的存款。现金流量表之现金等价物指持有期限不超过</w:t>
      </w:r>
      <w:r>
        <w:rPr>
          <w:color w:val="000000"/>
          <w:spacing w:val="0"/>
          <w:w w:val="100"/>
          <w:position w:val="0"/>
          <w:sz w:val="17"/>
          <w:szCs w:val="17"/>
        </w:rPr>
        <w:t>3</w:t>
      </w:r>
      <w:r>
        <w:rPr>
          <w:color w:val="000000"/>
          <w:spacing w:val="0"/>
          <w:w w:val="100"/>
          <w:position w:val="0"/>
        </w:rPr>
        <w:t>个 月、流动性强、易于转换为已知金额现金且价值变动风险很小的投资。</w:t>
      </w:r>
    </w:p>
    <w:p>
      <w:pPr>
        <w:pStyle w:val="Style36"/>
        <w:keepNext/>
        <w:keepLines/>
        <w:widowControl w:val="0"/>
        <w:shd w:val="clear" w:color="auto" w:fill="auto"/>
        <w:bidi w:val="0"/>
        <w:spacing w:before="0" w:after="30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9</w:t>
      </w:r>
      <w:bookmarkEnd w:id="787"/>
      <w:r>
        <w:rPr>
          <w:color w:val="000000"/>
          <w:spacing w:val="0"/>
          <w:w w:val="100"/>
          <w:position w:val="0"/>
        </w:rPr>
        <w:t>、外币业务和外币报表折算</w:t>
      </w:r>
      <w:bookmarkEnd w:id="785"/>
      <w:bookmarkEnd w:id="786"/>
      <w:bookmarkEnd w:id="788"/>
    </w:p>
    <w:p>
      <w:pPr>
        <w:pStyle w:val="Style32"/>
        <w:keepNext w:val="0"/>
        <w:keepLines w:val="0"/>
        <w:widowControl w:val="0"/>
        <w:numPr>
          <w:ilvl w:val="0"/>
          <w:numId w:val="19"/>
        </w:numPr>
        <w:shd w:val="clear" w:color="auto" w:fill="auto"/>
        <w:tabs>
          <w:tab w:pos="899" w:val="left"/>
        </w:tabs>
        <w:bidi w:val="0"/>
        <w:spacing w:before="0" w:after="240" w:line="234" w:lineRule="exact"/>
        <w:ind w:left="0" w:right="0" w:firstLine="460"/>
        <w:jc w:val="both"/>
      </w:pPr>
      <w:bookmarkStart w:id="789" w:name="bookmark789"/>
      <w:bookmarkEnd w:id="789"/>
      <w:r>
        <w:rPr>
          <w:color w:val="000000"/>
          <w:spacing w:val="0"/>
          <w:w w:val="100"/>
          <w:position w:val="0"/>
        </w:rPr>
        <w:t>外币交易</w:t>
      </w:r>
    </w:p>
    <w:p>
      <w:pPr>
        <w:pStyle w:val="Style32"/>
        <w:keepNext w:val="0"/>
        <w:keepLines w:val="0"/>
        <w:widowControl w:val="0"/>
        <w:shd w:val="clear" w:color="auto" w:fill="auto"/>
        <w:bidi w:val="0"/>
        <w:spacing w:before="0" w:after="240" w:line="233" w:lineRule="exact"/>
        <w:ind w:left="0" w:right="0" w:firstLine="460"/>
        <w:jc w:val="both"/>
      </w:pPr>
      <w:r>
        <w:rPr>
          <w:color w:val="000000"/>
          <w:spacing w:val="0"/>
          <w:w w:val="100"/>
          <w:position w:val="0"/>
        </w:rPr>
        <w:t>本集团外币交易按交易发生日的即期汇率将外币金额折算为人民币金额。于资产负债表日，外币货币性项目采用资产 负债表日的即期汇率折算为人民币，所产生的折算差额除了为购建或生产符合资本化条件的资产而借入的外币专门借款产 生的汇兑差额按资本化的原则处理外，直接计入当期损益。</w:t>
      </w:r>
    </w:p>
    <w:p>
      <w:pPr>
        <w:pStyle w:val="Style32"/>
        <w:keepNext w:val="0"/>
        <w:keepLines w:val="0"/>
        <w:widowControl w:val="0"/>
        <w:numPr>
          <w:ilvl w:val="0"/>
          <w:numId w:val="19"/>
        </w:numPr>
        <w:shd w:val="clear" w:color="auto" w:fill="auto"/>
        <w:tabs>
          <w:tab w:pos="899" w:val="left"/>
        </w:tabs>
        <w:bidi w:val="0"/>
        <w:spacing w:before="0" w:after="240" w:line="234" w:lineRule="exact"/>
        <w:ind w:left="0" w:right="0" w:firstLine="460"/>
        <w:jc w:val="both"/>
      </w:pPr>
      <w:bookmarkStart w:id="790" w:name="bookmark790"/>
      <w:bookmarkEnd w:id="790"/>
      <w:r>
        <w:rPr>
          <w:color w:val="000000"/>
          <w:spacing w:val="0"/>
          <w:w w:val="100"/>
          <w:position w:val="0"/>
        </w:rPr>
        <w:t>夕卜币财务报表的折算</w:t>
      </w:r>
    </w:p>
    <w:p>
      <w:pPr>
        <w:pStyle w:val="Style32"/>
        <w:keepNext w:val="0"/>
        <w:keepLines w:val="0"/>
        <w:widowControl w:val="0"/>
        <w:shd w:val="clear" w:color="auto" w:fill="auto"/>
        <w:bidi w:val="0"/>
        <w:spacing w:before="0" w:after="520" w:line="234" w:lineRule="exact"/>
        <w:ind w:left="0" w:right="0" w:firstLine="540"/>
        <w:jc w:val="both"/>
      </w:pPr>
      <w:r>
        <w:rPr>
          <w:color w:val="000000"/>
          <w:spacing w:val="0"/>
          <w:w w:val="100"/>
          <w:position w:val="0"/>
        </w:rPr>
        <w:t>外币资产负债表中资产、负债类项目采用资产负债表日的即期汇率折算；所有者权益类项目除“未分配利润”夕卜，均 按业务发生时的即期汇率折算；利润表中的收入与费用项目，采用交易发生日的即期汇率折算。上述折算产生的外币报表折 算差额，在其他综合收益项目中列示。外币现金流量采用现金流量发生日的即期汇率折算。汇率变动对现金的影响额，在现 金流量表中单独列示。</w:t>
      </w:r>
    </w:p>
    <w:p>
      <w:pPr>
        <w:pStyle w:val="Style36"/>
        <w:keepNext/>
        <w:keepLines/>
        <w:widowControl w:val="0"/>
        <w:shd w:val="clear" w:color="auto" w:fill="auto"/>
        <w:bidi w:val="0"/>
        <w:spacing w:before="0" w:after="30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1"/>
      <w:bookmarkEnd w:id="792"/>
      <w:bookmarkEnd w:id="794"/>
    </w:p>
    <w:p>
      <w:pPr>
        <w:pStyle w:val="Style32"/>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本集团成为金融工具合同的一方时确认一项金融资产或金融负债。</w:t>
      </w:r>
    </w:p>
    <w:p>
      <w:pPr>
        <w:pStyle w:val="Style32"/>
        <w:keepNext w:val="0"/>
        <w:keepLines w:val="0"/>
        <w:widowControl w:val="0"/>
        <w:shd w:val="clear" w:color="auto" w:fill="auto"/>
        <w:bidi w:val="0"/>
        <w:spacing w:before="0" w:after="300" w:line="240" w:lineRule="auto"/>
        <w:ind w:left="0" w:right="0" w:firstLine="460"/>
        <w:jc w:val="both"/>
      </w:pPr>
      <w:r>
        <w:rPr>
          <w:color w:val="000000"/>
          <w:spacing w:val="0"/>
          <w:w w:val="100"/>
          <w:position w:val="0"/>
          <w:sz w:val="17"/>
          <w:szCs w:val="17"/>
        </w:rPr>
        <w:t>(1)</w:t>
      </w:r>
      <w:r>
        <w:rPr>
          <w:color w:val="000000"/>
          <w:spacing w:val="0"/>
          <w:w w:val="100"/>
          <w:position w:val="0"/>
        </w:rPr>
        <w:t>金融资产</w:t>
      </w:r>
    </w:p>
    <w:p>
      <w:pPr>
        <w:pStyle w:val="Style32"/>
        <w:keepNext w:val="0"/>
        <w:keepLines w:val="0"/>
        <w:widowControl w:val="0"/>
        <w:shd w:val="clear" w:color="auto" w:fill="auto"/>
        <w:tabs>
          <w:tab w:pos="1109" w:val="left"/>
        </w:tabs>
        <w:bidi w:val="0"/>
        <w:spacing w:before="0" w:line="233" w:lineRule="exact"/>
        <w:ind w:left="0" w:right="0" w:firstLine="820"/>
        <w:jc w:val="both"/>
      </w:pPr>
      <w:bookmarkStart w:id="795" w:name="bookmark795"/>
      <w:r>
        <w:rPr>
          <w:color w:val="000000"/>
          <w:spacing w:val="0"/>
          <w:w w:val="100"/>
          <w:position w:val="0"/>
          <w:sz w:val="17"/>
          <w:szCs w:val="17"/>
        </w:rPr>
        <w:t>1</w:t>
      </w:r>
      <w:bookmarkEnd w:id="795"/>
      <w:r>
        <w:rPr>
          <w:color w:val="000000"/>
          <w:spacing w:val="0"/>
          <w:w w:val="100"/>
          <w:position w:val="0"/>
          <w:sz w:val="17"/>
          <w:szCs w:val="17"/>
        </w:rPr>
        <w:t>）</w:t>
        <w:tab/>
      </w:r>
      <w:r>
        <w:rPr>
          <w:color w:val="000000"/>
          <w:spacing w:val="0"/>
          <w:w w:val="100"/>
          <w:position w:val="0"/>
        </w:rPr>
        <w:t>金融资产分类、确认依据和计量方法</w:t>
      </w:r>
    </w:p>
    <w:p>
      <w:pPr>
        <w:pStyle w:val="Style32"/>
        <w:keepNext w:val="0"/>
        <w:keepLines w:val="0"/>
        <w:widowControl w:val="0"/>
        <w:shd w:val="clear" w:color="auto" w:fill="auto"/>
        <w:bidi w:val="0"/>
        <w:spacing w:before="0" w:line="235" w:lineRule="exact"/>
        <w:ind w:left="0" w:right="0" w:firstLine="460"/>
        <w:jc w:val="both"/>
      </w:pPr>
      <w:r>
        <w:rPr>
          <w:color w:val="000000"/>
          <w:spacing w:val="0"/>
          <w:w w:val="100"/>
          <w:position w:val="0"/>
        </w:rPr>
        <w:t>本集团按投资目的和经济实质对拥有的金融资产分类为以公允价值计量且其变动计入当期损益的金融资产、应收款项 及可供出售金融资产。</w:t>
      </w:r>
    </w:p>
    <w:p>
      <w:pPr>
        <w:pStyle w:val="Style32"/>
        <w:keepNext w:val="0"/>
        <w:keepLines w:val="0"/>
        <w:widowControl w:val="0"/>
        <w:shd w:val="clear" w:color="auto" w:fill="auto"/>
        <w:bidi w:val="0"/>
        <w:spacing w:before="0" w:line="233" w:lineRule="exact"/>
        <w:ind w:left="0" w:right="0" w:firstLine="460"/>
        <w:jc w:val="both"/>
      </w:pPr>
      <w:r>
        <w:rPr>
          <w:color w:val="000000"/>
          <w:spacing w:val="0"/>
          <w:w w:val="100"/>
          <w:position w:val="0"/>
        </w:rPr>
        <w:t>以公允价值计量且其变动计入当期损益的金融资产，包括交易性金融资产和在初始确认时指定为以公允价值计量且其 变动计入当期损益的金融资产。本集团将满足下列条件之一的金融资产归类为交易性金融资产：取得该金融资产的目的是为 了在短期内出售；属于进行集中管理的可辨认金融工具组合的一部分，且有客观证据表明公司近期采用短期获利方式对该组 合进行管理；属于衍生工具，但是，被指定且为有效套期工具的衍生工具、属于财务担保合同的衍生工具、与在活跃市场中 没有报价且其公允价值不能可靠计量的权益工具投资挂钩并须通过交付该权益工具结算的衍生工具除外。对此类金融资产， 采用公允价值进行后续计量。公允价值变动计入公允价值变动损益；在资产持有期间所取得的利息或现金股利，确认为投资 收益；处置时，其公允价值与初始入账金额之间的差额确认为投资损益，同时调整公允价值变动损益。</w:t>
      </w:r>
    </w:p>
    <w:p>
      <w:pPr>
        <w:pStyle w:val="Style32"/>
        <w:keepNext w:val="0"/>
        <w:keepLines w:val="0"/>
        <w:widowControl w:val="0"/>
        <w:shd w:val="clear" w:color="auto" w:fill="auto"/>
        <w:bidi w:val="0"/>
        <w:spacing w:before="0" w:line="230" w:lineRule="exact"/>
        <w:ind w:left="0" w:right="0" w:firstLine="460"/>
        <w:jc w:val="both"/>
      </w:pPr>
      <w:r>
        <w:rPr>
          <w:color w:val="000000"/>
          <w:spacing w:val="0"/>
          <w:w w:val="100"/>
          <w:position w:val="0"/>
        </w:rPr>
        <w:t>应收款项，是指在活跃市场中没有报价，回收金额固定或可确定的非衍生金融资产。对于此类金融资产，采用实际利 率法，按照摊余成本进行后续计量，其摊销或减值产生的利得或损失，均计入当期损益。</w:t>
      </w:r>
    </w:p>
    <w:p>
      <w:pPr>
        <w:pStyle w:val="Style32"/>
        <w:keepNext w:val="0"/>
        <w:keepLines w:val="0"/>
        <w:widowControl w:val="0"/>
        <w:shd w:val="clear" w:color="auto" w:fill="auto"/>
        <w:bidi w:val="0"/>
        <w:spacing w:before="0" w:line="234" w:lineRule="exact"/>
        <w:ind w:left="0" w:right="0" w:firstLine="460"/>
        <w:jc w:val="both"/>
      </w:pPr>
      <w:r>
        <w:rPr>
          <w:color w:val="000000"/>
          <w:spacing w:val="0"/>
          <w:w w:val="100"/>
          <w:position w:val="0"/>
        </w:rPr>
        <w:t>可供出售金融资产，是指初始确认时即被指定为可供出售的非衍生金融资产，以及未被划分为其他类的金融资产。这 类资产中，在活跃市场中没有报价且其公允价值不能可靠计量的权益工具投资以及与该权益工具挂钩并须通过交付该权益 工具结算的衍生金融资产，按成本进行后续计量；其他存在活跃市场报价或虽没有活跃市场报价但公允价值能够可靠计量 的，按公允价值计量，公允价值变动计入其他综合收益。对于此类金融资产采用公允价值进行后续计量，除减值损失及外币 货币性金融资产形成的汇兑损益外，可供出售金融资产公允价值变动直接计入股东权益，待该金融资产终止确认时，原直接 计入权益的公允价值变动累计额转入当期损益。可供出售债务工具投资在持有期间按实际利率法计算的利息，以及被投资单 位宣告发放的与可供出售权益工具投资相关的现金股利，作为投资收益计入当期损益。对于在活跃市场中没有报价且其公允 价值不能可靠计量的权益工具投资，按成本计量。</w:t>
      </w:r>
    </w:p>
    <w:p>
      <w:pPr>
        <w:pStyle w:val="Style32"/>
        <w:keepNext w:val="0"/>
        <w:keepLines w:val="0"/>
        <w:widowControl w:val="0"/>
        <w:shd w:val="clear" w:color="auto" w:fill="auto"/>
        <w:tabs>
          <w:tab w:pos="1118" w:val="left"/>
        </w:tabs>
        <w:bidi w:val="0"/>
        <w:spacing w:before="0" w:line="233" w:lineRule="exact"/>
        <w:ind w:left="0" w:right="0" w:firstLine="820"/>
        <w:jc w:val="both"/>
      </w:pPr>
      <w:bookmarkStart w:id="796" w:name="bookmark796"/>
      <w:r>
        <w:rPr>
          <w:color w:val="000000"/>
          <w:spacing w:val="0"/>
          <w:w w:val="100"/>
          <w:position w:val="0"/>
          <w:sz w:val="17"/>
          <w:szCs w:val="17"/>
        </w:rPr>
        <w:t>2</w:t>
      </w:r>
      <w:bookmarkEnd w:id="796"/>
      <w:r>
        <w:rPr>
          <w:color w:val="000000"/>
          <w:spacing w:val="0"/>
          <w:w w:val="100"/>
          <w:position w:val="0"/>
          <w:sz w:val="17"/>
          <w:szCs w:val="17"/>
        </w:rPr>
        <w:t>）</w:t>
        <w:tab/>
      </w:r>
      <w:r>
        <w:rPr>
          <w:color w:val="000000"/>
          <w:spacing w:val="0"/>
          <w:w w:val="100"/>
          <w:position w:val="0"/>
        </w:rPr>
        <w:t>金融资产转移的确认依据和计量方法</w:t>
      </w:r>
    </w:p>
    <w:p>
      <w:pPr>
        <w:pStyle w:val="Style32"/>
        <w:keepNext w:val="0"/>
        <w:keepLines w:val="0"/>
        <w:widowControl w:val="0"/>
        <w:shd w:val="clear" w:color="auto" w:fill="auto"/>
        <w:bidi w:val="0"/>
        <w:spacing w:before="0" w:line="234" w:lineRule="exact"/>
        <w:ind w:left="0" w:right="0" w:firstLine="460"/>
        <w:jc w:val="both"/>
      </w:pPr>
      <w:r>
        <w:rPr>
          <w:color w:val="000000"/>
          <w:spacing w:val="0"/>
          <w:w w:val="100"/>
          <w:position w:val="0"/>
        </w:rPr>
        <w:t>金融资产满足下列条件之一的，予以终止确认：①收取金融资产现金流量的权利届满；②转移了收取金融资产现金流 量的权利，或在“过手协议”下承担了及时将收取的现金流量全额支付给第三方的义务；并且（</w:t>
      </w:r>
      <w:r>
        <w:rPr>
          <w:color w:val="000000"/>
          <w:spacing w:val="0"/>
          <w:w w:val="100"/>
          <w:position w:val="0"/>
          <w:sz w:val="17"/>
          <w:szCs w:val="17"/>
        </w:rPr>
        <w:t>a）</w:t>
      </w:r>
      <w:r>
        <w:rPr>
          <w:color w:val="000000"/>
          <w:spacing w:val="0"/>
          <w:w w:val="100"/>
          <w:position w:val="0"/>
        </w:rPr>
        <w:t>实质上转让了金融资产所 有权上几乎所有的风险和报酬，或</w:t>
      </w:r>
      <w:r>
        <w:rPr>
          <w:color w:val="000000"/>
          <w:spacing w:val="0"/>
          <w:w w:val="100"/>
          <w:position w:val="0"/>
          <w:sz w:val="17"/>
          <w:szCs w:val="17"/>
        </w:rPr>
        <w:t>（b）</w:t>
      </w:r>
      <w:r>
        <w:rPr>
          <w:color w:val="000000"/>
          <w:spacing w:val="0"/>
          <w:w w:val="100"/>
          <w:position w:val="0"/>
        </w:rPr>
        <w:t>虽然实质上既没有转移也没有保留金融资产所有权上几乎所有的风险和报酬，但放弃 了对该金融资产的控制。</w:t>
      </w:r>
    </w:p>
    <w:p>
      <w:pPr>
        <w:pStyle w:val="Style32"/>
        <w:keepNext w:val="0"/>
        <w:keepLines w:val="0"/>
        <w:widowControl w:val="0"/>
        <w:shd w:val="clear" w:color="auto" w:fill="auto"/>
        <w:bidi w:val="0"/>
        <w:spacing w:before="0" w:line="230" w:lineRule="exact"/>
        <w:ind w:left="0" w:right="0" w:firstLine="460"/>
        <w:jc w:val="both"/>
      </w:pPr>
      <w:r>
        <w:rPr>
          <w:color w:val="000000"/>
          <w:spacing w:val="0"/>
          <w:w w:val="100"/>
          <w:position w:val="0"/>
        </w:rPr>
        <w:t>企业既没有转移也没有保留金融资产所有权上几乎所有的风险和报酬，且未放弃对该金融资产控制的，则按照其继续 涉入所转移金融资产的程度确认有关金融资产，并相应确认有关负债。</w:t>
      </w:r>
    </w:p>
    <w:p>
      <w:pPr>
        <w:pStyle w:val="Style32"/>
        <w:keepNext w:val="0"/>
        <w:keepLines w:val="0"/>
        <w:widowControl w:val="0"/>
        <w:shd w:val="clear" w:color="auto" w:fill="auto"/>
        <w:bidi w:val="0"/>
        <w:spacing w:before="0" w:line="230" w:lineRule="exact"/>
        <w:ind w:left="0" w:right="0" w:firstLine="460"/>
        <w:jc w:val="both"/>
      </w:pPr>
      <w:r>
        <w:rPr>
          <w:color w:val="000000"/>
          <w:spacing w:val="0"/>
          <w:w w:val="100"/>
          <w:position w:val="0"/>
        </w:rPr>
        <w:t>金融资产整体转移满足终止确认条件的，将所转移金融资产的账面价值，与因转移而收到的对价及原计入其他综合收 益的公允价值变动累计额之和的差额计入当期损益。</w:t>
      </w:r>
    </w:p>
    <w:p>
      <w:pPr>
        <w:pStyle w:val="Style32"/>
        <w:keepNext w:val="0"/>
        <w:keepLines w:val="0"/>
        <w:widowControl w:val="0"/>
        <w:shd w:val="clear" w:color="auto" w:fill="auto"/>
        <w:bidi w:val="0"/>
        <w:spacing w:before="0" w:line="230" w:lineRule="exact"/>
        <w:ind w:left="0" w:right="0" w:firstLine="4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 变动累计额之和，与分摊的前述账面金额的差额计入当期损益。</w:t>
      </w:r>
    </w:p>
    <w:p>
      <w:pPr>
        <w:pStyle w:val="Style32"/>
        <w:keepNext w:val="0"/>
        <w:keepLines w:val="0"/>
        <w:widowControl w:val="0"/>
        <w:shd w:val="clear" w:color="auto" w:fill="auto"/>
        <w:tabs>
          <w:tab w:pos="1118" w:val="left"/>
        </w:tabs>
        <w:bidi w:val="0"/>
        <w:spacing w:before="0" w:line="233" w:lineRule="exact"/>
        <w:ind w:left="0" w:right="0" w:firstLine="820"/>
        <w:jc w:val="both"/>
      </w:pPr>
      <w:bookmarkStart w:id="797" w:name="bookmark797"/>
      <w:r>
        <w:rPr>
          <w:color w:val="000000"/>
          <w:spacing w:val="0"/>
          <w:w w:val="100"/>
          <w:position w:val="0"/>
          <w:sz w:val="17"/>
          <w:szCs w:val="17"/>
        </w:rPr>
        <w:t>3</w:t>
      </w:r>
      <w:bookmarkEnd w:id="797"/>
      <w:r>
        <w:rPr>
          <w:color w:val="000000"/>
          <w:spacing w:val="0"/>
          <w:w w:val="100"/>
          <w:position w:val="0"/>
          <w:sz w:val="17"/>
          <w:szCs w:val="17"/>
        </w:rPr>
        <w:t>）</w:t>
        <w:tab/>
      </w:r>
      <w:r>
        <w:rPr>
          <w:color w:val="000000"/>
          <w:spacing w:val="0"/>
          <w:w w:val="100"/>
          <w:position w:val="0"/>
        </w:rPr>
        <w:t>金融资产减值的测试方法及会计处理方法</w:t>
      </w:r>
    </w:p>
    <w:p>
      <w:pPr>
        <w:pStyle w:val="Style32"/>
        <w:keepNext w:val="0"/>
        <w:keepLines w:val="0"/>
        <w:widowControl w:val="0"/>
        <w:shd w:val="clear" w:color="auto" w:fill="auto"/>
        <w:bidi w:val="0"/>
        <w:spacing w:before="0" w:line="232" w:lineRule="exact"/>
        <w:ind w:left="0" w:right="0" w:firstLine="460"/>
        <w:jc w:val="both"/>
      </w:pPr>
      <w:r>
        <w:rPr>
          <w:color w:val="000000"/>
          <w:spacing w:val="0"/>
          <w:w w:val="100"/>
          <w:position w:val="0"/>
        </w:rPr>
        <w:t>本集团于资产负债表日对金融资产的账面价值进行检查，有客观证据表明该金融资产发生减值的，计提减值准备。表 明金融资产发生减值的客观证据，是指金融资产初始确认后实际发生的、对该金融资产的预计未来现金流量有影响，且企业 能够对该影响进行可靠计量的事项。金融资产发生减值的客观证据，包括发行人或债务人发生严重财务困难、债务人违反合 同条款（如偿付利息或本金发生违约或逾期等）、债务人很可能倒闭或进行其他财务重组，以及公开的数据显示预计未来现金 流量确已减少且可计量。</w:t>
      </w:r>
    </w:p>
    <w:p>
      <w:pPr>
        <w:pStyle w:val="Style32"/>
        <w:keepNext w:val="0"/>
        <w:keepLines w:val="0"/>
        <w:widowControl w:val="0"/>
        <w:shd w:val="clear" w:color="auto" w:fill="auto"/>
        <w:bidi w:val="0"/>
        <w:spacing w:before="0" w:line="233" w:lineRule="exact"/>
        <w:ind w:left="0" w:right="0" w:firstLine="460"/>
        <w:jc w:val="both"/>
      </w:pPr>
      <w:bookmarkStart w:id="798" w:name="bookmark798"/>
      <w:r>
        <w:rPr>
          <w:color w:val="000000"/>
          <w:spacing w:val="0"/>
          <w:w w:val="100"/>
          <w:position w:val="0"/>
          <w:sz w:val="17"/>
          <w:szCs w:val="17"/>
        </w:rPr>
        <w:t>A</w:t>
      </w:r>
      <w:bookmarkEnd w:id="798"/>
      <w:r>
        <w:rPr>
          <w:color w:val="000000"/>
          <w:spacing w:val="0"/>
          <w:w w:val="100"/>
          <w:position w:val="0"/>
        </w:rPr>
        <w:t>、</w:t>
      </w:r>
      <w:r>
        <w:rPr>
          <w:color w:val="000000"/>
          <w:spacing w:val="0"/>
          <w:w w:val="100"/>
          <w:position w:val="0"/>
        </w:rPr>
        <w:t>以摊余成本计量的金融资产</w:t>
      </w:r>
    </w:p>
    <w:p>
      <w:pPr>
        <w:pStyle w:val="Style32"/>
        <w:keepNext w:val="0"/>
        <w:keepLines w:val="0"/>
        <w:widowControl w:val="0"/>
        <w:shd w:val="clear" w:color="auto" w:fill="auto"/>
        <w:bidi w:val="0"/>
        <w:spacing w:before="0" w:line="234" w:lineRule="exact"/>
        <w:ind w:left="0" w:right="0" w:firstLine="460"/>
        <w:jc w:val="both"/>
      </w:pPr>
      <w:r>
        <w:rPr>
          <w:color w:val="000000"/>
          <w:spacing w:val="0"/>
          <w:w w:val="100"/>
          <w:position w:val="0"/>
        </w:rPr>
        <w:t>发生减值时，将该金融资产的账面通过备抵项目价值减记至预计未来现金流量（不包括尚未发生的未来信用损失）现值， 减记金额计入当期损益。预计未来现金流量现值，按照该金融资产原实际利率（即初始确认时计算确定的实际利率）折现确 定，并考虑相关担保物的价值。减值后利息收入按照确定减值损失时对未来现金流量进行折现采用的折现率作为利率计算确 认。对于贷款和应收款项，如果没有未来收回的现实预期且所有抵押品均已变现或已转入本交易标的，则转销贷款和应收款 项以及与之相关的减值准备。</w:t>
      </w:r>
    </w:p>
    <w:p>
      <w:pPr>
        <w:pStyle w:val="Style32"/>
        <w:keepNext w:val="0"/>
        <w:keepLines w:val="0"/>
        <w:widowControl w:val="0"/>
        <w:shd w:val="clear" w:color="auto" w:fill="auto"/>
        <w:bidi w:val="0"/>
        <w:spacing w:before="0" w:line="233" w:lineRule="exact"/>
        <w:ind w:left="0" w:right="0" w:firstLine="460"/>
        <w:jc w:val="both"/>
      </w:pPr>
      <w:r>
        <w:rPr>
          <w:color w:val="000000"/>
          <w:spacing w:val="0"/>
          <w:w w:val="100"/>
          <w:position w:val="0"/>
        </w:rPr>
        <w:t>对单项金额重大的金融资产单独进行减值测试，如有客观证据表明其已发生减值，确认减值损失，计入当期损益。单 项金额不重大且按照组合计提坏账准备不能反映其风险特征的金融资产，将其从相关组合中分离出来，根据其未来现金流量 现值低于其账面价值的差额，确认减值损失，计提坏账准备。单独测试未发生减值的金融资产（包括单项金额重大和不重大 的金融资产），包括在具有类似信用风险特征的金融资产组合中再进行减值测试。已单项确认减值损失的金融资产，不包括 在具有类似信用风险特征的金融资产组合中进行减值测试。</w:t>
      </w:r>
    </w:p>
    <w:p>
      <w:pPr>
        <w:pStyle w:val="Style32"/>
        <w:keepNext w:val="0"/>
        <w:keepLines w:val="0"/>
        <w:widowControl w:val="0"/>
        <w:shd w:val="clear" w:color="auto" w:fill="auto"/>
        <w:bidi w:val="0"/>
        <w:spacing w:before="0" w:line="233" w:lineRule="exact"/>
        <w:ind w:left="0" w:right="0" w:firstLine="460"/>
        <w:jc w:val="both"/>
      </w:pPr>
      <w:r>
        <w:rPr>
          <w:color w:val="000000"/>
          <w:spacing w:val="0"/>
          <w:w w:val="100"/>
          <w:position w:val="0"/>
        </w:rPr>
        <w:t>本集团对以摊余成本计量的金融资产确认减值损失后，如有客观证据表明该金融资产价值已恢复，且客观上与确认该 损失后发生的事项有关，原确认的减值损失予以转回，计入当期损益。但是，该转回后的账面价值不超过假定不计提减值准 备情况下该金融资产在转回日的摊余成本。</w:t>
      </w:r>
    </w:p>
    <w:p>
      <w:pPr>
        <w:pStyle w:val="Style32"/>
        <w:keepNext w:val="0"/>
        <w:keepLines w:val="0"/>
        <w:widowControl w:val="0"/>
        <w:shd w:val="clear" w:color="auto" w:fill="auto"/>
        <w:tabs>
          <w:tab w:pos="789" w:val="left"/>
        </w:tabs>
        <w:bidi w:val="0"/>
        <w:spacing w:before="0" w:after="100" w:line="234" w:lineRule="exact"/>
        <w:ind w:left="0" w:right="0" w:firstLine="460"/>
        <w:jc w:val="both"/>
      </w:pPr>
      <w:bookmarkStart w:id="799" w:name="bookmark799"/>
      <w:r>
        <w:rPr>
          <w:color w:val="000000"/>
          <w:spacing w:val="0"/>
          <w:w w:val="100"/>
          <w:position w:val="0"/>
          <w:sz w:val="17"/>
          <w:szCs w:val="17"/>
        </w:rPr>
        <w:t>B</w:t>
      </w:r>
      <w:bookmarkEnd w:id="799"/>
      <w:r>
        <w:rPr>
          <w:color w:val="000000"/>
          <w:spacing w:val="0"/>
          <w:w w:val="100"/>
          <w:position w:val="0"/>
        </w:rPr>
        <w:t>、</w:t>
        <w:tab/>
      </w:r>
      <w:r>
        <w:rPr>
          <w:color w:val="000000"/>
          <w:spacing w:val="0"/>
          <w:w w:val="100"/>
          <w:position w:val="0"/>
        </w:rPr>
        <w:t>可供出售金融资产</w:t>
      </w:r>
    </w:p>
    <w:p>
      <w:pPr>
        <w:pStyle w:val="Style32"/>
        <w:keepNext w:val="0"/>
        <w:keepLines w:val="0"/>
        <w:widowControl w:val="0"/>
        <w:shd w:val="clear" w:color="auto" w:fill="auto"/>
        <w:bidi w:val="0"/>
        <w:spacing w:before="0" w:after="100" w:line="235" w:lineRule="exact"/>
        <w:ind w:left="0" w:right="0" w:firstLine="460"/>
        <w:jc w:val="both"/>
      </w:pPr>
      <w:r>
        <w:rPr>
          <w:color w:val="000000"/>
          <w:spacing w:val="0"/>
          <w:w w:val="100"/>
          <w:position w:val="0"/>
        </w:rPr>
        <w:t>如果有客观证据表明该金融资产发生减值，原计入其他综合收益的因公允价值下降形成的累计损失，予以转出，计入 当期损益。该转出的累计损失，为可供出售金融资产的初始取得成本扣除已收回本金和已摊销金额、当前公允价值和原已计 入损益的减值损失后的余额。</w:t>
      </w:r>
    </w:p>
    <w:p>
      <w:pPr>
        <w:pStyle w:val="Style32"/>
        <w:keepNext w:val="0"/>
        <w:keepLines w:val="0"/>
        <w:widowControl w:val="0"/>
        <w:shd w:val="clear" w:color="auto" w:fill="auto"/>
        <w:bidi w:val="0"/>
        <w:spacing w:before="0" w:after="100" w:line="234" w:lineRule="exact"/>
        <w:ind w:left="0" w:right="0" w:firstLine="460"/>
        <w:jc w:val="both"/>
      </w:pPr>
      <w:r>
        <w:rPr>
          <w:color w:val="000000"/>
          <w:spacing w:val="0"/>
          <w:w w:val="100"/>
          <w:position w:val="0"/>
        </w:rPr>
        <w:t>可供出售权益工具投资发生减值的客观证据，包括公允价值发生严重或非暂时性下跌。“严重”根据公允价值低于成 本的程度进行判断，“非暂时性”根据公允价值低于成本的期间长短进行判断。存在发生减值的客观证据的，转出的累计损 失，为取得成本扣除当前公允价值和原已计入损益的减值损失后的余额。可供出售权益工具投资发生的减值损失，不通过损 益转回，减值之后发生的公允价值增加直接在其他综合收益中确认。</w:t>
      </w:r>
    </w:p>
    <w:p>
      <w:pPr>
        <w:pStyle w:val="Style32"/>
        <w:keepNext w:val="0"/>
        <w:keepLines w:val="0"/>
        <w:widowControl w:val="0"/>
        <w:shd w:val="clear" w:color="auto" w:fill="auto"/>
        <w:bidi w:val="0"/>
        <w:spacing w:before="0" w:after="100" w:line="235" w:lineRule="exact"/>
        <w:ind w:left="0" w:right="0" w:firstLine="460"/>
        <w:jc w:val="both"/>
      </w:pPr>
      <w:r>
        <w:rPr>
          <w:color w:val="000000"/>
          <w:spacing w:val="0"/>
          <w:w w:val="100"/>
          <w:position w:val="0"/>
        </w:rPr>
        <w:t>在确定何谓“严重”或“非暂时性”时，需要进行判断。本交易标的根据公允价值低于成本的程度或期间长短，结合 其他因素进行判断。</w:t>
      </w:r>
    </w:p>
    <w:p>
      <w:pPr>
        <w:pStyle w:val="Style32"/>
        <w:keepNext w:val="0"/>
        <w:keepLines w:val="0"/>
        <w:widowControl w:val="0"/>
        <w:shd w:val="clear" w:color="auto" w:fill="auto"/>
        <w:bidi w:val="0"/>
        <w:spacing w:before="0" w:after="100" w:line="233" w:lineRule="exact"/>
        <w:ind w:left="0" w:right="0" w:firstLine="460"/>
        <w:jc w:val="both"/>
      </w:pPr>
      <w:r>
        <w:rPr>
          <w:color w:val="000000"/>
          <w:spacing w:val="0"/>
          <w:w w:val="100"/>
          <w:position w:val="0"/>
        </w:rPr>
        <w:t>对于可供出售债务工具投资，其减值按照与以摊余成本计量的金融资产相同的方法评估。不过，转出的累计损失，为 摊余成本扣除当前公允价值和原已计入损益的减值损失后的余额。减值后利息收入按照确定减值损失时对未来现金流量进 行折现采用的折现率作为利率计算确认。</w:t>
      </w:r>
    </w:p>
    <w:p>
      <w:pPr>
        <w:pStyle w:val="Style32"/>
        <w:keepNext w:val="0"/>
        <w:keepLines w:val="0"/>
        <w:widowControl w:val="0"/>
        <w:shd w:val="clear" w:color="auto" w:fill="auto"/>
        <w:bidi w:val="0"/>
        <w:spacing w:before="0" w:after="100" w:line="240" w:lineRule="exact"/>
        <w:ind w:left="0" w:right="0" w:firstLine="460"/>
        <w:jc w:val="both"/>
      </w:pPr>
      <w:r>
        <w:rPr>
          <w:color w:val="000000"/>
          <w:spacing w:val="0"/>
          <w:w w:val="100"/>
          <w:position w:val="0"/>
        </w:rPr>
        <w:t>对于已确认减值损失的可供出售债务工具，在随后的会计期间公允价值已上升且客观上与确认原减值损失确认后发生 的事项有关的，原确认的减值损失予以转回，计入当期损益。</w:t>
      </w:r>
    </w:p>
    <w:p>
      <w:pPr>
        <w:pStyle w:val="Style32"/>
        <w:keepNext w:val="0"/>
        <w:keepLines w:val="0"/>
        <w:widowControl w:val="0"/>
        <w:shd w:val="clear" w:color="auto" w:fill="auto"/>
        <w:tabs>
          <w:tab w:pos="789" w:val="left"/>
        </w:tabs>
        <w:bidi w:val="0"/>
        <w:spacing w:before="0" w:after="100" w:line="234" w:lineRule="exact"/>
        <w:ind w:left="0" w:right="0" w:firstLine="460"/>
        <w:jc w:val="both"/>
      </w:pPr>
      <w:bookmarkStart w:id="800" w:name="bookmark800"/>
      <w:r>
        <w:rPr>
          <w:color w:val="000000"/>
          <w:spacing w:val="0"/>
          <w:w w:val="100"/>
          <w:position w:val="0"/>
          <w:sz w:val="17"/>
          <w:szCs w:val="17"/>
        </w:rPr>
        <w:t>C</w:t>
      </w:r>
      <w:bookmarkEnd w:id="800"/>
      <w:r>
        <w:rPr>
          <w:color w:val="000000"/>
          <w:spacing w:val="0"/>
          <w:w w:val="100"/>
          <w:position w:val="0"/>
        </w:rPr>
        <w:t>、</w:t>
        <w:tab/>
      </w:r>
      <w:r>
        <w:rPr>
          <w:color w:val="000000"/>
          <w:spacing w:val="0"/>
          <w:w w:val="100"/>
          <w:position w:val="0"/>
        </w:rPr>
        <w:t>以成本计量的金融资产</w:t>
      </w:r>
    </w:p>
    <w:p>
      <w:pPr>
        <w:pStyle w:val="Style32"/>
        <w:keepNext w:val="0"/>
        <w:keepLines w:val="0"/>
        <w:widowControl w:val="0"/>
        <w:shd w:val="clear" w:color="auto" w:fill="auto"/>
        <w:bidi w:val="0"/>
        <w:spacing w:before="0" w:after="100" w:line="235" w:lineRule="exact"/>
        <w:ind w:left="0" w:right="0" w:firstLine="460"/>
        <w:jc w:val="both"/>
      </w:pPr>
      <w:r>
        <w:rPr>
          <w:color w:val="000000"/>
          <w:spacing w:val="0"/>
          <w:w w:val="100"/>
          <w:position w:val="0"/>
        </w:rPr>
        <w:t>如果有客观证据表明该金融资产发生减值，将该金融资产的账面价值，与按照类似金融资产当时市场收益率对未来现 金流量折现确定的现值之间的差额，确认为减值损失，计入当期损益。发生的减值损失一经确认，不再转回。</w:t>
      </w:r>
    </w:p>
    <w:p>
      <w:pPr>
        <w:pStyle w:val="Style32"/>
        <w:keepNext w:val="0"/>
        <w:keepLines w:val="0"/>
        <w:widowControl w:val="0"/>
        <w:shd w:val="clear" w:color="auto" w:fill="auto"/>
        <w:tabs>
          <w:tab w:pos="846" w:val="left"/>
        </w:tabs>
        <w:bidi w:val="0"/>
        <w:spacing w:before="0" w:after="100" w:line="234" w:lineRule="exact"/>
        <w:ind w:left="0" w:right="0" w:firstLine="460"/>
        <w:jc w:val="both"/>
      </w:pPr>
      <w:bookmarkStart w:id="801" w:name="bookmark801"/>
      <w:r>
        <w:rPr>
          <w:color w:val="000000"/>
          <w:spacing w:val="0"/>
          <w:w w:val="100"/>
          <w:position w:val="0"/>
          <w:sz w:val="17"/>
          <w:szCs w:val="17"/>
        </w:rPr>
        <w:t>（</w:t>
      </w:r>
      <w:bookmarkEnd w:id="801"/>
      <w:r>
        <w:rPr>
          <w:color w:val="000000"/>
          <w:spacing w:val="0"/>
          <w:w w:val="100"/>
          <w:position w:val="0"/>
          <w:sz w:val="17"/>
          <w:szCs w:val="17"/>
        </w:rPr>
        <w:t>2）</w:t>
        <w:tab/>
      </w:r>
      <w:r>
        <w:rPr>
          <w:color w:val="000000"/>
          <w:spacing w:val="0"/>
          <w:w w:val="100"/>
          <w:position w:val="0"/>
        </w:rPr>
        <w:t>金融负债</w:t>
      </w:r>
    </w:p>
    <w:p>
      <w:pPr>
        <w:pStyle w:val="Style32"/>
        <w:keepNext w:val="0"/>
        <w:keepLines w:val="0"/>
        <w:widowControl w:val="0"/>
        <w:shd w:val="clear" w:color="auto" w:fill="auto"/>
        <w:tabs>
          <w:tab w:pos="1110" w:val="left"/>
        </w:tabs>
        <w:bidi w:val="0"/>
        <w:spacing w:before="0" w:after="100" w:line="234" w:lineRule="exact"/>
        <w:ind w:left="0" w:right="0" w:firstLine="820"/>
        <w:jc w:val="both"/>
      </w:pPr>
      <w:bookmarkStart w:id="802" w:name="bookmark802"/>
      <w:r>
        <w:rPr>
          <w:color w:val="000000"/>
          <w:spacing w:val="0"/>
          <w:w w:val="100"/>
          <w:position w:val="0"/>
          <w:sz w:val="17"/>
          <w:szCs w:val="17"/>
        </w:rPr>
        <w:t>1</w:t>
      </w:r>
      <w:bookmarkEnd w:id="802"/>
      <w:r>
        <w:rPr>
          <w:color w:val="000000"/>
          <w:spacing w:val="0"/>
          <w:w w:val="100"/>
          <w:position w:val="0"/>
          <w:sz w:val="17"/>
          <w:szCs w:val="17"/>
        </w:rPr>
        <w:t>）</w:t>
        <w:tab/>
      </w:r>
      <w:r>
        <w:rPr>
          <w:color w:val="000000"/>
          <w:spacing w:val="0"/>
          <w:w w:val="100"/>
          <w:position w:val="0"/>
        </w:rPr>
        <w:t>金融负债分类、确认依据和计量方法</w:t>
      </w:r>
    </w:p>
    <w:p>
      <w:pPr>
        <w:pStyle w:val="Style32"/>
        <w:keepNext w:val="0"/>
        <w:keepLines w:val="0"/>
        <w:widowControl w:val="0"/>
        <w:shd w:val="clear" w:color="auto" w:fill="auto"/>
        <w:bidi w:val="0"/>
        <w:spacing w:before="0" w:after="100" w:line="234" w:lineRule="exact"/>
        <w:ind w:left="0" w:right="0" w:firstLine="460"/>
        <w:jc w:val="both"/>
      </w:pPr>
      <w:r>
        <w:rPr>
          <w:color w:val="000000"/>
          <w:spacing w:val="0"/>
          <w:w w:val="100"/>
          <w:position w:val="0"/>
        </w:rPr>
        <w:t>本集团的金融负债于初始确认时分类为以公允价值计量且其变动计入当期损益的金融负债和其他金融负债。</w:t>
      </w:r>
    </w:p>
    <w:p>
      <w:pPr>
        <w:pStyle w:val="Style32"/>
        <w:keepNext w:val="0"/>
        <w:keepLines w:val="0"/>
        <w:widowControl w:val="0"/>
        <w:shd w:val="clear" w:color="auto" w:fill="auto"/>
        <w:bidi w:val="0"/>
        <w:spacing w:before="0" w:after="100" w:line="233" w:lineRule="exact"/>
        <w:ind w:left="0" w:right="0" w:firstLine="460"/>
        <w:jc w:val="both"/>
      </w:pPr>
      <w:r>
        <w:rPr>
          <w:color w:val="000000"/>
          <w:spacing w:val="0"/>
          <w:w w:val="100"/>
          <w:position w:val="0"/>
        </w:rPr>
        <w:t>以公允价值计量且其变动计入当期损益的金融负债，包括交易性金融负债和初始确认时指定为以公允价值计量且其变 动计入当期损益的金融负债。交易性金融负债，是指满足下列条件之一的金融负债：承担该金融负债的目的是为了在近期内 回购；属于进行集中管理的可辨认金融工具组合的一部分，且有客观证据表明企业近期采用短期获利方式对该组合进行管 理；属于衍生工具，但是，被指定且为有效套期工具的衍生工具、属于财务担保合同的衍生工具、与在活跃市场中没有报价 且其公允价值不能可靠计量的权益工具投资挂钩并须通过交付该权益工具结算的衍生工具除外。对于此类金融负债，按照公 允价值进行后续计量，所有已实现和未实现的损益均计入当期损益。</w:t>
      </w:r>
    </w:p>
    <w:p>
      <w:pPr>
        <w:pStyle w:val="Style32"/>
        <w:keepNext w:val="0"/>
        <w:keepLines w:val="0"/>
        <w:widowControl w:val="0"/>
        <w:shd w:val="clear" w:color="auto" w:fill="auto"/>
        <w:bidi w:val="0"/>
        <w:spacing w:before="0" w:after="100" w:line="234" w:lineRule="exact"/>
        <w:ind w:left="0" w:right="0" w:firstLine="460"/>
        <w:jc w:val="both"/>
      </w:pPr>
      <w:r>
        <w:rPr>
          <w:color w:val="000000"/>
          <w:spacing w:val="0"/>
          <w:w w:val="100"/>
          <w:position w:val="0"/>
        </w:rPr>
        <w:t>其他金融负债，采用实际利率法，按照摊余成本进行后续计量。</w:t>
      </w:r>
    </w:p>
    <w:p>
      <w:pPr>
        <w:pStyle w:val="Style32"/>
        <w:keepNext w:val="0"/>
        <w:keepLines w:val="0"/>
        <w:widowControl w:val="0"/>
        <w:shd w:val="clear" w:color="auto" w:fill="auto"/>
        <w:tabs>
          <w:tab w:pos="1120" w:val="left"/>
        </w:tabs>
        <w:bidi w:val="0"/>
        <w:spacing w:before="0" w:after="100" w:line="234" w:lineRule="exact"/>
        <w:ind w:left="0" w:right="0" w:firstLine="820"/>
        <w:jc w:val="both"/>
      </w:pPr>
      <w:bookmarkStart w:id="803" w:name="bookmark803"/>
      <w:r>
        <w:rPr>
          <w:color w:val="000000"/>
          <w:spacing w:val="0"/>
          <w:w w:val="100"/>
          <w:position w:val="0"/>
          <w:sz w:val="17"/>
          <w:szCs w:val="17"/>
        </w:rPr>
        <w:t>2</w:t>
      </w:r>
      <w:bookmarkEnd w:id="803"/>
      <w:r>
        <w:rPr>
          <w:color w:val="000000"/>
          <w:spacing w:val="0"/>
          <w:w w:val="100"/>
          <w:position w:val="0"/>
          <w:sz w:val="17"/>
          <w:szCs w:val="17"/>
        </w:rPr>
        <w:t>）</w:t>
        <w:tab/>
      </w:r>
      <w:r>
        <w:rPr>
          <w:color w:val="000000"/>
          <w:spacing w:val="0"/>
          <w:w w:val="100"/>
          <w:position w:val="0"/>
        </w:rPr>
        <w:t>金融负债终止确认条件</w:t>
      </w:r>
    </w:p>
    <w:p>
      <w:pPr>
        <w:pStyle w:val="Style32"/>
        <w:keepNext w:val="0"/>
        <w:keepLines w:val="0"/>
        <w:widowControl w:val="0"/>
        <w:shd w:val="clear" w:color="auto" w:fill="auto"/>
        <w:bidi w:val="0"/>
        <w:spacing w:before="0" w:after="100" w:line="234" w:lineRule="exact"/>
        <w:ind w:left="0" w:right="0" w:firstLine="460"/>
        <w:jc w:val="both"/>
      </w:pPr>
      <w:r>
        <w:rPr>
          <w:color w:val="000000"/>
          <w:spacing w:val="0"/>
          <w:w w:val="100"/>
          <w:position w:val="0"/>
        </w:rPr>
        <w:t>当金融负债的现时义务全部或部分已经解除时，终止确认该金融负债或义务已解除的部分。公司与债权人之间签订协 议，以承担新金融负债方式替换现存金融负债，且新金融负债与现存金融负债的合同条款实质上不同的，终止确认现存金融 负债，并同时确认新金融负债。公司对现存金融负债全部或部分的合同条款作出实质性修改的，终止确认现存金融负债或其 一部分，同时将修改条款后的金融负债确认为一项新金融负债。终止确认部分的账面价值与支付的对价之间的差额，计入当 期损益。</w:t>
      </w:r>
    </w:p>
    <w:p>
      <w:pPr>
        <w:pStyle w:val="Style32"/>
        <w:keepNext w:val="0"/>
        <w:keepLines w:val="0"/>
        <w:widowControl w:val="0"/>
        <w:shd w:val="clear" w:color="auto" w:fill="auto"/>
        <w:tabs>
          <w:tab w:pos="846" w:val="left"/>
        </w:tabs>
        <w:bidi w:val="0"/>
        <w:spacing w:before="0" w:after="100" w:line="234" w:lineRule="exact"/>
        <w:ind w:left="0" w:right="0" w:firstLine="460"/>
        <w:jc w:val="both"/>
      </w:pPr>
      <w:bookmarkStart w:id="804" w:name="bookmark804"/>
      <w:r>
        <w:rPr>
          <w:color w:val="000000"/>
          <w:spacing w:val="0"/>
          <w:w w:val="100"/>
          <w:position w:val="0"/>
          <w:sz w:val="17"/>
          <w:szCs w:val="17"/>
        </w:rPr>
        <w:t>（</w:t>
      </w:r>
      <w:bookmarkEnd w:id="804"/>
      <w:r>
        <w:rPr>
          <w:color w:val="000000"/>
          <w:spacing w:val="0"/>
          <w:w w:val="100"/>
          <w:position w:val="0"/>
          <w:sz w:val="17"/>
          <w:szCs w:val="17"/>
        </w:rPr>
        <w:t>3）</w:t>
        <w:tab/>
      </w:r>
      <w:r>
        <w:rPr>
          <w:color w:val="000000"/>
          <w:spacing w:val="0"/>
          <w:w w:val="100"/>
          <w:position w:val="0"/>
        </w:rPr>
        <w:t>金融资产和金融负债的公允价值确定方法</w:t>
      </w:r>
    </w:p>
    <w:p>
      <w:pPr>
        <w:pStyle w:val="Style32"/>
        <w:keepNext w:val="0"/>
        <w:keepLines w:val="0"/>
        <w:widowControl w:val="0"/>
        <w:shd w:val="clear" w:color="auto" w:fill="auto"/>
        <w:bidi w:val="0"/>
        <w:spacing w:before="0" w:after="100" w:line="233" w:lineRule="exact"/>
        <w:ind w:left="0" w:right="0" w:firstLine="460"/>
        <w:jc w:val="both"/>
      </w:pPr>
      <w:r>
        <w:rPr>
          <w:color w:val="000000"/>
          <w:spacing w:val="0"/>
          <w:w w:val="100"/>
          <w:position w:val="0"/>
        </w:rPr>
        <w:t>本集团于每个资产负债表日以公允价值计量衍生金融工具。公允价值，是指市场参与者在计量日发生的有序交易中， 出售一项资产所能收到或者转移一项负债所需支付的价格。本交易标的以公允价值计量相关资产或负债，假定出售资产或者 转移负债的有序交易在相关资产或负债的主要市场进行；不存在主要市场的，本交易标的假定该交易在相关资产或负债的最 有利市场进行。主要市场（或最有利市场）是本交易标的在计量日能够进入的交易市场。本交易标的采用市场参与者在对该资 产或负债定价时为实现其经济利益最大化所使用的假设。</w:t>
      </w:r>
    </w:p>
    <w:p>
      <w:pPr>
        <w:pStyle w:val="Style32"/>
        <w:keepNext w:val="0"/>
        <w:keepLines w:val="0"/>
        <w:widowControl w:val="0"/>
        <w:shd w:val="clear" w:color="auto" w:fill="auto"/>
        <w:bidi w:val="0"/>
        <w:spacing w:before="0" w:after="100" w:line="240" w:lineRule="exact"/>
        <w:ind w:left="0" w:right="0" w:firstLine="460"/>
        <w:jc w:val="both"/>
      </w:pPr>
      <w:r>
        <w:rPr>
          <w:color w:val="000000"/>
          <w:spacing w:val="0"/>
          <w:w w:val="100"/>
          <w:position w:val="0"/>
        </w:rPr>
        <w:t>本集团以主要市场的价格计量金融资产和金融负债的公允价值，不存在主要市场的，以最有利市场的价格计量金融资 产和金融负债的公允价值，并且采用当时适用并且有足够可利用数据和其他信息支持的估值技术，优先使用相关可观察输入 值，只有在可观察输入值无法取得或取得不切实可行的情况下，才使用不可观察输入值。</w:t>
      </w:r>
    </w:p>
    <w:p>
      <w:pPr>
        <w:pStyle w:val="Style32"/>
        <w:keepNext w:val="0"/>
        <w:keepLines w:val="0"/>
        <w:widowControl w:val="0"/>
        <w:shd w:val="clear" w:color="auto" w:fill="auto"/>
        <w:bidi w:val="0"/>
        <w:spacing w:before="0" w:after="100" w:line="234" w:lineRule="exact"/>
        <w:ind w:left="0" w:right="0" w:firstLine="460"/>
        <w:jc w:val="both"/>
      </w:pPr>
      <w:r>
        <w:rPr>
          <w:color w:val="000000"/>
          <w:spacing w:val="0"/>
          <w:w w:val="100"/>
          <w:position w:val="0"/>
        </w:rPr>
        <w:t>在财务报表中以公允价值计量或披露的资产和负债，根据对公允价值计量整体而言具有重要意义的最低层次输入值， 确定所属的公允价值层次：第一层次输入值，在计量日能够取得的相同资产或负债在活跃市场上未经调整的报价；第二层次 输入值，除第一层次输入值外相关资产或负债直接或间接可观察的输入值；第三层次输入值，相关资产或负债的不可观察输 入值。</w:t>
      </w:r>
    </w:p>
    <w:p>
      <w:pPr>
        <w:pStyle w:val="Style32"/>
        <w:keepNext w:val="0"/>
        <w:keepLines w:val="0"/>
        <w:widowControl w:val="0"/>
        <w:shd w:val="clear" w:color="auto" w:fill="auto"/>
        <w:tabs>
          <w:tab w:pos="846" w:val="left"/>
        </w:tabs>
        <w:bidi w:val="0"/>
        <w:spacing w:before="0" w:after="100" w:line="234" w:lineRule="exact"/>
        <w:ind w:left="0" w:right="0" w:firstLine="460"/>
        <w:jc w:val="both"/>
      </w:pPr>
      <w:bookmarkStart w:id="805" w:name="bookmark805"/>
      <w:r>
        <w:rPr>
          <w:color w:val="000000"/>
          <w:spacing w:val="0"/>
          <w:w w:val="100"/>
          <w:position w:val="0"/>
          <w:sz w:val="17"/>
          <w:szCs w:val="17"/>
        </w:rPr>
        <w:t>（</w:t>
      </w:r>
      <w:bookmarkEnd w:id="805"/>
      <w:r>
        <w:rPr>
          <w:color w:val="000000"/>
          <w:spacing w:val="0"/>
          <w:w w:val="100"/>
          <w:position w:val="0"/>
          <w:sz w:val="17"/>
          <w:szCs w:val="17"/>
        </w:rPr>
        <w:t>4）</w:t>
        <w:tab/>
      </w:r>
      <w:r>
        <w:rPr>
          <w:color w:val="000000"/>
          <w:spacing w:val="0"/>
          <w:w w:val="100"/>
          <w:position w:val="0"/>
        </w:rPr>
        <w:t>金融工具抵销</w:t>
      </w:r>
    </w:p>
    <w:p>
      <w:pPr>
        <w:pStyle w:val="Style32"/>
        <w:keepNext w:val="0"/>
        <w:keepLines w:val="0"/>
        <w:widowControl w:val="0"/>
        <w:shd w:val="clear" w:color="auto" w:fill="auto"/>
        <w:bidi w:val="0"/>
        <w:spacing w:before="0" w:line="234" w:lineRule="exact"/>
        <w:ind w:left="0" w:right="0" w:firstLine="460"/>
        <w:jc w:val="both"/>
      </w:pPr>
      <w:r>
        <w:rPr>
          <w:color w:val="000000"/>
          <w:spacing w:val="0"/>
          <w:w w:val="100"/>
          <w:position w:val="0"/>
        </w:rPr>
        <w:t xml:space="preserve">同时满足下列条件的，金融资产和金融负债以相互抵销后的净额在资产负债表内列示：具有抵销已确认金额的法定权 </w:t>
      </w:r>
      <w:r>
        <w:rPr>
          <w:color w:val="000000"/>
          <w:spacing w:val="0"/>
          <w:w w:val="100"/>
          <w:position w:val="0"/>
        </w:rPr>
        <w:t>利，且该种法定权利是当前可执行的；计划以净额结算，或同时变现该金融资产和清偿该金融负债。</w:t>
      </w:r>
    </w:p>
    <w:p>
      <w:pPr>
        <w:pStyle w:val="Style32"/>
        <w:keepNext w:val="0"/>
        <w:keepLines w:val="0"/>
        <w:widowControl w:val="0"/>
        <w:shd w:val="clear" w:color="auto" w:fill="auto"/>
        <w:tabs>
          <w:tab w:pos="883" w:val="left"/>
        </w:tabs>
        <w:bidi w:val="0"/>
        <w:spacing w:before="0" w:line="234" w:lineRule="exact"/>
        <w:ind w:left="0" w:right="0" w:firstLine="460"/>
        <w:jc w:val="both"/>
      </w:pPr>
      <w:bookmarkStart w:id="806" w:name="bookmark806"/>
      <w:r>
        <w:rPr>
          <w:color w:val="000000"/>
          <w:spacing w:val="0"/>
          <w:w w:val="100"/>
          <w:position w:val="0"/>
          <w:sz w:val="17"/>
          <w:szCs w:val="17"/>
        </w:rPr>
        <w:t>（</w:t>
      </w:r>
      <w:bookmarkEnd w:id="806"/>
      <w:r>
        <w:rPr>
          <w:color w:val="000000"/>
          <w:spacing w:val="0"/>
          <w:w w:val="100"/>
          <w:position w:val="0"/>
          <w:sz w:val="17"/>
          <w:szCs w:val="17"/>
        </w:rPr>
        <w:t>5）</w:t>
        <w:tab/>
      </w:r>
      <w:r>
        <w:rPr>
          <w:color w:val="000000"/>
          <w:spacing w:val="0"/>
          <w:w w:val="100"/>
          <w:position w:val="0"/>
        </w:rPr>
        <w:t>财务担保合同</w:t>
      </w:r>
    </w:p>
    <w:p>
      <w:pPr>
        <w:pStyle w:val="Style32"/>
        <w:keepNext w:val="0"/>
        <w:keepLines w:val="0"/>
        <w:widowControl w:val="0"/>
        <w:shd w:val="clear" w:color="auto" w:fill="auto"/>
        <w:bidi w:val="0"/>
        <w:spacing w:before="0" w:line="235" w:lineRule="exact"/>
        <w:ind w:left="0" w:right="0" w:firstLine="460"/>
        <w:jc w:val="both"/>
      </w:pPr>
      <w:r>
        <w:rPr>
          <w:color w:val="000000"/>
          <w:spacing w:val="0"/>
          <w:w w:val="100"/>
          <w:position w:val="0"/>
        </w:rPr>
        <w:t>财务担保合同，是指保证人和债权人约定，当债务人不履行债务时，保证人按照约定履行债务或者承担责任的合同。 财务担保合同在初始确认时按照公允价值计量，不属于指定为以公允价值计量且其变动计入当期损益的金融负债的财务担 保合同，在初始确认后，按照资产负债表日履行相关现时义务所需支出的当前最佳估计数确定的金额，和初始确认金额扣除 （如适用）按照收入确认原则确定的累计摊销额后的余额，以两者之中的较高者进行后续计量。</w:t>
      </w:r>
    </w:p>
    <w:p>
      <w:pPr>
        <w:pStyle w:val="Style32"/>
        <w:keepNext w:val="0"/>
        <w:keepLines w:val="0"/>
        <w:widowControl w:val="0"/>
        <w:shd w:val="clear" w:color="auto" w:fill="auto"/>
        <w:tabs>
          <w:tab w:pos="883" w:val="left"/>
        </w:tabs>
        <w:bidi w:val="0"/>
        <w:spacing w:before="0" w:line="234" w:lineRule="exact"/>
        <w:ind w:left="0" w:right="0" w:firstLine="460"/>
        <w:jc w:val="both"/>
      </w:pPr>
      <w:bookmarkStart w:id="807" w:name="bookmark807"/>
      <w:r>
        <w:rPr>
          <w:color w:val="000000"/>
          <w:spacing w:val="0"/>
          <w:w w:val="100"/>
          <w:position w:val="0"/>
          <w:sz w:val="17"/>
          <w:szCs w:val="17"/>
        </w:rPr>
        <w:t>（</w:t>
      </w:r>
      <w:bookmarkEnd w:id="807"/>
      <w:r>
        <w:rPr>
          <w:color w:val="000000"/>
          <w:spacing w:val="0"/>
          <w:w w:val="100"/>
          <w:position w:val="0"/>
          <w:sz w:val="17"/>
          <w:szCs w:val="17"/>
        </w:rPr>
        <w:t>6）</w:t>
        <w:tab/>
      </w:r>
      <w:r>
        <w:rPr>
          <w:color w:val="000000"/>
          <w:spacing w:val="0"/>
          <w:w w:val="100"/>
          <w:position w:val="0"/>
        </w:rPr>
        <w:t>衍生金融工具</w:t>
      </w:r>
    </w:p>
    <w:p>
      <w:pPr>
        <w:pStyle w:val="Style32"/>
        <w:keepNext w:val="0"/>
        <w:keepLines w:val="0"/>
        <w:widowControl w:val="0"/>
        <w:shd w:val="clear" w:color="auto" w:fill="auto"/>
        <w:bidi w:val="0"/>
        <w:spacing w:before="0" w:line="232" w:lineRule="exact"/>
        <w:ind w:left="0" w:right="0" w:firstLine="460"/>
        <w:jc w:val="both"/>
      </w:pPr>
      <w:r>
        <w:rPr>
          <w:color w:val="000000"/>
          <w:spacing w:val="0"/>
          <w:w w:val="100"/>
          <w:position w:val="0"/>
        </w:rPr>
        <w:t>本集团使用衍生金融工具，例如以远期外汇合同对汇率风险进行套期保值。衍生金融工具初始以衍生交易合同签订当 日的公允价值进行计量，并以其公允价值进行后续计量。公允价值为正数的衍生金融工具确认为一项资产，公允价值为负数 的确认为一项负债。但对于在活跃市场中没有报价且其公允价值不能可靠计量的权益工具挂钩并须通过交付该权益工具结 算的衍生金融工具，按成本计量。</w:t>
      </w:r>
    </w:p>
    <w:p>
      <w:pPr>
        <w:pStyle w:val="Style32"/>
        <w:keepNext w:val="0"/>
        <w:keepLines w:val="0"/>
        <w:widowControl w:val="0"/>
        <w:shd w:val="clear" w:color="auto" w:fill="auto"/>
        <w:bidi w:val="0"/>
        <w:spacing w:before="0" w:after="540" w:line="234" w:lineRule="exact"/>
        <w:ind w:left="0" w:right="0" w:firstLine="460"/>
        <w:jc w:val="left"/>
      </w:pPr>
      <w:r>
        <w:rPr>
          <w:color w:val="000000"/>
          <w:spacing w:val="0"/>
          <w:w w:val="100"/>
          <w:position w:val="0"/>
        </w:rPr>
        <w:t>本集团衍生工具公允价值变动而产生的利得或损失，直接计入当期损益。</w:t>
      </w:r>
    </w:p>
    <w:p>
      <w:pPr>
        <w:pStyle w:val="Style36"/>
        <w:keepNext/>
        <w:keepLines/>
        <w:widowControl w:val="0"/>
        <w:shd w:val="clear" w:color="auto" w:fill="auto"/>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808"/>
      <w:bookmarkEnd w:id="809"/>
      <w:bookmarkEnd w:id="811"/>
    </w:p>
    <w:p>
      <w:pPr>
        <w:pStyle w:val="Style32"/>
        <w:keepNext w:val="0"/>
        <w:keepLines w:val="0"/>
        <w:widowControl w:val="0"/>
        <w:shd w:val="clear" w:color="auto" w:fill="auto"/>
        <w:bidi w:val="0"/>
        <w:spacing w:before="0" w:after="220" w:line="235" w:lineRule="exact"/>
        <w:ind w:left="0" w:right="0" w:firstLine="460"/>
        <w:jc w:val="both"/>
      </w:pPr>
      <w:r>
        <w:rPr>
          <w:color w:val="000000"/>
          <w:spacing w:val="0"/>
          <w:w w:val="100"/>
          <w:position w:val="0"/>
        </w:rPr>
        <w:t>本集团将下列情形作为应收款项坏账损失确认标准：债务单位撤销、破产、资不抵债、现金流量严重不足、发生严重 自然灾害等导致停产而在可预见的时间内无法偿付债务等；债务单位逾期未履行偿债义务；其他确凿证据表明确实无法收回 或收回的可能性不大。</w:t>
      </w:r>
    </w:p>
    <w:p>
      <w:pPr>
        <w:pStyle w:val="Style32"/>
        <w:keepNext w:val="0"/>
        <w:keepLines w:val="0"/>
        <w:widowControl w:val="0"/>
        <w:shd w:val="clear" w:color="auto" w:fill="auto"/>
        <w:bidi w:val="0"/>
        <w:spacing w:before="0" w:after="220" w:line="230" w:lineRule="exact"/>
        <w:ind w:left="0" w:right="0" w:firstLine="460"/>
        <w:jc w:val="both"/>
      </w:pPr>
      <w:r>
        <w:rPr>
          <w:color w:val="000000"/>
          <w:spacing w:val="0"/>
          <w:w w:val="100"/>
          <w:position w:val="0"/>
        </w:rPr>
        <w:t>对可能发生的坏账损失采用备抵法核算，年末单独或按组合进行减值测试，计提坏账准备，计入当期损益。对于有确 凿证据表明确实无法收回的应收款项，经本公司按规定程序批准后作为坏账损失，冲销提取的坏账准备。</w:t>
      </w:r>
    </w:p>
    <w:p>
      <w:pPr>
        <w:pStyle w:val="Style32"/>
        <w:keepNext w:val="0"/>
        <w:keepLines w:val="0"/>
        <w:widowControl w:val="0"/>
        <w:shd w:val="clear" w:color="auto" w:fill="auto"/>
        <w:bidi w:val="0"/>
        <w:spacing w:before="0" w:after="44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p>
    <w:tbl>
      <w:tblPr>
        <w:tblOverlap w:val="never"/>
        <w:jc w:val="left"/>
        <w:tblLayout w:type="fixed"/>
      </w:tblPr>
      <w:tblGrid>
        <w:gridCol w:w="3912"/>
        <w:gridCol w:w="4824"/>
      </w:tblGrid>
      <w:tr>
        <w:trPr>
          <w:trHeight w:val="5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对于一个项目或一个客户，期末余额人民币</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万元及以上 的应收款项为单项金额重大的应收款项</w:t>
            </w:r>
          </w:p>
        </w:tc>
      </w:tr>
      <w:tr>
        <w:trPr>
          <w:trHeight w:val="50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根据其未来现金流量现值低于其账面价值的差额，确认减值损 失，计提坏账准备</w:t>
            </w:r>
          </w:p>
        </w:tc>
      </w:tr>
    </w:tbl>
    <w:p>
      <w:pPr>
        <w:pStyle w:val="Style30"/>
        <w:keepNext w:val="0"/>
        <w:keepLines w:val="0"/>
        <w:widowControl w:val="0"/>
        <w:shd w:val="clear" w:color="auto" w:fill="auto"/>
        <w:bidi w:val="0"/>
        <w:spacing w:before="0" w:after="0" w:line="240" w:lineRule="auto"/>
        <w:ind w:left="6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p>
    <w:p>
      <w:pPr>
        <w:widowControl w:val="0"/>
        <w:spacing w:after="439" w:line="1" w:lineRule="exact"/>
      </w:pPr>
    </w:p>
    <w:tbl>
      <w:tblPr>
        <w:tblOverlap w:val="never"/>
        <w:jc w:val="left"/>
        <w:tblLayout w:type="fixed"/>
      </w:tblPr>
      <w:tblGrid>
        <w:gridCol w:w="2381"/>
        <w:gridCol w:w="6355"/>
      </w:tblGrid>
      <w:tr>
        <w:trPr>
          <w:trHeight w:val="269"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本集团应收款项以合同付款期限为信用账期。对于一个项目或一个客户，将超信 用账期天数</w:t>
            </w:r>
            <w:r>
              <w:rPr>
                <w:rFonts w:ascii="Times New Roman" w:eastAsia="Times New Roman" w:hAnsi="Times New Roman" w:cs="Times New Roman"/>
                <w:color w:val="000000"/>
                <w:spacing w:val="0"/>
                <w:w w:val="100"/>
                <w:position w:val="0"/>
              </w:rPr>
              <w:t>60</w:t>
            </w:r>
            <w:r>
              <w:rPr>
                <w:color w:val="000000"/>
                <w:spacing w:val="0"/>
                <w:w w:val="100"/>
                <w:position w:val="0"/>
              </w:rPr>
              <w:t>天以上的应收款项原值进行汇总，如果汇总金额在人民币</w:t>
            </w:r>
            <w:r>
              <w:rPr>
                <w:rFonts w:ascii="Times New Roman" w:eastAsia="Times New Roman" w:hAnsi="Times New Roman" w:cs="Times New Roman"/>
                <w:color w:val="000000"/>
                <w:spacing w:val="0"/>
                <w:w w:val="100"/>
                <w:position w:val="0"/>
              </w:rPr>
              <w:t>500</w:t>
            </w:r>
            <w:r>
              <w:rPr>
                <w:color w:val="000000"/>
                <w:spacing w:val="0"/>
                <w:w w:val="100"/>
                <w:position w:val="0"/>
              </w:rPr>
              <w:t>万元以 上的，对此所有的应收款项全额计提坏账准备，但如果取得客户回款证明或确认, 则按照账期组合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应收款项账龄分析法</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与关联方往来款，不计提坏账准备</w:t>
            </w:r>
          </w:p>
        </w:tc>
      </w:tr>
      <w:tr>
        <w:trPr>
          <w:trHeight w:val="2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投标和保函保证金、房租押金等不计提坏账准备</w:t>
            </w:r>
          </w:p>
        </w:tc>
      </w:tr>
    </w:tbl>
    <w:p>
      <w:pPr>
        <w:pStyle w:val="Style30"/>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）采用账龄分析法的应收款项坏账准备计提比例如下:</w:t>
      </w:r>
    </w:p>
    <w:p>
      <w:pPr>
        <w:widowControl w:val="0"/>
        <w:spacing w:after="219" w:line="1" w:lineRule="exact"/>
      </w:pPr>
    </w:p>
    <w:tbl>
      <w:tblPr>
        <w:tblOverlap w:val="never"/>
        <w:jc w:val="left"/>
        <w:tblLayout w:type="fixed"/>
      </w:tblPr>
      <w:tblGrid>
        <w:gridCol w:w="4925"/>
        <w:gridCol w:w="3811"/>
      </w:tblGrid>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应收账款计提比例（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信用期内及超信用期</w:t>
            </w:r>
            <w:r>
              <w:rPr>
                <w:rFonts w:ascii="Times New Roman" w:eastAsia="Times New Roman" w:hAnsi="Times New Roman" w:cs="Times New Roman"/>
                <w:color w:val="000000"/>
                <w:spacing w:val="0"/>
                <w:w w:val="100"/>
                <w:position w:val="0"/>
              </w:rPr>
              <w:t>1-30</w:t>
            </w:r>
            <w:r>
              <w:rPr>
                <w:color w:val="000000"/>
                <w:spacing w:val="0"/>
                <w:w w:val="100"/>
                <w:position w:val="0"/>
              </w:rPr>
              <w:t>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超信用期</w:t>
            </w:r>
            <w:r>
              <w:rPr>
                <w:rFonts w:ascii="Times New Roman" w:eastAsia="Times New Roman" w:hAnsi="Times New Roman" w:cs="Times New Roman"/>
                <w:color w:val="000000"/>
                <w:spacing w:val="0"/>
                <w:w w:val="100"/>
                <w:position w:val="0"/>
              </w:rPr>
              <w:t>31</w:t>
            </w:r>
            <w:r>
              <w:rPr>
                <w:color w:val="000000"/>
                <w:spacing w:val="0"/>
                <w:w w:val="100"/>
                <w:position w:val="0"/>
              </w:rPr>
              <w:t>天</w:t>
            </w:r>
            <w:r>
              <w:rPr>
                <w:rFonts w:ascii="Times New Roman" w:eastAsia="Times New Roman" w:hAnsi="Times New Roman" w:cs="Times New Roman"/>
                <w:color w:val="000000"/>
                <w:spacing w:val="0"/>
                <w:w w:val="100"/>
                <w:position w:val="0"/>
              </w:rPr>
              <w:t>-60</w:t>
            </w:r>
            <w:r>
              <w:rPr>
                <w:color w:val="000000"/>
                <w:spacing w:val="0"/>
                <w:w w:val="100"/>
                <w:position w:val="0"/>
              </w:rPr>
              <w:t>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超信用期</w:t>
            </w:r>
            <w:r>
              <w:rPr>
                <w:rFonts w:ascii="Times New Roman" w:eastAsia="Times New Roman" w:hAnsi="Times New Roman" w:cs="Times New Roman"/>
                <w:color w:val="000000"/>
                <w:spacing w:val="0"/>
                <w:w w:val="100"/>
                <w:position w:val="0"/>
              </w:rPr>
              <w:t>61</w:t>
            </w:r>
            <w:r>
              <w:rPr>
                <w:color w:val="000000"/>
                <w:spacing w:val="0"/>
                <w:w w:val="100"/>
                <w:position w:val="0"/>
              </w:rPr>
              <w:t>天</w:t>
            </w:r>
            <w:r>
              <w:rPr>
                <w:rFonts w:ascii="Times New Roman" w:eastAsia="Times New Roman" w:hAnsi="Times New Roman" w:cs="Times New Roman"/>
                <w:color w:val="000000"/>
                <w:spacing w:val="0"/>
                <w:w w:val="100"/>
                <w:position w:val="0"/>
              </w:rPr>
              <w:t>-90</w:t>
            </w:r>
            <w:r>
              <w:rPr>
                <w:color w:val="000000"/>
                <w:spacing w:val="0"/>
                <w:w w:val="100"/>
                <w:position w:val="0"/>
              </w:rPr>
              <w:t>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超信用期</w:t>
            </w:r>
            <w:r>
              <w:rPr>
                <w:rFonts w:ascii="Times New Roman" w:eastAsia="Times New Roman" w:hAnsi="Times New Roman" w:cs="Times New Roman"/>
                <w:color w:val="000000"/>
                <w:spacing w:val="0"/>
                <w:w w:val="100"/>
                <w:position w:val="0"/>
              </w:rPr>
              <w:t>91</w:t>
            </w:r>
            <w:r>
              <w:rPr>
                <w:color w:val="000000"/>
                <w:spacing w:val="0"/>
                <w:w w:val="100"/>
                <w:position w:val="0"/>
              </w:rPr>
              <w:t>天</w:t>
            </w:r>
            <w:r>
              <w:rPr>
                <w:rFonts w:ascii="Times New Roman" w:eastAsia="Times New Roman" w:hAnsi="Times New Roman" w:cs="Times New Roman"/>
                <w:color w:val="000000"/>
                <w:spacing w:val="0"/>
                <w:w w:val="100"/>
                <w:position w:val="0"/>
              </w:rPr>
              <w:t>-120</w:t>
            </w:r>
            <w:r>
              <w:rPr>
                <w:color w:val="000000"/>
                <w:spacing w:val="0"/>
                <w:w w:val="100"/>
                <w:position w:val="0"/>
              </w:rPr>
              <w:t>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26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超信用期</w:t>
            </w:r>
            <w:r>
              <w:rPr>
                <w:rFonts w:ascii="Times New Roman" w:eastAsia="Times New Roman" w:hAnsi="Times New Roman" w:cs="Times New Roman"/>
                <w:color w:val="000000"/>
                <w:spacing w:val="0"/>
                <w:w w:val="100"/>
                <w:position w:val="0"/>
              </w:rPr>
              <w:t>121</w:t>
            </w:r>
            <w:r>
              <w:rPr>
                <w:color w:val="000000"/>
                <w:spacing w:val="0"/>
                <w:w w:val="100"/>
                <w:position w:val="0"/>
              </w:rPr>
              <w:t>天</w:t>
            </w:r>
            <w:r>
              <w:rPr>
                <w:rFonts w:ascii="Times New Roman" w:eastAsia="Times New Roman" w:hAnsi="Times New Roman" w:cs="Times New Roman"/>
                <w:color w:val="000000"/>
                <w:spacing w:val="0"/>
                <w:w w:val="100"/>
                <w:position w:val="0"/>
              </w:rPr>
              <w:t xml:space="preserve">-15 </w:t>
            </w:r>
            <w:r>
              <w:rPr>
                <w:rFonts w:ascii="Times New Roman" w:eastAsia="Times New Roman" w:hAnsi="Times New Roman" w:cs="Times New Roman"/>
                <w:color w:val="000000"/>
                <w:spacing w:val="0"/>
                <w:w w:val="100"/>
                <w:position w:val="0"/>
              </w:rPr>
              <w:t>0</w:t>
            </w:r>
            <w:r>
              <w:rPr>
                <w:color w:val="000000"/>
                <w:spacing w:val="0"/>
                <w:w w:val="100"/>
                <w:position w:val="0"/>
              </w:rPr>
              <w:t>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r>
      <w:tr>
        <w:trPr>
          <w:trHeight w:val="2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超信用期</w:t>
            </w:r>
            <w:r>
              <w:rPr>
                <w:rFonts w:ascii="Times New Roman" w:eastAsia="Times New Roman" w:hAnsi="Times New Roman" w:cs="Times New Roman"/>
                <w:color w:val="000000"/>
                <w:spacing w:val="0"/>
                <w:w w:val="100"/>
                <w:position w:val="0"/>
              </w:rPr>
              <w:t>151</w:t>
            </w:r>
            <w:r>
              <w:rPr>
                <w:color w:val="000000"/>
                <w:spacing w:val="0"/>
                <w:w w:val="100"/>
                <w:position w:val="0"/>
              </w:rPr>
              <w:t>天</w:t>
            </w:r>
            <w:r>
              <w:rPr>
                <w:rFonts w:ascii="Times New Roman" w:eastAsia="Times New Roman" w:hAnsi="Times New Roman" w:cs="Times New Roman"/>
                <w:color w:val="000000"/>
                <w:spacing w:val="0"/>
                <w:w w:val="100"/>
                <w:position w:val="0"/>
              </w:rPr>
              <w:t xml:space="preserve">-18 </w:t>
            </w:r>
            <w:r>
              <w:rPr>
                <w:rFonts w:ascii="Times New Roman" w:eastAsia="Times New Roman" w:hAnsi="Times New Roman" w:cs="Times New Roman"/>
                <w:color w:val="000000"/>
                <w:spacing w:val="0"/>
                <w:w w:val="100"/>
                <w:position w:val="0"/>
              </w:rPr>
              <w:t>0</w:t>
            </w:r>
            <w:r>
              <w:rPr>
                <w:color w:val="000000"/>
                <w:spacing w:val="0"/>
                <w:w w:val="100"/>
                <w:position w:val="0"/>
              </w:rPr>
              <w:t>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r>
      <w:tr>
        <w:trPr>
          <w:trHeight w:val="2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超信用期</w:t>
            </w:r>
            <w:r>
              <w:rPr>
                <w:rFonts w:ascii="Times New Roman" w:eastAsia="Times New Roman" w:hAnsi="Times New Roman" w:cs="Times New Roman"/>
                <w:color w:val="000000"/>
                <w:spacing w:val="0"/>
                <w:w w:val="100"/>
                <w:position w:val="0"/>
              </w:rPr>
              <w:t>181</w:t>
            </w:r>
            <w:r>
              <w:rPr>
                <w:color w:val="000000"/>
                <w:spacing w:val="0"/>
                <w:w w:val="100"/>
                <w:position w:val="0"/>
              </w:rPr>
              <w:t>天以上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30"/>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）采用其他方法的应收款项坏账准备计提:</w:t>
      </w:r>
    </w:p>
    <w:tbl>
      <w:tblPr>
        <w:tblOverlap w:val="never"/>
        <w:jc w:val="left"/>
        <w:tblLayout w:type="fixed"/>
      </w:tblPr>
      <w:tblGrid>
        <w:gridCol w:w="2664"/>
        <w:gridCol w:w="6072"/>
      </w:tblGrid>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与关联方往来款，不计提坏账准备</w:t>
            </w:r>
          </w:p>
        </w:tc>
      </w:tr>
      <w:tr>
        <w:trPr>
          <w:trHeight w:val="2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投标和保函保证金、房租押金等不计提坏账准备</w:t>
            </w:r>
          </w:p>
        </w:tc>
      </w:tr>
    </w:tbl>
    <w:p>
      <w:pPr>
        <w:widowControl w:val="0"/>
        <w:spacing w:after="439" w:line="1" w:lineRule="exact"/>
      </w:pPr>
    </w:p>
    <w:p>
      <w:pPr>
        <w:pStyle w:val="Style32"/>
        <w:keepNext w:val="0"/>
        <w:keepLines w:val="0"/>
        <w:widowControl w:val="0"/>
        <w:shd w:val="clear" w:color="auto" w:fill="auto"/>
        <w:bidi w:val="0"/>
        <w:spacing w:before="0" w:after="440" w:line="240" w:lineRule="auto"/>
        <w:ind w:left="0" w:right="0" w:firstLine="300"/>
        <w:jc w:val="both"/>
      </w:pPr>
      <w:bookmarkStart w:id="812" w:name="bookmark812"/>
      <w:r>
        <w:rPr>
          <w:color w:val="000000"/>
          <w:spacing w:val="0"/>
          <w:w w:val="100"/>
          <w:position w:val="0"/>
          <w:sz w:val="17"/>
          <w:szCs w:val="17"/>
        </w:rPr>
        <w:t>（</w:t>
      </w:r>
      <w:bookmarkEnd w:id="812"/>
      <w:r>
        <w:rPr>
          <w:color w:val="000000"/>
          <w:spacing w:val="0"/>
          <w:w w:val="100"/>
          <w:position w:val="0"/>
          <w:sz w:val="17"/>
          <w:szCs w:val="17"/>
        </w:rPr>
        <w:t>3）</w:t>
      </w:r>
      <w:r>
        <w:rPr>
          <w:color w:val="000000"/>
          <w:spacing w:val="0"/>
          <w:w w:val="100"/>
          <w:position w:val="0"/>
        </w:rPr>
        <w:t>单项金额不重大但单独计提坏账准备的应收款项</w:t>
      </w:r>
    </w:p>
    <w:tbl>
      <w:tblPr>
        <w:tblOverlap w:val="never"/>
        <w:jc w:val="left"/>
        <w:tblLayout w:type="fixed"/>
      </w:tblPr>
      <w:tblGrid>
        <w:gridCol w:w="2664"/>
        <w:gridCol w:w="6072"/>
      </w:tblGrid>
      <w:tr>
        <w:trPr>
          <w:trHeight w:val="5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对于一个项目或一个客户，期末余额低于人民币</w:t>
            </w:r>
            <w:r>
              <w:rPr>
                <w:rFonts w:ascii="Times New Roman" w:eastAsia="Times New Roman" w:hAnsi="Times New Roman" w:cs="Times New Roman"/>
                <w:color w:val="000000"/>
                <w:spacing w:val="0"/>
                <w:w w:val="100"/>
                <w:position w:val="0"/>
              </w:rPr>
              <w:t>1,000</w:t>
            </w:r>
            <w:r>
              <w:rPr>
                <w:color w:val="000000"/>
                <w:spacing w:val="0"/>
                <w:w w:val="100"/>
                <w:position w:val="0"/>
              </w:rPr>
              <w:t>万元，按照组合计提坏 账准备不能反映其风险特征的应收款项</w:t>
            </w:r>
          </w:p>
        </w:tc>
      </w:tr>
      <w:tr>
        <w:trPr>
          <w:trHeight w:val="50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根据其未来现金流量现值低于其账面价值的差额，确认减值损失，计提坏账准 备</w:t>
            </w:r>
          </w:p>
        </w:tc>
      </w:tr>
    </w:tbl>
    <w:p>
      <w:pPr>
        <w:widowControl w:val="0"/>
        <w:spacing w:after="519" w:line="1" w:lineRule="exact"/>
      </w:pPr>
    </w:p>
    <w:p>
      <w:pPr>
        <w:pStyle w:val="Style36"/>
        <w:keepNext/>
        <w:keepLines/>
        <w:widowControl w:val="0"/>
        <w:shd w:val="clear" w:color="auto" w:fill="auto"/>
        <w:bidi w:val="0"/>
        <w:spacing w:before="0" w:after="240" w:line="240" w:lineRule="auto"/>
        <w:ind w:left="0" w:right="0" w:firstLine="0"/>
        <w:jc w:val="left"/>
      </w:pPr>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13"/>
      <w:bookmarkEnd w:id="814"/>
      <w:bookmarkEnd w:id="815"/>
    </w:p>
    <w:p>
      <w:pPr>
        <w:pStyle w:val="Style3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公司是否需要遵守特殊行业的披露要求 否</w:t>
      </w:r>
    </w:p>
    <w:p>
      <w:pPr>
        <w:pStyle w:val="Style32"/>
        <w:keepNext w:val="0"/>
        <w:keepLines w:val="0"/>
        <w:widowControl w:val="0"/>
        <w:shd w:val="clear" w:color="auto" w:fill="auto"/>
        <w:bidi w:val="0"/>
        <w:spacing w:before="0" w:after="240" w:line="233" w:lineRule="exact"/>
        <w:ind w:left="0" w:right="0" w:firstLine="440"/>
        <w:jc w:val="both"/>
      </w:pPr>
      <w:r>
        <w:rPr>
          <w:color w:val="000000"/>
          <w:spacing w:val="0"/>
          <w:w w:val="100"/>
          <w:position w:val="0"/>
        </w:rPr>
        <w:t>本集团存货主要包括库存商品等。</w:t>
      </w:r>
    </w:p>
    <w:p>
      <w:pPr>
        <w:pStyle w:val="Style32"/>
        <w:keepNext w:val="0"/>
        <w:keepLines w:val="0"/>
        <w:widowControl w:val="0"/>
        <w:shd w:val="clear" w:color="auto" w:fill="auto"/>
        <w:bidi w:val="0"/>
        <w:spacing w:before="0" w:after="240" w:line="233" w:lineRule="exact"/>
        <w:ind w:left="0" w:right="0" w:firstLine="440"/>
        <w:jc w:val="both"/>
      </w:pPr>
      <w:r>
        <w:rPr>
          <w:color w:val="000000"/>
          <w:spacing w:val="0"/>
          <w:w w:val="100"/>
          <w:position w:val="0"/>
        </w:rPr>
        <w:t>存货实行永续盘存制，存货在取得时按实际成本计价；发出存货，采用加权平均法确定其实际成本。</w:t>
      </w:r>
    </w:p>
    <w:p>
      <w:pPr>
        <w:pStyle w:val="Style32"/>
        <w:keepNext w:val="0"/>
        <w:keepLines w:val="0"/>
        <w:widowControl w:val="0"/>
        <w:shd w:val="clear" w:color="auto" w:fill="auto"/>
        <w:bidi w:val="0"/>
        <w:spacing w:before="0" w:after="240" w:line="233" w:lineRule="exact"/>
        <w:ind w:left="0" w:right="0" w:firstLine="440"/>
        <w:jc w:val="both"/>
      </w:pPr>
      <w:r>
        <w:rPr>
          <w:color w:val="000000"/>
          <w:spacing w:val="0"/>
          <w:w w:val="100"/>
          <w:position w:val="0"/>
        </w:rPr>
        <w:t>于资产负债表日，存货按照成本与可变现净值孰低计量，对成本高于可变现净值的，计提存货跌价准备，计入当期损 益。如果以前计提存货跌价准备的影响因素已经消失，使得存货的可变现净值高于其账面价值，则在原已计提的存货跌价准 备金额内，将以前减记的金额予以恢复，转回的金额计入当期损益。</w:t>
      </w:r>
    </w:p>
    <w:p>
      <w:pPr>
        <w:pStyle w:val="Style32"/>
        <w:keepNext w:val="0"/>
        <w:keepLines w:val="0"/>
        <w:widowControl w:val="0"/>
        <w:shd w:val="clear" w:color="auto" w:fill="auto"/>
        <w:bidi w:val="0"/>
        <w:spacing w:before="0" w:after="520" w:line="233" w:lineRule="exact"/>
        <w:ind w:left="0" w:right="0" w:firstLine="440"/>
        <w:jc w:val="both"/>
      </w:pPr>
      <w:r>
        <w:rPr>
          <w:color w:val="000000"/>
          <w:spacing w:val="0"/>
          <w:w w:val="100"/>
          <w:position w:val="0"/>
        </w:rPr>
        <w:t>可变现净值，是指在日常活动中，管理层根据存货最新的销售发票金额和当期市场情况估计所得。计提存货跌价准备 时，按单个存货项目</w:t>
      </w:r>
      <w:r>
        <w:rPr>
          <w:rFonts w:ascii="Times New Roman" w:eastAsia="Times New Roman" w:hAnsi="Times New Roman" w:cs="Times New Roman"/>
          <w:color w:val="000000"/>
          <w:spacing w:val="0"/>
          <w:w w:val="100"/>
          <w:position w:val="0"/>
        </w:rPr>
        <w:t>/</w:t>
      </w:r>
      <w:r>
        <w:rPr>
          <w:color w:val="000000"/>
          <w:spacing w:val="0"/>
          <w:w w:val="100"/>
          <w:position w:val="0"/>
        </w:rPr>
        <w:t>类别计提。与在同一地区生产和销售的产品系列相关、具有相同或类似最终用途或目的，且难以与其 他项目分开计量的存货，合并计提存货跌价准备。</w:t>
      </w:r>
    </w:p>
    <w:p>
      <w:pPr>
        <w:pStyle w:val="Style36"/>
        <w:keepNext/>
        <w:keepLines/>
        <w:widowControl w:val="0"/>
        <w:shd w:val="clear" w:color="auto" w:fill="auto"/>
        <w:bidi w:val="0"/>
        <w:spacing w:before="0" w:after="30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16"/>
      <w:bookmarkEnd w:id="817"/>
      <w:bookmarkEnd w:id="819"/>
    </w:p>
    <w:p>
      <w:pPr>
        <w:pStyle w:val="Style32"/>
        <w:keepNext w:val="0"/>
        <w:keepLines w:val="0"/>
        <w:widowControl w:val="0"/>
        <w:shd w:val="clear" w:color="auto" w:fill="auto"/>
        <w:bidi w:val="0"/>
        <w:spacing w:before="0" w:after="240" w:line="233" w:lineRule="exact"/>
        <w:ind w:left="0" w:right="0" w:firstLine="440"/>
        <w:jc w:val="left"/>
      </w:pPr>
      <w:r>
        <w:rPr>
          <w:color w:val="000000"/>
          <w:spacing w:val="0"/>
          <w:w w:val="100"/>
          <w:position w:val="0"/>
        </w:rPr>
        <w:t>本集团长期股权投资主要是对子公司的投资、对联营企业的投资和对合营企业的投资。</w:t>
      </w:r>
    </w:p>
    <w:p>
      <w:pPr>
        <w:pStyle w:val="Style32"/>
        <w:keepNext w:val="0"/>
        <w:keepLines w:val="0"/>
        <w:widowControl w:val="0"/>
        <w:shd w:val="clear" w:color="auto" w:fill="auto"/>
        <w:bidi w:val="0"/>
        <w:spacing w:before="0" w:after="240" w:line="237" w:lineRule="exact"/>
        <w:ind w:left="0" w:right="0" w:firstLine="44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的表决权时，通常认为对被投资单位具有重大 影响。持有被投资单位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以下表决权的，还需要综合考虑在被投资单位的董事会或类似权力机构中派有代表、或参与被投 资单位财务和经营政策制定过程、或与被投资单位之间发生重要交易、或向被投资单位派出管理人员、或向被投资单位提供 关键技术资料等事实和情况判断对被投资单位具有重大影响。</w:t>
      </w:r>
    </w:p>
    <w:p>
      <w:pPr>
        <w:pStyle w:val="Style32"/>
        <w:keepNext w:val="0"/>
        <w:keepLines w:val="0"/>
        <w:widowControl w:val="0"/>
        <w:shd w:val="clear" w:color="auto" w:fill="auto"/>
        <w:bidi w:val="0"/>
        <w:spacing w:before="0" w:after="240" w:line="233" w:lineRule="exact"/>
        <w:ind w:left="0" w:right="0" w:firstLine="440"/>
        <w:jc w:val="both"/>
      </w:pPr>
      <w:r>
        <w:rPr>
          <w:color w:val="000000"/>
          <w:spacing w:val="0"/>
          <w:w w:val="100"/>
          <w:position w:val="0"/>
        </w:rPr>
        <w:t>对被投资单位形成控制的，为本公司的子公司。通过同一控制下的企业合并取得的长期股权投资，在合并日按照取得 被合并方在最终控制方合并报表中净资产的账面价值的份额作为长期股权投资的初始投资成本。被合并方在合并日的净资 产账面价值为负数的，长期股权投资成本按零确定。初始投资成本与合并对价账面价值之间差额，调整资本公积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不足冲减 的，冲减留存收益</w:t>
      </w:r>
      <w:r>
        <w:rPr>
          <w:rFonts w:ascii="Times New Roman" w:eastAsia="Times New Roman" w:hAnsi="Times New Roman" w:cs="Times New Roman"/>
          <w:color w:val="000000"/>
          <w:spacing w:val="0"/>
          <w:w w:val="100"/>
          <w:position w:val="0"/>
        </w:rPr>
        <w:t>）</w:t>
      </w:r>
      <w:r>
        <w:rPr>
          <w:color w:val="000000"/>
          <w:spacing w:val="0"/>
          <w:w w:val="100"/>
          <w:position w:val="0"/>
        </w:rPr>
        <w:t>；合并日之前的其他综合收益，在处置该项投资时采用与被投资单位直接处置相关资产或负债相同的基 础进行会计处理，因被投资方除净损益、其他综合收益和利润分配以外的其他所有者权益变动而确认的所有者权益，在处置 该项投资时转入当期损益；其中，处置后仍为长期股权投资的按比例结转，处置后转换为金融工具的则全额结转。</w:t>
      </w:r>
    </w:p>
    <w:p>
      <w:pPr>
        <w:pStyle w:val="Style32"/>
        <w:keepNext w:val="0"/>
        <w:keepLines w:val="0"/>
        <w:widowControl w:val="0"/>
        <w:shd w:val="clear" w:color="auto" w:fill="auto"/>
        <w:bidi w:val="0"/>
        <w:spacing w:before="0" w:after="240" w:line="233" w:lineRule="exact"/>
        <w:ind w:left="0" w:right="0" w:firstLine="440"/>
        <w:jc w:val="both"/>
      </w:pPr>
      <w:r>
        <w:rPr>
          <w:color w:val="000000"/>
          <w:spacing w:val="0"/>
          <w:w w:val="100"/>
          <w:position w:val="0"/>
        </w:rPr>
        <w:t>通过非同一控制下的企业合并取得的长期股权投资，以合并成本作为初始投资成本（通过多次交易分步实现非同一控 制下的企业合并的，以购买日之前所持被购买方的股权投资的账面价值与购买日新增投资成本之和作为初始投资成本），合 并成本包括购买方付出的资产、发生或承担的负债、发行的权益性证券的公允价值之和；购买日之前持有的因采用权益法核 算而确认的其他综合收益，在处置该项投资时采用与被投资单位直接处置相关资产或负债相同的基础进行会计处理，因被投 资方除净损益、其他综合收益和利润分配以外的其他所有者权益变动而确认的所有者权益，在处置该项投资时转入当期损 益；其中，处置后仍为长期股权投资的按比例结转，处置后转换为金融工具的则全额结转；购买日之前持有的股权投资作为 金融工具计入其他综合收益的累计公允价值变动在改按成本法核算时全部转入当期损益。</w:t>
      </w:r>
    </w:p>
    <w:p>
      <w:pPr>
        <w:pStyle w:val="Style32"/>
        <w:keepNext w:val="0"/>
        <w:keepLines w:val="0"/>
        <w:widowControl w:val="0"/>
        <w:shd w:val="clear" w:color="auto" w:fill="auto"/>
        <w:bidi w:val="0"/>
        <w:spacing w:before="0" w:after="240" w:line="232" w:lineRule="exact"/>
        <w:ind w:left="0" w:right="0" w:firstLine="460"/>
        <w:jc w:val="both"/>
      </w:pPr>
      <w:r>
        <w:rPr>
          <w:color w:val="000000"/>
          <w:spacing w:val="0"/>
          <w:w w:val="100"/>
          <w:position w:val="0"/>
        </w:rPr>
        <w:t>除企业合并形成的长期股权投资以外方式取得的长期股权投资，按照下列方法确定初始投资成本：支付现金取得的， 以实际支付的购买价款及与取得长期股权投资直接相关的费用、税金及其他必要支出作为初始投资成本；发行权益性证券取 得的，以发行权益性证券的公允价值作为初始投资成本；通过非货币性资产交换取得的，按照《企业会计准则第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 货币性资产交换》确定初始投资成本；通过债务重组取得的，按照《企业会计准则第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号——债务重组》确定初始投资成本。</w:t>
      </w:r>
    </w:p>
    <w:p>
      <w:pPr>
        <w:pStyle w:val="Style32"/>
        <w:keepNext w:val="0"/>
        <w:keepLines w:val="0"/>
        <w:widowControl w:val="0"/>
        <w:shd w:val="clear" w:color="auto" w:fill="auto"/>
        <w:bidi w:val="0"/>
        <w:spacing w:before="0" w:after="240" w:line="232" w:lineRule="exact"/>
        <w:ind w:left="0" w:right="0" w:firstLine="460"/>
        <w:jc w:val="left"/>
      </w:pPr>
      <w:r>
        <w:rPr>
          <w:color w:val="000000"/>
          <w:spacing w:val="0"/>
          <w:w w:val="100"/>
          <w:position w:val="0"/>
        </w:rPr>
        <w:t>本集团对子公司投资采用成本法核算，对合营企业及联营企业投资采用权益法核算。</w:t>
      </w:r>
    </w:p>
    <w:p>
      <w:pPr>
        <w:pStyle w:val="Style32"/>
        <w:keepNext w:val="0"/>
        <w:keepLines w:val="0"/>
        <w:widowControl w:val="0"/>
        <w:shd w:val="clear" w:color="auto" w:fill="auto"/>
        <w:bidi w:val="0"/>
        <w:spacing w:before="0" w:after="240" w:line="230" w:lineRule="exact"/>
        <w:ind w:left="0" w:right="0" w:firstLine="460"/>
        <w:jc w:val="both"/>
      </w:pPr>
      <w:r>
        <w:rPr>
          <w:color w:val="000000"/>
          <w:spacing w:val="0"/>
          <w:w w:val="100"/>
          <w:position w:val="0"/>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Style32"/>
        <w:keepNext w:val="0"/>
        <w:keepLines w:val="0"/>
        <w:widowControl w:val="0"/>
        <w:shd w:val="clear" w:color="auto" w:fill="auto"/>
        <w:bidi w:val="0"/>
        <w:spacing w:before="0" w:after="240" w:line="232" w:lineRule="exact"/>
        <w:ind w:left="0" w:right="0" w:firstLine="460"/>
        <w:jc w:val="both"/>
      </w:pPr>
      <w:r>
        <w:rPr>
          <w:color w:val="000000"/>
          <w:spacing w:val="0"/>
          <w:w w:val="100"/>
          <w:position w:val="0"/>
        </w:rPr>
        <w:t>后续计量采用权益法核算的长期股权投资，随着被投资单位所有者权益的变动相应调整增加或减少长期股权投资的账 面价值。其中在确认应享有被投资单位净损益的份额时，以取得投资时被投资单位各项可辨认资产等的公允价值为基础，按 照本公司的会计政策及会计期间，并抵销与联营企业及合营企业之间发生的内部交易损益按照持股比例计算归属于投资企 业的部分，对被投资单位的净利润进行调整后确认。</w:t>
      </w:r>
    </w:p>
    <w:p>
      <w:pPr>
        <w:pStyle w:val="Style32"/>
        <w:keepNext w:val="0"/>
        <w:keepLines w:val="0"/>
        <w:widowControl w:val="0"/>
        <w:shd w:val="clear" w:color="auto" w:fill="auto"/>
        <w:bidi w:val="0"/>
        <w:spacing w:before="0" w:after="520" w:line="233" w:lineRule="exact"/>
        <w:ind w:left="0" w:right="0" w:firstLine="460"/>
        <w:jc w:val="both"/>
      </w:pPr>
      <w:r>
        <w:rPr>
          <w:color w:val="000000"/>
          <w:spacing w:val="0"/>
          <w:w w:val="100"/>
          <w:position w:val="0"/>
        </w:rPr>
        <w:t>处置长期股权投资，其账面价值与实际取得价款的差额，计入当期损益。采用权益法核算的长期股权投资，终止采用 权益法的，原权益法核算的相关其他综合收益采用与被投资单位直接处置相关资产或负债相同的基础进行会计处理，因被投 资方除净损益、其他综合收益和利润分配以外的其他所有者权益变动而确认的所有者权益，全部转入当期损益；仍采用权益 法的，原权益法核算的相关其他综合收益采用与被投资单位直接处置相关资产或负债相同的基础进行会计处理并按比例转 入当期损益，因被投资方除净损益、其他综合收益和利润分配以外的其他所有者权益变动而确认的所有者权益，按相应的比 例转入当期损益。</w:t>
      </w:r>
    </w:p>
    <w:p>
      <w:pPr>
        <w:pStyle w:val="Style36"/>
        <w:keepNext/>
        <w:keepLines/>
        <w:widowControl w:val="0"/>
        <w:shd w:val="clear" w:color="auto" w:fill="auto"/>
        <w:bidi w:val="0"/>
        <w:spacing w:before="0" w:after="240" w:line="24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20"/>
      <w:bookmarkEnd w:id="821"/>
      <w:bookmarkEnd w:id="823"/>
    </w:p>
    <w:p>
      <w:pPr>
        <w:pStyle w:val="Style3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投资性房地产计量模式 成本法计量 折旧或摊销方法</w:t>
      </w:r>
    </w:p>
    <w:p>
      <w:pPr>
        <w:pStyle w:val="Style32"/>
        <w:keepNext w:val="0"/>
        <w:keepLines w:val="0"/>
        <w:widowControl w:val="0"/>
        <w:shd w:val="clear" w:color="auto" w:fill="auto"/>
        <w:bidi w:val="0"/>
        <w:spacing w:before="0" w:after="240" w:line="233" w:lineRule="exact"/>
        <w:ind w:left="0" w:right="0" w:firstLine="460"/>
        <w:jc w:val="left"/>
      </w:pPr>
      <w:r>
        <w:rPr>
          <w:color w:val="000000"/>
          <w:spacing w:val="0"/>
          <w:w w:val="100"/>
          <w:position w:val="0"/>
        </w:rPr>
        <w:t>本集团投资性房地产为已出租的房屋建筑物。</w:t>
      </w:r>
    </w:p>
    <w:p>
      <w:pPr>
        <w:pStyle w:val="Style32"/>
        <w:keepNext w:val="0"/>
        <w:keepLines w:val="0"/>
        <w:widowControl w:val="0"/>
        <w:shd w:val="clear" w:color="auto" w:fill="auto"/>
        <w:bidi w:val="0"/>
        <w:spacing w:before="0" w:after="240" w:line="230" w:lineRule="exact"/>
        <w:ind w:left="0" w:right="0" w:firstLine="460"/>
        <w:jc w:val="both"/>
      </w:pPr>
      <w:r>
        <w:rPr>
          <w:color w:val="000000"/>
          <w:spacing w:val="0"/>
          <w:w w:val="100"/>
          <w:position w:val="0"/>
        </w:rPr>
        <w:t>本集团投资性房地产按其成本作为入账价值，外购投资性房地产的成本包括购买价款、相关税费和可直接归属于该资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32"/>
        <w:keepNext w:val="0"/>
        <w:keepLines w:val="0"/>
        <w:widowControl w:val="0"/>
        <w:shd w:val="clear" w:color="auto" w:fill="auto"/>
        <w:bidi w:val="0"/>
        <w:spacing w:before="0" w:after="240" w:line="233" w:lineRule="exact"/>
        <w:ind w:left="0" w:right="0" w:firstLine="460"/>
        <w:jc w:val="both"/>
      </w:pPr>
      <w:r>
        <w:rPr>
          <w:color w:val="000000"/>
          <w:spacing w:val="0"/>
          <w:w w:val="100"/>
          <w:position w:val="0"/>
        </w:rPr>
        <w:t>本集团对投资性房地产采用成本模式进行后续计量，并按照与房屋建筑物一致的政策进行折旧或摊销。</w:t>
      </w:r>
    </w:p>
    <w:p>
      <w:pPr>
        <w:pStyle w:val="Style32"/>
        <w:keepNext w:val="0"/>
        <w:keepLines w:val="0"/>
        <w:widowControl w:val="0"/>
        <w:shd w:val="clear" w:color="auto" w:fill="auto"/>
        <w:bidi w:val="0"/>
        <w:spacing w:before="0" w:after="240" w:line="233" w:lineRule="exact"/>
        <w:ind w:left="0" w:right="0" w:firstLine="460"/>
        <w:jc w:val="both"/>
      </w:pPr>
      <w:r>
        <w:rPr>
          <w:color w:val="000000"/>
          <w:spacing w:val="0"/>
          <w:w w:val="100"/>
          <w:position w:val="0"/>
        </w:rPr>
        <w:t>当投资性房地产的用途改变为自用时，则自改变之日起，将该投资性房地产转换为固定资产或无形资产。自用房地产 的用途改变为赚取租金或资本增值时，则自改变之日起，将固定资产或无形资产转换为投资性房地产。发生转换时，以转换 前的账面价值作为转换后的入账价值。</w:t>
      </w:r>
    </w:p>
    <w:p>
      <w:pPr>
        <w:pStyle w:val="Style32"/>
        <w:keepNext w:val="0"/>
        <w:keepLines w:val="0"/>
        <w:widowControl w:val="0"/>
        <w:shd w:val="clear" w:color="auto" w:fill="auto"/>
        <w:bidi w:val="0"/>
        <w:spacing w:before="0" w:after="520" w:line="226" w:lineRule="exact"/>
        <w:ind w:left="0" w:right="0" w:firstLine="46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p>
    <w:p>
      <w:pPr>
        <w:pStyle w:val="Style36"/>
        <w:keepNext/>
        <w:keepLines/>
        <w:widowControl w:val="0"/>
        <w:shd w:val="clear" w:color="auto" w:fill="auto"/>
        <w:bidi w:val="0"/>
        <w:spacing w:before="0" w:after="34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24"/>
      <w:bookmarkEnd w:id="825"/>
      <w:bookmarkEnd w:id="827"/>
    </w:p>
    <w:p>
      <w:pPr>
        <w:pStyle w:val="Style36"/>
        <w:keepNext/>
        <w:keepLines/>
        <w:widowControl w:val="0"/>
        <w:numPr>
          <w:ilvl w:val="0"/>
          <w:numId w:val="21"/>
        </w:numPr>
        <w:shd w:val="clear" w:color="auto" w:fill="auto"/>
        <w:bidi w:val="0"/>
        <w:spacing w:before="0" w:after="280" w:line="240" w:lineRule="auto"/>
        <w:ind w:left="0" w:right="0" w:firstLine="140"/>
        <w:jc w:val="left"/>
      </w:pPr>
      <w:bookmarkStart w:id="824" w:name="bookmark824"/>
      <w:bookmarkStart w:id="825" w:name="bookmark825"/>
      <w:bookmarkStart w:id="828" w:name="bookmark828"/>
      <w:bookmarkStart w:id="829" w:name="bookmark829"/>
      <w:bookmarkEnd w:id="828"/>
      <w:r>
        <w:rPr>
          <w:color w:val="000000"/>
          <w:spacing w:val="0"/>
          <w:w w:val="100"/>
          <w:position w:val="0"/>
        </w:rPr>
        <w:t>确认条件</w:t>
      </w:r>
      <w:bookmarkEnd w:id="824"/>
      <w:bookmarkEnd w:id="825"/>
      <w:bookmarkEnd w:id="829"/>
    </w:p>
    <w:p>
      <w:pPr>
        <w:pStyle w:val="Style32"/>
        <w:keepNext w:val="0"/>
        <w:keepLines w:val="0"/>
        <w:widowControl w:val="0"/>
        <w:shd w:val="clear" w:color="auto" w:fill="auto"/>
        <w:bidi w:val="0"/>
        <w:spacing w:before="0" w:after="240" w:line="234" w:lineRule="exact"/>
        <w:ind w:left="0" w:right="0" w:firstLine="380"/>
        <w:jc w:val="left"/>
      </w:pPr>
      <w:r>
        <w:rPr>
          <w:color w:val="000000"/>
          <w:spacing w:val="0"/>
          <w:w w:val="100"/>
          <w:position w:val="0"/>
        </w:rPr>
        <w:t>固定资产在与其有关的经济利益很可能流入本集团、且其成本能够可靠计量时予以确认。与固定资产有关的后续支 出，符合该确认条件的，计入固定资产成本，并终止确认被替换部分的账面价值；否则，在发生时计入当期损益。本集团 固定资产包括房屋及土地使用权、运输设备、办公设备等。固定资产按照成本进行初始计量。购置固定资产的成本包括购 买价款，相关税费，以及为使固定资产达到预定可使用状态前所发生的可直接归属于该资产的其他支出。</w:t>
      </w:r>
    </w:p>
    <w:p>
      <w:pPr>
        <w:pStyle w:val="Style36"/>
        <w:keepNext/>
        <w:keepLines/>
        <w:widowControl w:val="0"/>
        <w:numPr>
          <w:ilvl w:val="0"/>
          <w:numId w:val="21"/>
        </w:numPr>
        <w:shd w:val="clear" w:color="auto" w:fill="auto"/>
        <w:bidi w:val="0"/>
        <w:spacing w:before="0" w:after="300" w:line="240" w:lineRule="auto"/>
        <w:ind w:left="0" w:right="0" w:firstLine="0"/>
        <w:jc w:val="left"/>
      </w:pPr>
      <w:bookmarkStart w:id="830" w:name="bookmark830"/>
      <w:bookmarkStart w:id="831" w:name="bookmark831"/>
      <w:bookmarkStart w:id="832" w:name="bookmark832"/>
      <w:bookmarkStart w:id="833" w:name="bookmark833"/>
      <w:bookmarkEnd w:id="832"/>
      <w:r>
        <w:rPr>
          <w:color w:val="000000"/>
          <w:spacing w:val="0"/>
          <w:w w:val="100"/>
          <w:position w:val="0"/>
        </w:rPr>
        <w:t>折旧方法</w:t>
      </w:r>
      <w:bookmarkEnd w:id="830"/>
      <w:bookmarkEnd w:id="831"/>
      <w:bookmarkEnd w:id="833"/>
    </w:p>
    <w:tbl>
      <w:tblPr>
        <w:tblOverlap w:val="never"/>
        <w:jc w:val="center"/>
        <w:tblLayout w:type="fixed"/>
      </w:tblPr>
      <w:tblGrid>
        <w:gridCol w:w="1915"/>
        <w:gridCol w:w="1915"/>
        <w:gridCol w:w="1915"/>
        <w:gridCol w:w="1915"/>
        <w:gridCol w:w="1920"/>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10%-33%</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34"/>
      <w:bookmarkEnd w:id="835"/>
      <w:bookmarkEnd w:id="837"/>
    </w:p>
    <w:p>
      <w:pPr>
        <w:pStyle w:val="Style32"/>
        <w:keepNext w:val="0"/>
        <w:keepLines w:val="0"/>
        <w:widowControl w:val="0"/>
        <w:shd w:val="clear" w:color="auto" w:fill="auto"/>
        <w:bidi w:val="0"/>
        <w:spacing w:before="0" w:after="40" w:line="235"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240" w:line="235"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520" w:line="235" w:lineRule="exact"/>
        <w:ind w:left="0" w:right="0" w:firstLine="480"/>
        <w:jc w:val="both"/>
      </w:pPr>
      <w:r>
        <w:rPr>
          <w:color w:val="000000"/>
          <w:spacing w:val="0"/>
          <w:w w:val="100"/>
          <w:position w:val="0"/>
        </w:rPr>
        <w:t>在建工程在达到预定可使用状态之日起，根据工程预算、造价或工程实际成本等，按估计的价值结转固定资产，次月 起开始计提折旧，待办理了竣工决算手续后再对固定资产原值差异进行调整。</w:t>
      </w:r>
    </w:p>
    <w:p>
      <w:pPr>
        <w:pStyle w:val="Style36"/>
        <w:keepNext/>
        <w:keepLines/>
        <w:widowControl w:val="0"/>
        <w:shd w:val="clear" w:color="auto" w:fill="auto"/>
        <w:bidi w:val="0"/>
        <w:spacing w:before="0" w:after="30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38"/>
      <w:bookmarkEnd w:id="839"/>
      <w:bookmarkEnd w:id="841"/>
    </w:p>
    <w:p>
      <w:pPr>
        <w:pStyle w:val="Style32"/>
        <w:keepNext w:val="0"/>
        <w:keepLines w:val="0"/>
        <w:widowControl w:val="0"/>
        <w:shd w:val="clear" w:color="auto" w:fill="auto"/>
        <w:bidi w:val="0"/>
        <w:spacing w:before="0" w:after="240" w:line="234" w:lineRule="exact"/>
        <w:ind w:left="0" w:right="0" w:firstLine="48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年以上的购建或者生产活动才能达到预定可使用或者可销售状态的固定资产和存货等 的借款费用，在资产支出已经发生、借款费用已经发生、为使资产达到预定可使用或可销售状态所必要的购建或生产活动已 经开始时，开始资本化；当购建或生产符合资本化条件的资产达到预定可使用或可销售状态时，停止资本化，其后发生的借 款费用计入当期损益。如果符合资本化条件的资产在购建或者生产过程中发生非正常中断、且中断时间连续超过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 停借款费用的资本化，直至资产的购建或生产活动重新开始。</w:t>
      </w:r>
    </w:p>
    <w:p>
      <w:pPr>
        <w:pStyle w:val="Style32"/>
        <w:keepNext w:val="0"/>
        <w:keepLines w:val="0"/>
        <w:widowControl w:val="0"/>
        <w:shd w:val="clear" w:color="auto" w:fill="auto"/>
        <w:bidi w:val="0"/>
        <w:spacing w:before="0" w:after="520" w:line="230" w:lineRule="exact"/>
        <w:ind w:left="0" w:right="0" w:firstLine="480"/>
        <w:jc w:val="both"/>
      </w:pPr>
      <w:r>
        <w:rPr>
          <w:color w:val="000000"/>
          <w:spacing w:val="0"/>
          <w:w w:val="100"/>
          <w:position w:val="0"/>
        </w:rPr>
        <w:t>专门借款当期实际发生的利息费用，扣除尚未动用的借款资金存入银行取得的利息收入或进行暂时性投资取得的投资 收益后的金额予以资本化；一般借款根据累计资产支出超过专门借款部分的资产支出加权平均数乘以所占用一般借款的资 本化率，确定资本化金额。资本化率根据一般借款加权平均利率计算确定。</w:t>
      </w:r>
    </w:p>
    <w:p>
      <w:pPr>
        <w:pStyle w:val="Style36"/>
        <w:keepNext/>
        <w:keepLines/>
        <w:widowControl w:val="0"/>
        <w:shd w:val="clear" w:color="auto" w:fill="auto"/>
        <w:tabs>
          <w:tab w:pos="438" w:val="left"/>
        </w:tabs>
        <w:bidi w:val="0"/>
        <w:spacing w:before="0" w:after="34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42"/>
      <w:bookmarkEnd w:id="843"/>
      <w:bookmarkEnd w:id="845"/>
    </w:p>
    <w:p>
      <w:pPr>
        <w:pStyle w:val="Style36"/>
        <w:keepNext/>
        <w:keepLines/>
        <w:widowControl w:val="0"/>
        <w:numPr>
          <w:ilvl w:val="0"/>
          <w:numId w:val="23"/>
        </w:numPr>
        <w:shd w:val="clear" w:color="auto" w:fill="auto"/>
        <w:bidi w:val="0"/>
        <w:spacing w:before="0" w:after="240" w:line="240" w:lineRule="auto"/>
        <w:ind w:left="0" w:right="0" w:firstLine="0"/>
        <w:jc w:val="left"/>
      </w:pPr>
      <w:bookmarkStart w:id="842" w:name="bookmark842"/>
      <w:bookmarkStart w:id="843" w:name="bookmark843"/>
      <w:bookmarkStart w:id="846" w:name="bookmark846"/>
      <w:bookmarkStart w:id="847" w:name="bookmark847"/>
      <w:bookmarkEnd w:id="846"/>
      <w:r>
        <w:rPr>
          <w:color w:val="000000"/>
          <w:spacing w:val="0"/>
          <w:w w:val="100"/>
          <w:position w:val="0"/>
        </w:rPr>
        <w:t>计价方法、使用寿命、减值测试</w:t>
      </w:r>
      <w:bookmarkEnd w:id="842"/>
      <w:bookmarkEnd w:id="843"/>
      <w:bookmarkEnd w:id="847"/>
    </w:p>
    <w:p>
      <w:pPr>
        <w:pStyle w:val="Style32"/>
        <w:keepNext w:val="0"/>
        <w:keepLines w:val="0"/>
        <w:widowControl w:val="0"/>
        <w:shd w:val="clear" w:color="auto" w:fill="auto"/>
        <w:bidi w:val="0"/>
        <w:spacing w:before="0" w:after="240" w:line="269" w:lineRule="exact"/>
        <w:ind w:left="0" w:right="0" w:firstLine="480"/>
        <w:jc w:val="both"/>
      </w:pPr>
      <w:r>
        <w:rPr>
          <w:color w:val="000000"/>
          <w:spacing w:val="0"/>
          <w:w w:val="100"/>
          <w:position w:val="0"/>
        </w:rPr>
        <w:t>本集团无形资产包括土地使用权、软件技术、商标使用权、非同一控制下合并中取得被购买方拥有的但在其财务报表 中未确认的商标、软件著作权、专利、域名及非专利技术等，按取得时的实际成本计量，其中，购入的无形资产，按实际支 付的价款和相关的其他支出作为实际成本；投资者投入的无形资产，按投资合同或协议约定的价值确定实际成本，但合同或 协议约定价值不公允的，按公允价值确定实际成本；对非同一控制下合并中取得被购买方拥有的但在其财务报表中未确认的 商标、软件著作权、专利、域名等无形资产，在对被购买方资产进行初始确认时，按公允价值确认为无形资产。</w:t>
      </w:r>
    </w:p>
    <w:p>
      <w:pPr>
        <w:pStyle w:val="Style32"/>
        <w:keepNext w:val="0"/>
        <w:keepLines w:val="0"/>
        <w:widowControl w:val="0"/>
        <w:shd w:val="clear" w:color="auto" w:fill="auto"/>
        <w:bidi w:val="0"/>
        <w:spacing w:before="0" w:after="340" w:line="269" w:lineRule="exact"/>
        <w:ind w:left="0" w:right="0" w:firstLine="480"/>
        <w:jc w:val="both"/>
      </w:pPr>
      <w:r>
        <w:rPr>
          <w:color w:val="000000"/>
          <w:spacing w:val="0"/>
          <w:w w:val="100"/>
          <w:position w:val="0"/>
        </w:rPr>
        <w:t>土地使用权从出让起始日起，按其出让年限平均摊销；软件技术、商标使用权等无形资产按预计使用年限、合同规定 的受益年限和法律规定的有效年限三者中最短者分期平均摊销。摊销金额按其受益对象计入相关资产成本和当期损益。对使 用寿命有限的无形资产的预计使用寿命及摊销方法于每年年度终了进行复核，如发生改变，则作为会计估计变更处理。</w:t>
      </w:r>
    </w:p>
    <w:p>
      <w:pPr>
        <w:pStyle w:val="Style36"/>
        <w:keepNext/>
        <w:keepLines/>
        <w:widowControl w:val="0"/>
        <w:shd w:val="clear" w:color="auto" w:fill="auto"/>
        <w:tabs>
          <w:tab w:pos="438" w:val="left"/>
        </w:tabs>
        <w:bidi w:val="0"/>
        <w:spacing w:before="0" w:after="24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848"/>
      <w:bookmarkEnd w:id="849"/>
      <w:bookmarkEnd w:id="851"/>
    </w:p>
    <w:p>
      <w:pPr>
        <w:pStyle w:val="Style32"/>
        <w:keepNext w:val="0"/>
        <w:keepLines w:val="0"/>
        <w:widowControl w:val="0"/>
        <w:shd w:val="clear" w:color="auto" w:fill="auto"/>
        <w:bidi w:val="0"/>
        <w:spacing w:before="0" w:after="240" w:line="269" w:lineRule="exact"/>
        <w:ind w:left="0" w:right="0" w:firstLine="400"/>
        <w:jc w:val="both"/>
      </w:pPr>
      <w:r>
        <w:rPr>
          <w:color w:val="000000"/>
          <w:spacing w:val="0"/>
          <w:w w:val="100"/>
          <w:position w:val="0"/>
        </w:rPr>
        <w:t>本集团于每一资产负债表日对长期股权投资、采用成本模式计量的投资性房地产、固定资产、在建工程、使用寿命有限 的无形资产等项目进行检查，当存在减值迹象时，本集团将估计其可收回金额，进行减值测试。对商誉和使用寿命不确定的 无形资产，无论是否存在减值迹象，每年末均进行减值测试。</w:t>
      </w:r>
    </w:p>
    <w:p>
      <w:pPr>
        <w:pStyle w:val="Style32"/>
        <w:keepNext w:val="0"/>
        <w:keepLines w:val="0"/>
        <w:widowControl w:val="0"/>
        <w:shd w:val="clear" w:color="auto" w:fill="auto"/>
        <w:bidi w:val="0"/>
        <w:spacing w:before="0" w:after="300" w:line="269" w:lineRule="exact"/>
        <w:ind w:left="0" w:right="0" w:firstLine="400"/>
        <w:jc w:val="both"/>
      </w:pPr>
      <w:r>
        <w:rPr>
          <w:color w:val="000000"/>
          <w:spacing w:val="0"/>
          <w:w w:val="100"/>
          <w:position w:val="0"/>
        </w:rPr>
        <w:t>可收回金额根据资产的公允价值减去处置费用后的净额与资产预计未来现金流量的现值两者之间较高者确定。本集团 以单项资产为基础估计其可收回金额；难以对单项资产的可收回金额进行估计的，以该资产所属的资产组为基础确定资产组 的可收回金额。资产组的认定，以资产组产生的主要现金流入是否独立于其他资产或者资产组的现金流入为依据。</w:t>
      </w:r>
    </w:p>
    <w:p>
      <w:pPr>
        <w:pStyle w:val="Style32"/>
        <w:keepNext w:val="0"/>
        <w:keepLines w:val="0"/>
        <w:widowControl w:val="0"/>
        <w:shd w:val="clear" w:color="auto" w:fill="auto"/>
        <w:bidi w:val="0"/>
        <w:spacing w:before="0" w:after="560" w:line="269" w:lineRule="exact"/>
        <w:ind w:left="0" w:right="0" w:firstLine="420"/>
        <w:jc w:val="both"/>
      </w:pPr>
      <w:r>
        <w:rPr>
          <w:color w:val="000000"/>
          <w:spacing w:val="0"/>
          <w:w w:val="100"/>
          <w:position w:val="0"/>
        </w:rPr>
        <w:t>当资产或者资产组的可收回金额低于其账面价值时，本集团将其账面价值减记至可收回金额，减记的金额计入当期损 益，同时计提相应的资产减值准备。上述资产减值损失一经确认，在以后会计期间不再转回。</w:t>
      </w:r>
    </w:p>
    <w:p>
      <w:pPr>
        <w:pStyle w:val="Style36"/>
        <w:keepNext/>
        <w:keepLines/>
        <w:widowControl w:val="0"/>
        <w:shd w:val="clear" w:color="auto" w:fill="auto"/>
        <w:tabs>
          <w:tab w:pos="475" w:val="left"/>
        </w:tabs>
        <w:bidi w:val="0"/>
        <w:spacing w:before="0" w:after="24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52"/>
      <w:bookmarkEnd w:id="853"/>
      <w:bookmarkEnd w:id="855"/>
    </w:p>
    <w:p>
      <w:pPr>
        <w:pStyle w:val="Style32"/>
        <w:keepNext w:val="0"/>
        <w:keepLines w:val="0"/>
        <w:widowControl w:val="0"/>
        <w:shd w:val="clear" w:color="auto" w:fill="auto"/>
        <w:bidi w:val="0"/>
        <w:spacing w:before="0" w:after="360" w:line="264" w:lineRule="exact"/>
        <w:ind w:left="0" w:right="0" w:firstLine="420"/>
        <w:jc w:val="both"/>
      </w:pPr>
      <w:r>
        <w:rPr>
          <w:color w:val="000000"/>
          <w:spacing w:val="0"/>
          <w:w w:val="100"/>
          <w:position w:val="0"/>
        </w:rPr>
        <w:t>本集团的长期待摊费用包括装修费。该等费用在受益期内平均摊销，如果长期待摊费用项目不能使以后会计期间受益， 则将尚未摊销的该项目的摊余价值全部转入当期损益。装修费的摊销年限为</w:t>
      </w:r>
      <w:r>
        <w:rPr>
          <w:color w:val="000000"/>
          <w:spacing w:val="0"/>
          <w:w w:val="100"/>
          <w:position w:val="0"/>
          <w:sz w:val="17"/>
          <w:szCs w:val="17"/>
        </w:rPr>
        <w:t>3-5</w:t>
      </w:r>
      <w:r>
        <w:rPr>
          <w:color w:val="000000"/>
          <w:spacing w:val="0"/>
          <w:w w:val="100"/>
          <w:position w:val="0"/>
        </w:rPr>
        <w:t>年。</w:t>
      </w:r>
    </w:p>
    <w:p>
      <w:pPr>
        <w:pStyle w:val="Style36"/>
        <w:keepNext/>
        <w:keepLines/>
        <w:widowControl w:val="0"/>
        <w:shd w:val="clear" w:color="auto" w:fill="auto"/>
        <w:tabs>
          <w:tab w:pos="475" w:val="left"/>
        </w:tabs>
        <w:bidi w:val="0"/>
        <w:spacing w:before="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856"/>
      <w:bookmarkEnd w:id="857"/>
      <w:bookmarkEnd w:id="859"/>
    </w:p>
    <w:p>
      <w:pPr>
        <w:pStyle w:val="Style36"/>
        <w:keepNext/>
        <w:keepLines/>
        <w:widowControl w:val="0"/>
        <w:shd w:val="clear" w:color="auto" w:fill="auto"/>
        <w:tabs>
          <w:tab w:pos="484" w:val="left"/>
        </w:tabs>
        <w:bidi w:val="0"/>
        <w:spacing w:before="0" w:after="240" w:line="240" w:lineRule="auto"/>
        <w:ind w:left="0" w:right="0" w:firstLine="0"/>
        <w:jc w:val="left"/>
      </w:pPr>
      <w:bookmarkStart w:id="856" w:name="bookmark856"/>
      <w:bookmarkStart w:id="857" w:name="bookmark857"/>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56"/>
      <w:bookmarkEnd w:id="857"/>
      <w:bookmarkEnd w:id="861"/>
    </w:p>
    <w:p>
      <w:pPr>
        <w:pStyle w:val="Style32"/>
        <w:keepNext w:val="0"/>
        <w:keepLines w:val="0"/>
        <w:widowControl w:val="0"/>
        <w:shd w:val="clear" w:color="auto" w:fill="auto"/>
        <w:bidi w:val="0"/>
        <w:spacing w:before="0" w:after="360" w:line="266" w:lineRule="exact"/>
        <w:ind w:left="0" w:right="0" w:firstLine="420"/>
        <w:jc w:val="both"/>
      </w:pPr>
      <w:r>
        <w:rPr>
          <w:color w:val="000000"/>
          <w:spacing w:val="0"/>
          <w:w w:val="100"/>
          <w:position w:val="0"/>
        </w:rPr>
        <w:t>短期薪酬主要包括工资、奖金、津贴和补贴、职工福利费、社会保险费及住房公积金、工会经费和职工教育经费等与获 得职工提供的服务相关的支出，在职工提供服务的会计期间，将实际发生的短期薪酬确认为负债，并按照受益对象计入当期 损益或相关资产成本。</w:t>
      </w:r>
    </w:p>
    <w:p>
      <w:pPr>
        <w:pStyle w:val="Style36"/>
        <w:keepNext/>
        <w:keepLines/>
        <w:widowControl w:val="0"/>
        <w:shd w:val="clear" w:color="auto" w:fill="auto"/>
        <w:tabs>
          <w:tab w:pos="484" w:val="left"/>
        </w:tabs>
        <w:bidi w:val="0"/>
        <w:spacing w:before="0" w:after="24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2"/>
      <w:bookmarkEnd w:id="863"/>
      <w:bookmarkEnd w:id="865"/>
    </w:p>
    <w:p>
      <w:pPr>
        <w:pStyle w:val="Style32"/>
        <w:keepNext w:val="0"/>
        <w:keepLines w:val="0"/>
        <w:widowControl w:val="0"/>
        <w:shd w:val="clear" w:color="auto" w:fill="auto"/>
        <w:bidi w:val="0"/>
        <w:spacing w:before="0" w:after="560" w:line="269" w:lineRule="exact"/>
        <w:ind w:left="0" w:right="0" w:firstLine="420"/>
        <w:jc w:val="both"/>
      </w:pPr>
      <w:r>
        <w:rPr>
          <w:color w:val="000000"/>
          <w:spacing w:val="0"/>
          <w:w w:val="100"/>
          <w:position w:val="0"/>
        </w:rPr>
        <w:t>离职后福利主要包括基本养老保险、失业保险、补充养老保险等，按照公司承担的风险和义务，分类为设定提存计划。 对于设定提存计划在根据在资产负债表日为换取职工在会计期间提供的服务而向单独主体缴存的提存金确认为负债，并按 照受益对象计入当期损益或相关资产成本。</w:t>
      </w:r>
    </w:p>
    <w:p>
      <w:pPr>
        <w:pStyle w:val="Style36"/>
        <w:keepNext/>
        <w:keepLines/>
        <w:widowControl w:val="0"/>
        <w:shd w:val="clear" w:color="auto" w:fill="auto"/>
        <w:bidi w:val="0"/>
        <w:spacing w:before="0" w:after="24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66"/>
      <w:bookmarkEnd w:id="867"/>
      <w:bookmarkEnd w:id="869"/>
    </w:p>
    <w:p>
      <w:pPr>
        <w:pStyle w:val="Style32"/>
        <w:keepNext w:val="0"/>
        <w:keepLines w:val="0"/>
        <w:widowControl w:val="0"/>
        <w:shd w:val="clear" w:color="auto" w:fill="auto"/>
        <w:bidi w:val="0"/>
        <w:spacing w:before="0" w:after="860" w:line="269" w:lineRule="exact"/>
        <w:ind w:left="0" w:right="0" w:firstLine="420"/>
        <w:jc w:val="both"/>
      </w:pPr>
      <w:r>
        <w:rPr>
          <w:color w:val="000000"/>
          <w:spacing w:val="0"/>
          <w:w w:val="100"/>
          <w:position w:val="0"/>
        </w:rPr>
        <w:t>本集团向职工提供辞退福利的，在下列两者孰早日确认辞退福利产生的职工薪酬负债，并计入当期损益：企业不能单 方面撤回因解除劳动关系计划或裁减建议所提供的辞退福利时；企业确认与涉及支付辞退福利的重组相关的成本或费用时。</w:t>
      </w:r>
    </w:p>
    <w:p>
      <w:pPr>
        <w:pStyle w:val="Style36"/>
        <w:keepNext/>
        <w:keepLines/>
        <w:widowControl w:val="0"/>
        <w:shd w:val="clear" w:color="auto" w:fill="auto"/>
        <w:tabs>
          <w:tab w:pos="475" w:val="left"/>
        </w:tabs>
        <w:bidi w:val="0"/>
        <w:spacing w:before="0" w:after="24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870"/>
      <w:bookmarkEnd w:id="871"/>
      <w:bookmarkEnd w:id="873"/>
    </w:p>
    <w:p>
      <w:pPr>
        <w:pStyle w:val="Style32"/>
        <w:keepNext w:val="0"/>
        <w:keepLines w:val="0"/>
        <w:widowControl w:val="0"/>
        <w:shd w:val="clear" w:color="auto" w:fill="auto"/>
        <w:bidi w:val="0"/>
        <w:spacing w:before="0" w:after="240" w:line="266" w:lineRule="exact"/>
        <w:ind w:left="0" w:right="0" w:firstLine="420"/>
        <w:jc w:val="both"/>
      </w:pPr>
      <w:r>
        <w:rPr>
          <w:color w:val="000000"/>
          <w:spacing w:val="0"/>
          <w:w w:val="100"/>
          <w:position w:val="0"/>
        </w:rPr>
        <w:t>除了非同一控制下企业合并中的或有对价及承担的或有负债之外，当与或有事项相关的义务同时符合以下条件，本集 团将其确认为负债：该义务是本集团承担的现时义务；该义务的履行很可能导致经济利益流出企业；该义务的金额能够可靠 地计量。</w:t>
      </w:r>
    </w:p>
    <w:p>
      <w:pPr>
        <w:pStyle w:val="Style32"/>
        <w:keepNext w:val="0"/>
        <w:keepLines w:val="0"/>
        <w:widowControl w:val="0"/>
        <w:shd w:val="clear" w:color="auto" w:fill="auto"/>
        <w:bidi w:val="0"/>
        <w:spacing w:before="0" w:after="240" w:line="269" w:lineRule="exact"/>
        <w:ind w:left="0" w:right="0" w:firstLine="420"/>
        <w:jc w:val="both"/>
      </w:pPr>
      <w:r>
        <w:rPr>
          <w:color w:val="000000"/>
          <w:spacing w:val="0"/>
          <w:w w:val="100"/>
          <w:position w:val="0"/>
        </w:rPr>
        <w:t>预计负债按照履行相关现时义务所需支出的最佳估计数进行初始计量，并综合考虑与或有事项有关的风险、不确定性 和货币时间价值等因素。每个资产负债表日对预计负债的账面价值进行复核。有确凿证据表明该账面价值不能反映当前最佳 估计数的，按照当前最佳估计数对该账面价值进行调整。</w:t>
      </w:r>
    </w:p>
    <w:p>
      <w:pPr>
        <w:pStyle w:val="Style32"/>
        <w:keepNext w:val="0"/>
        <w:keepLines w:val="0"/>
        <w:widowControl w:val="0"/>
        <w:shd w:val="clear" w:color="auto" w:fill="auto"/>
        <w:bidi w:val="0"/>
        <w:spacing w:before="0" w:after="360" w:line="274" w:lineRule="exact"/>
        <w:ind w:left="0" w:right="0" w:firstLine="420"/>
        <w:jc w:val="both"/>
      </w:pPr>
      <w:r>
        <w:rPr>
          <w:color w:val="000000"/>
          <w:spacing w:val="0"/>
          <w:w w:val="100"/>
          <w:position w:val="0"/>
        </w:rPr>
        <w:t>企业合并中取得的被购买方或有负债在初始确认时按照公允价值计量，在初始确认后，按照预计负债确认的金额，和 初始确认金额扣除收入确认原则确定的累计摊销额后的余额，以两者之中的较高者进行后续计量。</w:t>
      </w:r>
    </w:p>
    <w:p>
      <w:pPr>
        <w:pStyle w:val="Style36"/>
        <w:keepNext/>
        <w:keepLines/>
        <w:widowControl w:val="0"/>
        <w:shd w:val="clear" w:color="auto" w:fill="auto"/>
        <w:tabs>
          <w:tab w:pos="475" w:val="left"/>
        </w:tabs>
        <w:bidi w:val="0"/>
        <w:spacing w:before="0" w:after="24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874"/>
      <w:bookmarkEnd w:id="875"/>
      <w:bookmarkEnd w:id="877"/>
    </w:p>
    <w:p>
      <w:pPr>
        <w:pStyle w:val="Style32"/>
        <w:keepNext w:val="0"/>
        <w:keepLines w:val="0"/>
        <w:widowControl w:val="0"/>
        <w:shd w:val="clear" w:color="auto" w:fill="auto"/>
        <w:bidi w:val="0"/>
        <w:spacing w:before="0" w:after="240" w:line="269" w:lineRule="exact"/>
        <w:ind w:left="0" w:right="0" w:firstLine="420"/>
        <w:jc w:val="both"/>
      </w:pPr>
      <w:r>
        <w:rPr>
          <w:color w:val="000000"/>
          <w:spacing w:val="0"/>
          <w:w w:val="100"/>
          <w:position w:val="0"/>
        </w:rPr>
        <w:t>股份支付，分为以权益结算的股份支付和以现金结算的股份支付。本集团参加神州控股的股份支付计划。神州控股的 股份支付为以权益结算的股份支付，是指神州控股为获取本集团某些员工服务以其股份或其他权益工具作为对价进行结算 的交易。</w:t>
      </w:r>
    </w:p>
    <w:p>
      <w:pPr>
        <w:pStyle w:val="Style32"/>
        <w:keepNext w:val="0"/>
        <w:keepLines w:val="0"/>
        <w:widowControl w:val="0"/>
        <w:shd w:val="clear" w:color="auto" w:fill="auto"/>
        <w:bidi w:val="0"/>
        <w:spacing w:before="0" w:after="240" w:line="269" w:lineRule="exact"/>
        <w:ind w:left="0" w:right="0" w:firstLine="420"/>
        <w:jc w:val="both"/>
      </w:pPr>
      <w:r>
        <w:rPr>
          <w:color w:val="000000"/>
          <w:spacing w:val="0"/>
          <w:w w:val="100"/>
          <w:position w:val="0"/>
        </w:rPr>
        <w:t xml:space="preserve">以权益结算的股份支付换取职工提供服务的，以授予职工权益工具的公允价值计量。授予后立即可行权的，在授予日 </w:t>
      </w:r>
      <w:r>
        <w:rPr>
          <w:color w:val="000000"/>
          <w:spacing w:val="0"/>
          <w:w w:val="100"/>
          <w:position w:val="0"/>
        </w:rPr>
        <w:t>按照公允价值计入相关成本或费用，相应增加资本公积；完成等待期内的服务或达到规定业绩条件才可行权的，在等待期内 每个资产负债表日，本集团根据最新取得的可行权职工人数变动、是否达到规定业绩条件等后续信息对可行权权益工具数量 作出最佳估计，以此为基础，按照授予日的公允价值，将当期取得的服务计入相关成本或费用，相应增加资本公积。</w:t>
      </w:r>
    </w:p>
    <w:p>
      <w:pPr>
        <w:pStyle w:val="Style32"/>
        <w:keepNext w:val="0"/>
        <w:keepLines w:val="0"/>
        <w:widowControl w:val="0"/>
        <w:shd w:val="clear" w:color="auto" w:fill="auto"/>
        <w:bidi w:val="0"/>
        <w:spacing w:before="0" w:after="240" w:line="271" w:lineRule="exact"/>
        <w:ind w:left="0" w:right="0" w:firstLine="420"/>
        <w:jc w:val="both"/>
      </w:pPr>
      <w:r>
        <w:rPr>
          <w:color w:val="000000"/>
          <w:spacing w:val="0"/>
          <w:w w:val="100"/>
          <w:position w:val="0"/>
        </w:rPr>
        <w:t>神州控股实施两个购股权计划，以对神州控股业务成功作出贡献之合资格参与者提供激励与奖励。神州控股雇员（包 括董事）以股份支付的方式收取报酬，据此，雇员提供服务作为收取权益工具之代价。进一步详情参见本附注十三、股份支 付。</w:t>
      </w:r>
    </w:p>
    <w:p>
      <w:pPr>
        <w:pStyle w:val="Style32"/>
        <w:keepNext w:val="0"/>
        <w:keepLines w:val="0"/>
        <w:widowControl w:val="0"/>
        <w:shd w:val="clear" w:color="auto" w:fill="auto"/>
        <w:bidi w:val="0"/>
        <w:spacing w:before="0" w:after="240" w:line="264" w:lineRule="exact"/>
        <w:ind w:left="0" w:right="0" w:firstLine="420"/>
        <w:jc w:val="both"/>
      </w:pPr>
      <w:r>
        <w:rPr>
          <w:color w:val="000000"/>
          <w:spacing w:val="0"/>
          <w:w w:val="100"/>
          <w:position w:val="0"/>
        </w:rPr>
        <w:t>神州控股授予本集团的以权益结算的股份期权于授予日的公允价值，由外聘估值师采用二项式模型确定，已授予受限 制股份的公允价值根据神州控股股份于各授出日期的市价计算，参见附注十三、股份支付。</w:t>
      </w:r>
    </w:p>
    <w:p>
      <w:pPr>
        <w:pStyle w:val="Style32"/>
        <w:keepNext w:val="0"/>
        <w:keepLines w:val="0"/>
        <w:widowControl w:val="0"/>
        <w:shd w:val="clear" w:color="auto" w:fill="auto"/>
        <w:bidi w:val="0"/>
        <w:spacing w:before="0" w:after="240" w:line="266" w:lineRule="exact"/>
        <w:ind w:left="0" w:right="0" w:firstLine="420"/>
        <w:jc w:val="both"/>
      </w:pPr>
      <w:r>
        <w:rPr>
          <w:color w:val="000000"/>
          <w:spacing w:val="0"/>
          <w:w w:val="100"/>
          <w:position w:val="0"/>
        </w:rPr>
        <w:t>在满足业绩条件和服务期限条件的期间，应确认以权益结算的股份支付的成本或费用，并相应增加资本公积。可行权 日之前，于每个资产负债表日为以权益结算的股份支付确认的累计金额反映了等待期已届满的部分以及神州控股对本集团 最终可行权的权益工具数量的最佳估计。</w:t>
      </w:r>
    </w:p>
    <w:p>
      <w:pPr>
        <w:pStyle w:val="Style32"/>
        <w:keepNext w:val="0"/>
        <w:keepLines w:val="0"/>
        <w:widowControl w:val="0"/>
        <w:shd w:val="clear" w:color="auto" w:fill="auto"/>
        <w:bidi w:val="0"/>
        <w:spacing w:before="0" w:after="240" w:line="269" w:lineRule="exact"/>
        <w:ind w:left="0" w:right="0" w:firstLine="420"/>
        <w:jc w:val="both"/>
      </w:pPr>
      <w:r>
        <w:rPr>
          <w:color w:val="000000"/>
          <w:spacing w:val="0"/>
          <w:w w:val="100"/>
          <w:position w:val="0"/>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Style32"/>
        <w:keepNext w:val="0"/>
        <w:keepLines w:val="0"/>
        <w:widowControl w:val="0"/>
        <w:shd w:val="clear" w:color="auto" w:fill="auto"/>
        <w:bidi w:val="0"/>
        <w:spacing w:before="0" w:after="240" w:line="269" w:lineRule="exact"/>
        <w:ind w:left="0" w:right="0" w:firstLine="420"/>
        <w:jc w:val="both"/>
      </w:pPr>
      <w:r>
        <w:rPr>
          <w:color w:val="000000"/>
          <w:spacing w:val="0"/>
          <w:w w:val="100"/>
          <w:position w:val="0"/>
        </w:rPr>
        <w:t>如果修改了以权益结算的股份支付的条款，至少按照未修改条款的情况确认取得的服务。此外，增加所授予权益工具 公允价值的修改，或在修改日对职工有利的变更，均确认取得服务的增加。</w:t>
      </w:r>
    </w:p>
    <w:p>
      <w:pPr>
        <w:pStyle w:val="Style32"/>
        <w:keepNext w:val="0"/>
        <w:keepLines w:val="0"/>
        <w:widowControl w:val="0"/>
        <w:shd w:val="clear" w:color="auto" w:fill="auto"/>
        <w:bidi w:val="0"/>
        <w:spacing w:before="0" w:after="560" w:line="269" w:lineRule="exact"/>
        <w:ind w:left="0" w:right="0" w:firstLine="420"/>
        <w:jc w:val="both"/>
      </w:pPr>
      <w:r>
        <w:rPr>
          <w:color w:val="000000"/>
          <w:spacing w:val="0"/>
          <w:w w:val="100"/>
          <w:position w:val="0"/>
        </w:rPr>
        <w:t>如果取消了以权益结算的股份支付，则于取消日作为加速行权处理，立即确认尚未确认的金额。职工或其他方能够选 择满足非可行权条件但在等待期内未满足的，作为取消以权益结算的股份支付处理。但是，如果授予新的权益工具，并在新 权益工具授予日认定所授予的新权益工具是用于替代被取消的权益工具的，则以与处理原权益工具条款和条件修改相同的 方式，对所授予的替代权益工具进行处理。</w:t>
      </w:r>
    </w:p>
    <w:p>
      <w:pPr>
        <w:pStyle w:val="Style36"/>
        <w:keepNext/>
        <w:keepLines/>
        <w:widowControl w:val="0"/>
        <w:shd w:val="clear" w:color="auto" w:fill="auto"/>
        <w:bidi w:val="0"/>
        <w:spacing w:before="0" w:after="240" w:line="240" w:lineRule="auto"/>
        <w:ind w:left="0" w:right="0" w:firstLine="0"/>
        <w:jc w:val="both"/>
      </w:pPr>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24</w:t>
      </w:r>
      <w:r>
        <w:rPr>
          <w:color w:val="000000"/>
          <w:spacing w:val="0"/>
          <w:w w:val="100"/>
          <w:position w:val="0"/>
        </w:rPr>
        <w:t>、收入</w:t>
      </w:r>
      <w:bookmarkEnd w:id="878"/>
      <w:bookmarkEnd w:id="879"/>
      <w:bookmarkEnd w:id="880"/>
    </w:p>
    <w:p>
      <w:pPr>
        <w:pStyle w:val="Style32"/>
        <w:keepNext w:val="0"/>
        <w:keepLines w:val="0"/>
        <w:widowControl w:val="0"/>
        <w:shd w:val="clear" w:color="auto" w:fill="auto"/>
        <w:bidi w:val="0"/>
        <w:spacing w:before="0" w:after="240" w:line="259" w:lineRule="exact"/>
        <w:ind w:left="0" w:right="0" w:firstLine="0"/>
        <w:jc w:val="both"/>
      </w:pPr>
      <w:r>
        <w:rPr>
          <w:color w:val="000000"/>
          <w:spacing w:val="0"/>
          <w:w w:val="100"/>
          <w:position w:val="0"/>
        </w:rPr>
        <w:t>公司是否需要遵守特殊行业的披露要求 否</w:t>
      </w:r>
    </w:p>
    <w:p>
      <w:pPr>
        <w:pStyle w:val="Style32"/>
        <w:keepNext w:val="0"/>
        <w:keepLines w:val="0"/>
        <w:widowControl w:val="0"/>
        <w:shd w:val="clear" w:color="auto" w:fill="auto"/>
        <w:bidi w:val="0"/>
        <w:spacing w:before="0" w:after="240" w:line="264" w:lineRule="exact"/>
        <w:ind w:left="0" w:right="0" w:firstLine="420"/>
        <w:jc w:val="both"/>
      </w:pPr>
      <w:r>
        <w:rPr>
          <w:color w:val="000000"/>
          <w:spacing w:val="0"/>
          <w:w w:val="100"/>
          <w:position w:val="0"/>
        </w:rPr>
        <w:t>本集团的营业收入主要包括销售商品收入、提供劳务收入、利息收入、股利收入等，收入在经济利益很可能流入本集 团、且金额能够可靠计量，并同时满足下列条件时予以确认：</w:t>
      </w:r>
    </w:p>
    <w:p>
      <w:pPr>
        <w:pStyle w:val="Style32"/>
        <w:keepNext w:val="0"/>
        <w:keepLines w:val="0"/>
        <w:widowControl w:val="0"/>
        <w:shd w:val="clear" w:color="auto" w:fill="auto"/>
        <w:tabs>
          <w:tab w:pos="805" w:val="left"/>
        </w:tabs>
        <w:bidi w:val="0"/>
        <w:spacing w:before="0" w:after="240" w:line="270" w:lineRule="exact"/>
        <w:ind w:left="0" w:right="0" w:firstLine="420"/>
        <w:jc w:val="both"/>
      </w:pPr>
      <w:bookmarkStart w:id="881" w:name="bookmark881"/>
      <w:r>
        <w:rPr>
          <w:color w:val="000000"/>
          <w:spacing w:val="0"/>
          <w:w w:val="100"/>
          <w:position w:val="0"/>
          <w:sz w:val="17"/>
          <w:szCs w:val="17"/>
        </w:rPr>
        <w:t>（</w:t>
      </w:r>
      <w:bookmarkEnd w:id="881"/>
      <w:r>
        <w:rPr>
          <w:color w:val="000000"/>
          <w:spacing w:val="0"/>
          <w:w w:val="100"/>
          <w:position w:val="0"/>
          <w:sz w:val="17"/>
          <w:szCs w:val="17"/>
        </w:rPr>
        <w:t>1）</w:t>
        <w:tab/>
      </w:r>
      <w:r>
        <w:rPr>
          <w:color w:val="000000"/>
          <w:spacing w:val="0"/>
          <w:w w:val="100"/>
          <w:position w:val="0"/>
        </w:rPr>
        <w:t>销售商品收入</w:t>
      </w:r>
    </w:p>
    <w:p>
      <w:pPr>
        <w:pStyle w:val="Style32"/>
        <w:keepNext w:val="0"/>
        <w:keepLines w:val="0"/>
        <w:widowControl w:val="0"/>
        <w:shd w:val="clear" w:color="auto" w:fill="auto"/>
        <w:bidi w:val="0"/>
        <w:spacing w:before="0" w:after="240" w:line="270" w:lineRule="exact"/>
        <w:ind w:left="0" w:right="0" w:firstLine="420"/>
        <w:jc w:val="both"/>
      </w:pPr>
      <w:r>
        <w:rPr>
          <w:color w:val="000000"/>
          <w:spacing w:val="0"/>
          <w:w w:val="100"/>
          <w:position w:val="0"/>
        </w:rPr>
        <w:t>本集团已将商品所有权上的主要风险和报酬转移给购货方，并不再对该商品保留通常与所有权相联系的继续管理权和 实施有效控制，且相关的已发生或将发生的成本能够可靠地计量，确认为收入的实现。销售商品收入金额，按照从购货方已 收或应收的合同或协议价款确定，但已收或应收的合同或协议价款不公允的除外；合同或协议价款的收取采用递延方式，实 质上具有融资性质的，按照应收的合同或协议价款的公允价值确定。</w:t>
      </w:r>
    </w:p>
    <w:p>
      <w:pPr>
        <w:pStyle w:val="Style32"/>
        <w:keepNext w:val="0"/>
        <w:keepLines w:val="0"/>
        <w:widowControl w:val="0"/>
        <w:shd w:val="clear" w:color="auto" w:fill="auto"/>
        <w:tabs>
          <w:tab w:pos="805" w:val="left"/>
        </w:tabs>
        <w:bidi w:val="0"/>
        <w:spacing w:before="0" w:after="240" w:line="270" w:lineRule="exact"/>
        <w:ind w:left="0" w:right="0" w:firstLine="420"/>
        <w:jc w:val="both"/>
      </w:pPr>
      <w:bookmarkStart w:id="882" w:name="bookmark882"/>
      <w:r>
        <w:rPr>
          <w:color w:val="000000"/>
          <w:spacing w:val="0"/>
          <w:w w:val="100"/>
          <w:position w:val="0"/>
          <w:sz w:val="17"/>
          <w:szCs w:val="17"/>
        </w:rPr>
        <w:t>（</w:t>
      </w:r>
      <w:bookmarkEnd w:id="882"/>
      <w:r>
        <w:rPr>
          <w:color w:val="000000"/>
          <w:spacing w:val="0"/>
          <w:w w:val="100"/>
          <w:position w:val="0"/>
          <w:sz w:val="17"/>
          <w:szCs w:val="17"/>
        </w:rPr>
        <w:t>2）</w:t>
        <w:tab/>
      </w:r>
      <w:r>
        <w:rPr>
          <w:color w:val="000000"/>
          <w:spacing w:val="0"/>
          <w:w w:val="100"/>
          <w:position w:val="0"/>
        </w:rPr>
        <w:t>提供劳务收入</w:t>
      </w:r>
    </w:p>
    <w:p>
      <w:pPr>
        <w:pStyle w:val="Style32"/>
        <w:keepNext w:val="0"/>
        <w:keepLines w:val="0"/>
        <w:widowControl w:val="0"/>
        <w:shd w:val="clear" w:color="auto" w:fill="auto"/>
        <w:bidi w:val="0"/>
        <w:spacing w:before="0" w:after="240" w:line="270" w:lineRule="exact"/>
        <w:ind w:left="0" w:right="0" w:firstLine="420"/>
        <w:jc w:val="both"/>
      </w:pPr>
      <w:r>
        <w:rPr>
          <w:color w:val="000000"/>
          <w:spacing w:val="0"/>
          <w:w w:val="100"/>
          <w:position w:val="0"/>
        </w:rPr>
        <w:t>于资产负债表日，在提供劳务交易的结果能够可靠估计的情况下，按完工百分比法确认提供劳务收入；否则按已经发 生并预计能够得到补偿的劳务成本金额确认收入。提供劳务交易的结果能够可靠估计，是指同时满足下列条件：收入的金额 能够可靠地计量，相关的经济利益很可能流入本交易标的，交易的完工进度能够可靠地确定，交易中已发生和将发生的成本 能够可靠地计量。本集团以已完工作的测量/已经提供的劳务占应提供劳务总量的比例确定提供劳务交易的完工进度。提供 劳务收入总额，按照从接受劳务方已收或应收的合同或协议价款确定，但已收或应收的合同或协议价款不公允的除外。</w:t>
      </w:r>
    </w:p>
    <w:p>
      <w:pPr>
        <w:pStyle w:val="Style32"/>
        <w:keepNext w:val="0"/>
        <w:keepLines w:val="0"/>
        <w:widowControl w:val="0"/>
        <w:shd w:val="clear" w:color="auto" w:fill="auto"/>
        <w:bidi w:val="0"/>
        <w:spacing w:before="0" w:after="240" w:line="266" w:lineRule="exact"/>
        <w:ind w:left="0" w:right="0" w:firstLine="420"/>
        <w:jc w:val="both"/>
      </w:pPr>
      <w:r>
        <w:rPr>
          <w:color w:val="000000"/>
          <w:spacing w:val="0"/>
          <w:w w:val="100"/>
          <w:position w:val="0"/>
        </w:rPr>
        <w:t>本集团与其他企业签订的合同或协议包括销售商品和提供劳务时，如销售商品部分和提供劳务部分能够区分并单独计 量的，将销售商品部分和提供劳务部分分别处理；如销售商品部分和提供劳务部分不能够区分，或虽能区分但不能够单独计 量的，将该合同全部作为销售商品处理。</w:t>
      </w:r>
    </w:p>
    <w:p>
      <w:pPr>
        <w:pStyle w:val="Style32"/>
        <w:keepNext w:val="0"/>
        <w:keepLines w:val="0"/>
        <w:widowControl w:val="0"/>
        <w:shd w:val="clear" w:color="auto" w:fill="auto"/>
        <w:tabs>
          <w:tab w:pos="865" w:val="left"/>
        </w:tabs>
        <w:bidi w:val="0"/>
        <w:spacing w:before="0" w:after="320" w:line="240" w:lineRule="auto"/>
        <w:ind w:left="0" w:right="0" w:firstLine="420"/>
        <w:jc w:val="both"/>
      </w:pPr>
      <w:bookmarkStart w:id="883" w:name="bookmark883"/>
      <w:r>
        <w:rPr>
          <w:color w:val="000000"/>
          <w:spacing w:val="0"/>
          <w:w w:val="100"/>
          <w:position w:val="0"/>
          <w:sz w:val="17"/>
          <w:szCs w:val="17"/>
        </w:rPr>
        <w:t>（</w:t>
      </w:r>
      <w:bookmarkEnd w:id="883"/>
      <w:r>
        <w:rPr>
          <w:color w:val="000000"/>
          <w:spacing w:val="0"/>
          <w:w w:val="100"/>
          <w:position w:val="0"/>
          <w:sz w:val="17"/>
          <w:szCs w:val="17"/>
        </w:rPr>
        <w:t>3）</w:t>
        <w:tab/>
      </w:r>
      <w:r>
        <w:rPr>
          <w:color w:val="000000"/>
          <w:spacing w:val="0"/>
          <w:w w:val="100"/>
          <w:position w:val="0"/>
        </w:rPr>
        <w:t>利息收入</w:t>
      </w:r>
    </w:p>
    <w:p>
      <w:pPr>
        <w:pStyle w:val="Style32"/>
        <w:keepNext w:val="0"/>
        <w:keepLines w:val="0"/>
        <w:widowControl w:val="0"/>
        <w:shd w:val="clear" w:color="auto" w:fill="auto"/>
        <w:bidi w:val="0"/>
        <w:spacing w:before="0" w:after="260" w:line="240" w:lineRule="auto"/>
        <w:ind w:left="0" w:right="0" w:firstLine="420"/>
        <w:jc w:val="both"/>
      </w:pPr>
      <w:r>
        <w:rPr>
          <w:color w:val="000000"/>
          <w:spacing w:val="0"/>
          <w:w w:val="100"/>
          <w:position w:val="0"/>
        </w:rPr>
        <w:t>按照他人使用本集团货币资金的时间和实际利率计算确定。</w:t>
      </w:r>
    </w:p>
    <w:p>
      <w:pPr>
        <w:pStyle w:val="Style32"/>
        <w:keepNext w:val="0"/>
        <w:keepLines w:val="0"/>
        <w:widowControl w:val="0"/>
        <w:shd w:val="clear" w:color="auto" w:fill="auto"/>
        <w:tabs>
          <w:tab w:pos="865" w:val="left"/>
        </w:tabs>
        <w:bidi w:val="0"/>
        <w:spacing w:before="0" w:after="320" w:line="240" w:lineRule="auto"/>
        <w:ind w:left="0" w:right="0" w:firstLine="420"/>
        <w:jc w:val="both"/>
      </w:pPr>
      <w:bookmarkStart w:id="884" w:name="bookmark884"/>
      <w:r>
        <w:rPr>
          <w:color w:val="000000"/>
          <w:spacing w:val="0"/>
          <w:w w:val="100"/>
          <w:position w:val="0"/>
          <w:sz w:val="17"/>
          <w:szCs w:val="17"/>
        </w:rPr>
        <w:t>（</w:t>
      </w:r>
      <w:bookmarkEnd w:id="884"/>
      <w:r>
        <w:rPr>
          <w:color w:val="000000"/>
          <w:spacing w:val="0"/>
          <w:w w:val="100"/>
          <w:position w:val="0"/>
          <w:sz w:val="17"/>
          <w:szCs w:val="17"/>
        </w:rPr>
        <w:t>4）</w:t>
        <w:tab/>
      </w:r>
      <w:r>
        <w:rPr>
          <w:color w:val="000000"/>
          <w:spacing w:val="0"/>
          <w:w w:val="100"/>
          <w:position w:val="0"/>
        </w:rPr>
        <w:t>股利收入</w:t>
      </w:r>
    </w:p>
    <w:p>
      <w:pPr>
        <w:pStyle w:val="Style32"/>
        <w:keepNext w:val="0"/>
        <w:keepLines w:val="0"/>
        <w:widowControl w:val="0"/>
        <w:shd w:val="clear" w:color="auto" w:fill="auto"/>
        <w:bidi w:val="0"/>
        <w:spacing w:before="0" w:after="860" w:line="240" w:lineRule="auto"/>
        <w:ind w:left="0" w:right="0" w:firstLine="420"/>
        <w:jc w:val="both"/>
      </w:pPr>
      <w:r>
        <w:rPr>
          <w:color w:val="000000"/>
          <w:spacing w:val="0"/>
          <w:w w:val="100"/>
          <w:position w:val="0"/>
        </w:rPr>
        <w:t>股利收入在确定股东收款权利时确认。</w:t>
      </w:r>
    </w:p>
    <w:p>
      <w:pPr>
        <w:pStyle w:val="Style36"/>
        <w:keepNext/>
        <w:keepLines/>
        <w:widowControl w:val="0"/>
        <w:shd w:val="clear" w:color="auto" w:fill="auto"/>
        <w:bidi w:val="0"/>
        <w:spacing w:before="0" w:after="320" w:line="240"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885"/>
      <w:bookmarkEnd w:id="886"/>
      <w:bookmarkEnd w:id="888"/>
    </w:p>
    <w:p>
      <w:pPr>
        <w:pStyle w:val="Style36"/>
        <w:keepNext/>
        <w:keepLines/>
        <w:widowControl w:val="0"/>
        <w:shd w:val="clear" w:color="auto" w:fill="auto"/>
        <w:bidi w:val="0"/>
        <w:spacing w:before="0" w:after="260" w:line="240" w:lineRule="auto"/>
        <w:ind w:left="0" w:right="0" w:firstLine="0"/>
        <w:jc w:val="both"/>
      </w:pPr>
      <w:bookmarkStart w:id="885" w:name="bookmark885"/>
      <w:bookmarkStart w:id="886" w:name="bookmark886"/>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85"/>
      <w:bookmarkEnd w:id="886"/>
      <w:bookmarkEnd w:id="890"/>
    </w:p>
    <w:p>
      <w:pPr>
        <w:pStyle w:val="Style3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政府补助在能够满足其所附的条件并且能够收到时，予以确认。政府补助为货币性资产的，按照收到或应收的金额计 量。政府补助为非货币性资产的，按照公允价值计量；公允价值不能可靠取得的，按照名义金额计量。</w:t>
      </w:r>
    </w:p>
    <w:p>
      <w:pPr>
        <w:pStyle w:val="Style32"/>
        <w:keepNext w:val="0"/>
        <w:keepLines w:val="0"/>
        <w:widowControl w:val="0"/>
        <w:shd w:val="clear" w:color="auto" w:fill="auto"/>
        <w:bidi w:val="0"/>
        <w:spacing w:before="0" w:after="560" w:line="269" w:lineRule="exact"/>
        <w:ind w:left="0" w:right="0" w:firstLine="420"/>
        <w:jc w:val="both"/>
      </w:pPr>
      <w:r>
        <w:rPr>
          <w:color w:val="000000"/>
          <w:spacing w:val="0"/>
          <w:w w:val="100"/>
          <w:position w:val="0"/>
        </w:rPr>
        <w:t>政府文件规定用于购建或以其他方式形成长期资产的，作为与资产相关的政府补助；政府文件不明确的，以取得该补 助必须具备的基本条件为基础进行判断，以购建或其他方式形成长期资产为基本条件的作为与资产相关的政府补助，除此之 外的作为与收益相关的政府补助。</w:t>
      </w:r>
    </w:p>
    <w:p>
      <w:pPr>
        <w:pStyle w:val="Style36"/>
        <w:keepNext/>
        <w:keepLines/>
        <w:widowControl w:val="0"/>
        <w:shd w:val="clear" w:color="auto" w:fill="auto"/>
        <w:bidi w:val="0"/>
        <w:spacing w:before="0" w:after="260" w:line="240" w:lineRule="auto"/>
        <w:ind w:left="0" w:right="0" w:firstLine="0"/>
        <w:jc w:val="both"/>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91"/>
      <w:bookmarkEnd w:id="892"/>
      <w:bookmarkEnd w:id="894"/>
    </w:p>
    <w:p>
      <w:pPr>
        <w:pStyle w:val="Style32"/>
        <w:keepNext w:val="0"/>
        <w:keepLines w:val="0"/>
        <w:widowControl w:val="0"/>
        <w:shd w:val="clear" w:color="auto" w:fill="auto"/>
        <w:bidi w:val="0"/>
        <w:spacing w:before="0" w:after="860" w:line="271" w:lineRule="exact"/>
        <w:ind w:left="0" w:right="0" w:firstLine="420"/>
        <w:jc w:val="both"/>
      </w:pPr>
      <w:r>
        <w:rPr>
          <w:color w:val="000000"/>
          <w:spacing w:val="0"/>
          <w:w w:val="100"/>
          <w:position w:val="0"/>
        </w:rPr>
        <w:t>与收益相关的政府补助，用于补偿以后期间的相关费用或损失的，确认为递延收益，并在确认相关费用的期间计入当 期损益；用于补偿已发生的相关费用或损失的，直接计入当期损益。与资产相关的政府补助，确认为递延收益，在相关资产 使用寿命内平均分配，计入当期损益。但按照名义金额计量的政府补助，直接计入当期损益。</w:t>
      </w:r>
    </w:p>
    <w:p>
      <w:pPr>
        <w:pStyle w:val="Style36"/>
        <w:keepNext/>
        <w:keepLines/>
        <w:widowControl w:val="0"/>
        <w:shd w:val="clear" w:color="auto" w:fill="auto"/>
        <w:tabs>
          <w:tab w:pos="483" w:val="left"/>
        </w:tabs>
        <w:bidi w:val="0"/>
        <w:spacing w:before="0" w:after="260" w:line="240"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5"/>
      <w:bookmarkEnd w:id="896"/>
      <w:bookmarkEnd w:id="898"/>
    </w:p>
    <w:p>
      <w:pPr>
        <w:pStyle w:val="Style32"/>
        <w:keepNext w:val="0"/>
        <w:keepLines w:val="0"/>
        <w:widowControl w:val="0"/>
        <w:shd w:val="clear" w:color="auto" w:fill="auto"/>
        <w:bidi w:val="0"/>
        <w:spacing w:before="0" w:line="268" w:lineRule="exact"/>
        <w:ind w:left="0" w:right="0" w:firstLine="420"/>
        <w:jc w:val="both"/>
      </w:pPr>
      <w:r>
        <w:rPr>
          <w:color w:val="000000"/>
          <w:spacing w:val="0"/>
          <w:w w:val="100"/>
          <w:position w:val="0"/>
        </w:rPr>
        <w:t>本集团递延所得税资产和递延所得税负债根据资产和负债的计税基础与其账面价值的差额（暂时性差异）计算确认。对 于按照税法规定能够于以后年度抵减应纳税所得额的可抵扣亏损，确认相应的递延所得税资产。对于商誉的初始确认产生的 暂时性差异，不确认相应的递延所得税负债。对于既不影响会计利润也不影响应纳税所得额（或可抵扣亏损）的非企业合并的 交易中产生的资产或负债的初始确认形成的暂时性差异，不确认相应的递延所得税资产和递延所得税负债。于资产负债表 日，递延所得税资产和递延所得税负债，按照预期收回该资产或清偿该负债期间的适用税率计量。</w:t>
      </w:r>
    </w:p>
    <w:p>
      <w:pPr>
        <w:pStyle w:val="Style32"/>
        <w:keepNext w:val="0"/>
        <w:keepLines w:val="0"/>
        <w:widowControl w:val="0"/>
        <w:shd w:val="clear" w:color="auto" w:fill="auto"/>
        <w:bidi w:val="0"/>
        <w:spacing w:before="0" w:after="320" w:line="269" w:lineRule="exact"/>
        <w:ind w:left="0" w:right="0" w:firstLine="420"/>
        <w:jc w:val="both"/>
      </w:pPr>
      <w:r>
        <w:rPr>
          <w:color w:val="000000"/>
          <w:spacing w:val="0"/>
          <w:w w:val="100"/>
          <w:position w:val="0"/>
        </w:rPr>
        <w:t>本集团以很可能取得用来抵扣可抵扣暂时性差异、可抵扣亏损和税款抵减的未来应纳税所得额为限，确认递延所得税 资产。</w:t>
      </w:r>
    </w:p>
    <w:p>
      <w:pPr>
        <w:pStyle w:val="Style36"/>
        <w:keepNext/>
        <w:keepLines/>
        <w:widowControl w:val="0"/>
        <w:shd w:val="clear" w:color="auto" w:fill="auto"/>
        <w:tabs>
          <w:tab w:pos="483" w:val="left"/>
        </w:tabs>
        <w:bidi w:val="0"/>
        <w:spacing w:before="0" w:after="32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899"/>
      <w:bookmarkEnd w:id="900"/>
      <w:bookmarkEnd w:id="902"/>
    </w:p>
    <w:p>
      <w:pPr>
        <w:pStyle w:val="Style36"/>
        <w:keepNext/>
        <w:keepLines/>
        <w:widowControl w:val="0"/>
        <w:shd w:val="clear" w:color="auto" w:fill="auto"/>
        <w:bidi w:val="0"/>
        <w:spacing w:before="0" w:after="260" w:line="240" w:lineRule="auto"/>
        <w:ind w:left="0" w:right="0" w:firstLine="0"/>
        <w:jc w:val="both"/>
      </w:pPr>
      <w:bookmarkStart w:id="899" w:name="bookmark899"/>
      <w:bookmarkStart w:id="900" w:name="bookmark900"/>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99"/>
      <w:bookmarkEnd w:id="900"/>
      <w:bookmarkEnd w:id="904"/>
    </w:p>
    <w:p>
      <w:pPr>
        <w:pStyle w:val="Style32"/>
        <w:keepNext w:val="0"/>
        <w:keepLines w:val="0"/>
        <w:widowControl w:val="0"/>
        <w:shd w:val="clear" w:color="auto" w:fill="auto"/>
        <w:bidi w:val="0"/>
        <w:spacing w:before="0" w:after="560" w:line="268" w:lineRule="exact"/>
        <w:ind w:left="0" w:right="0" w:firstLine="420"/>
        <w:jc w:val="both"/>
      </w:pPr>
      <w:r>
        <w:rPr>
          <w:color w:val="000000"/>
          <w:spacing w:val="0"/>
          <w:w w:val="100"/>
          <w:position w:val="0"/>
        </w:rPr>
        <w:t>本集团作为经营租赁承租方的租金在租赁期内的各个期间按直线法计入相关资产成本或当期损益。</w:t>
      </w:r>
    </w:p>
    <w:p>
      <w:pPr>
        <w:pStyle w:val="Style36"/>
        <w:keepNext/>
        <w:keepLines/>
        <w:widowControl w:val="0"/>
        <w:shd w:val="clear" w:color="auto" w:fill="auto"/>
        <w:bidi w:val="0"/>
        <w:spacing w:before="0" w:after="26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8</w:t>
      </w:r>
      <w:r>
        <w:rPr>
          <w:color w:val="000000"/>
          <w:spacing w:val="0"/>
          <w:w w:val="100"/>
          <w:position w:val="0"/>
        </w:rPr>
        <w:t>、其他重要的会计政策和会计估计</w:t>
      </w:r>
      <w:bookmarkEnd w:id="905"/>
      <w:bookmarkEnd w:id="906"/>
      <w:bookmarkEnd w:id="908"/>
    </w:p>
    <w:p>
      <w:pPr>
        <w:pStyle w:val="Style32"/>
        <w:keepNext w:val="0"/>
        <w:keepLines w:val="0"/>
        <w:widowControl w:val="0"/>
        <w:shd w:val="clear" w:color="auto" w:fill="auto"/>
        <w:bidi w:val="0"/>
        <w:spacing w:before="0" w:line="274" w:lineRule="exact"/>
        <w:ind w:left="0" w:right="0" w:firstLine="420"/>
        <w:jc w:val="both"/>
      </w:pPr>
      <w:r>
        <w:rPr>
          <w:color w:val="000000"/>
          <w:spacing w:val="0"/>
          <w:w w:val="100"/>
          <w:position w:val="0"/>
        </w:rPr>
        <w:t xml:space="preserve">编制合并财务报表要求管理层作出判断、估计和假设，这些判断、估计和假设会影响收入、费用、资产和负债的列报金 额及其披露，以及资产负债表日或有负债的披露。然而，这些假设和估计的不确定性所导致的结果可能造成对未来受影响的 </w:t>
      </w:r>
      <w:r>
        <w:rPr>
          <w:color w:val="000000"/>
          <w:spacing w:val="0"/>
          <w:w w:val="100"/>
          <w:position w:val="0"/>
        </w:rPr>
        <w:t>资产或负债的账面金额进行重大调整。</w:t>
      </w:r>
    </w:p>
    <w:p>
      <w:pPr>
        <w:pStyle w:val="Style32"/>
        <w:keepNext w:val="0"/>
        <w:keepLines w:val="0"/>
        <w:widowControl w:val="0"/>
        <w:shd w:val="clear" w:color="auto" w:fill="auto"/>
        <w:tabs>
          <w:tab w:pos="821" w:val="left"/>
        </w:tabs>
        <w:bidi w:val="0"/>
        <w:spacing w:before="0" w:line="269" w:lineRule="exact"/>
        <w:ind w:left="0" w:right="0" w:firstLine="420"/>
        <w:jc w:val="left"/>
      </w:pPr>
      <w:bookmarkStart w:id="909" w:name="bookmark909"/>
      <w:r>
        <w:rPr>
          <w:color w:val="000000"/>
          <w:spacing w:val="0"/>
          <w:w w:val="100"/>
          <w:position w:val="0"/>
          <w:sz w:val="17"/>
          <w:szCs w:val="17"/>
        </w:rPr>
        <w:t>（</w:t>
      </w:r>
      <w:bookmarkEnd w:id="909"/>
      <w:r>
        <w:rPr>
          <w:color w:val="000000"/>
          <w:spacing w:val="0"/>
          <w:w w:val="100"/>
          <w:position w:val="0"/>
          <w:sz w:val="17"/>
          <w:szCs w:val="17"/>
        </w:rPr>
        <w:t>1）</w:t>
        <w:tab/>
      </w:r>
      <w:r>
        <w:rPr>
          <w:color w:val="000000"/>
          <w:spacing w:val="0"/>
          <w:w w:val="100"/>
          <w:position w:val="0"/>
        </w:rPr>
        <w:t>判断</w:t>
      </w:r>
    </w:p>
    <w:p>
      <w:pPr>
        <w:pStyle w:val="Style32"/>
        <w:keepNext w:val="0"/>
        <w:keepLines w:val="0"/>
        <w:widowControl w:val="0"/>
        <w:shd w:val="clear" w:color="auto" w:fill="auto"/>
        <w:bidi w:val="0"/>
        <w:spacing w:before="0" w:line="269" w:lineRule="exact"/>
        <w:ind w:left="0" w:right="0" w:firstLine="420"/>
        <w:jc w:val="left"/>
      </w:pPr>
      <w:r>
        <w:rPr>
          <w:color w:val="000000"/>
          <w:spacing w:val="0"/>
          <w:w w:val="100"/>
          <w:position w:val="0"/>
        </w:rPr>
        <w:t>以股份支付奖励报酬成本确认雇员福利开支</w:t>
      </w:r>
    </w:p>
    <w:p>
      <w:pPr>
        <w:pStyle w:val="Style32"/>
        <w:keepNext w:val="0"/>
        <w:keepLines w:val="0"/>
        <w:widowControl w:val="0"/>
        <w:shd w:val="clear" w:color="auto" w:fill="auto"/>
        <w:bidi w:val="0"/>
        <w:spacing w:before="0" w:line="269" w:lineRule="exact"/>
        <w:ind w:left="0" w:right="0" w:firstLine="420"/>
        <w:jc w:val="both"/>
      </w:pPr>
      <w:r>
        <w:rPr>
          <w:color w:val="000000"/>
          <w:spacing w:val="0"/>
          <w:w w:val="100"/>
          <w:position w:val="0"/>
        </w:rPr>
        <w:t>本集团涉及神州控股授予的两个购股权计划及一个受限制股份奖励计划，其目的在于激励及奖励雇员。神州控股授予 本集团的以权益结算的股份期权于授予日的公允价值，由外聘估值师采用二项式模型确定，已授予受限制股份的公允价值根 据神州控股股份于各授出日期的市价计算。该等估值要求神州控股对若干主要输入数据作出估计，包括股利收益率、预期波 幅、无风险利率及购股权预期年期，因此具有不确定性。</w:t>
      </w:r>
    </w:p>
    <w:p>
      <w:pPr>
        <w:pStyle w:val="Style32"/>
        <w:keepNext w:val="0"/>
        <w:keepLines w:val="0"/>
        <w:widowControl w:val="0"/>
        <w:shd w:val="clear" w:color="auto" w:fill="auto"/>
        <w:bidi w:val="0"/>
        <w:spacing w:before="0" w:line="269" w:lineRule="exact"/>
        <w:ind w:left="0" w:right="0" w:firstLine="420"/>
        <w:jc w:val="both"/>
      </w:pPr>
      <w:r>
        <w:rPr>
          <w:color w:val="000000"/>
          <w:spacing w:val="0"/>
          <w:w w:val="100"/>
          <w:position w:val="0"/>
        </w:rPr>
        <w:t>此外，授出购股权及受限制股份的条件是满足特定的可行权条件，包括服务期及与财务业绩计量挂钩的业绩条件。在 考虑可行权条件及调整包括在各期股份支付之酬金成本计量中的受限制股份数目及购股权数目时，神州控股须作出判断。</w:t>
      </w:r>
    </w:p>
    <w:p>
      <w:pPr>
        <w:pStyle w:val="Style32"/>
        <w:keepNext w:val="0"/>
        <w:keepLines w:val="0"/>
        <w:widowControl w:val="0"/>
        <w:shd w:val="clear" w:color="auto" w:fill="auto"/>
        <w:bidi w:val="0"/>
        <w:spacing w:before="0" w:line="266" w:lineRule="exact"/>
        <w:ind w:left="0" w:right="0" w:firstLine="420"/>
        <w:jc w:val="both"/>
      </w:pPr>
      <w:r>
        <w:rPr>
          <w:color w:val="000000"/>
          <w:spacing w:val="0"/>
          <w:w w:val="100"/>
          <w:position w:val="0"/>
        </w:rPr>
        <w:t>于可行权日前的各报告期末就以股份支付奖励所确认之累计开支反映等待期届满情况，以及神州控股对本交易标的最 终可行权的权益工具数目的最佳估计情况。于某一期间的汇总利润表内扣除或计入之金额为于该期间期初及期末时确认累 计开支的变动。最终不满足行权条件的奖励开支不予确认。</w:t>
      </w:r>
    </w:p>
    <w:p>
      <w:pPr>
        <w:pStyle w:val="Style32"/>
        <w:keepNext w:val="0"/>
        <w:keepLines w:val="0"/>
        <w:widowControl w:val="0"/>
        <w:shd w:val="clear" w:color="auto" w:fill="auto"/>
        <w:bidi w:val="0"/>
        <w:spacing w:before="0" w:line="269" w:lineRule="exact"/>
        <w:ind w:left="0" w:right="0" w:firstLine="420"/>
        <w:jc w:val="left"/>
      </w:pPr>
      <w:r>
        <w:rPr>
          <w:color w:val="000000"/>
          <w:spacing w:val="0"/>
          <w:w w:val="100"/>
          <w:position w:val="0"/>
        </w:rPr>
        <w:t>详情参见本财务报表附注五、</w:t>
      </w:r>
      <w:r>
        <w:rPr>
          <w:color w:val="000000"/>
          <w:spacing w:val="0"/>
          <w:w w:val="100"/>
          <w:position w:val="0"/>
          <w:sz w:val="17"/>
          <w:szCs w:val="17"/>
        </w:rPr>
        <w:t>23.</w:t>
      </w:r>
      <w:r>
        <w:rPr>
          <w:color w:val="000000"/>
          <w:spacing w:val="0"/>
          <w:w w:val="100"/>
          <w:position w:val="0"/>
        </w:rPr>
        <w:t>股份支付及附注十三、股份支付。</w:t>
      </w:r>
    </w:p>
    <w:p>
      <w:pPr>
        <w:pStyle w:val="Style32"/>
        <w:keepNext w:val="0"/>
        <w:keepLines w:val="0"/>
        <w:widowControl w:val="0"/>
        <w:shd w:val="clear" w:color="auto" w:fill="auto"/>
        <w:tabs>
          <w:tab w:pos="821" w:val="left"/>
        </w:tabs>
        <w:bidi w:val="0"/>
        <w:spacing w:before="0" w:line="269" w:lineRule="exact"/>
        <w:ind w:left="0" w:right="0" w:firstLine="420"/>
        <w:jc w:val="left"/>
      </w:pPr>
      <w:bookmarkStart w:id="910" w:name="bookmark910"/>
      <w:r>
        <w:rPr>
          <w:color w:val="000000"/>
          <w:spacing w:val="0"/>
          <w:w w:val="100"/>
          <w:position w:val="0"/>
          <w:sz w:val="17"/>
          <w:szCs w:val="17"/>
        </w:rPr>
        <w:t>（</w:t>
      </w:r>
      <w:bookmarkEnd w:id="910"/>
      <w:r>
        <w:rPr>
          <w:color w:val="000000"/>
          <w:spacing w:val="0"/>
          <w:w w:val="100"/>
          <w:position w:val="0"/>
          <w:sz w:val="17"/>
          <w:szCs w:val="17"/>
        </w:rPr>
        <w:t>2）</w:t>
        <w:tab/>
      </w:r>
      <w:r>
        <w:rPr>
          <w:color w:val="000000"/>
          <w:spacing w:val="0"/>
          <w:w w:val="100"/>
          <w:position w:val="0"/>
        </w:rPr>
        <w:t>估计的不确定性</w:t>
      </w:r>
    </w:p>
    <w:p>
      <w:pPr>
        <w:pStyle w:val="Style32"/>
        <w:keepNext w:val="0"/>
        <w:keepLines w:val="0"/>
        <w:widowControl w:val="0"/>
        <w:shd w:val="clear" w:color="auto" w:fill="auto"/>
        <w:bidi w:val="0"/>
        <w:spacing w:before="0" w:line="269" w:lineRule="exact"/>
        <w:ind w:left="0" w:right="0" w:firstLine="420"/>
        <w:jc w:val="both"/>
      </w:pPr>
      <w:r>
        <w:rPr>
          <w:color w:val="000000"/>
          <w:spacing w:val="0"/>
          <w:w w:val="100"/>
          <w:position w:val="0"/>
        </w:rPr>
        <w:t>以下为于资产负债表日有关未来的关键假设以及估计不确定性的其他关键来源，可能会导致未来会计期间资产和负债 账面金额重大调整。</w:t>
      </w:r>
    </w:p>
    <w:p>
      <w:pPr>
        <w:pStyle w:val="Style32"/>
        <w:keepNext w:val="0"/>
        <w:keepLines w:val="0"/>
        <w:widowControl w:val="0"/>
        <w:shd w:val="clear" w:color="auto" w:fill="auto"/>
        <w:tabs>
          <w:tab w:pos="730" w:val="left"/>
        </w:tabs>
        <w:bidi w:val="0"/>
        <w:spacing w:before="0" w:line="269" w:lineRule="exact"/>
        <w:ind w:left="0" w:right="0" w:firstLine="420"/>
        <w:jc w:val="left"/>
      </w:pPr>
      <w:bookmarkStart w:id="911" w:name="bookmark911"/>
      <w:r>
        <w:rPr>
          <w:color w:val="000000"/>
          <w:spacing w:val="0"/>
          <w:w w:val="100"/>
          <w:position w:val="0"/>
          <w:sz w:val="17"/>
          <w:szCs w:val="17"/>
        </w:rPr>
        <w:t>1</w:t>
      </w:r>
      <w:bookmarkEnd w:id="911"/>
      <w:r>
        <w:rPr>
          <w:color w:val="000000"/>
          <w:spacing w:val="0"/>
          <w:w w:val="100"/>
          <w:position w:val="0"/>
          <w:sz w:val="17"/>
          <w:szCs w:val="17"/>
        </w:rPr>
        <w:t>）</w:t>
        <w:tab/>
      </w:r>
      <w:r>
        <w:rPr>
          <w:color w:val="000000"/>
          <w:spacing w:val="0"/>
          <w:w w:val="100"/>
          <w:position w:val="0"/>
        </w:rPr>
        <w:t>坏账准备</w:t>
      </w:r>
    </w:p>
    <w:p>
      <w:pPr>
        <w:pStyle w:val="Style32"/>
        <w:keepNext w:val="0"/>
        <w:keepLines w:val="0"/>
        <w:widowControl w:val="0"/>
        <w:shd w:val="clear" w:color="auto" w:fill="auto"/>
        <w:bidi w:val="0"/>
        <w:spacing w:before="0" w:line="270" w:lineRule="exact"/>
        <w:ind w:left="0" w:right="0" w:firstLine="420"/>
        <w:jc w:val="both"/>
      </w:pPr>
      <w:r>
        <w:rPr>
          <w:color w:val="000000"/>
          <w:spacing w:val="0"/>
          <w:w w:val="100"/>
          <w:position w:val="0"/>
        </w:rPr>
        <w:t>本集团以应收款项的可收回性为判断基础确认坏账准备。当存在迹象表明应收款项无法收回时需要确认坏账准备。坏 账准备的确认需要运用判断和估计，包括每位客户现在的信誉以及过往的收款记录，以确定应收款项的未来回收时间和可回 收金额。如果实际结果或未来预期与原始估计存在差异，则该等差异将影响于该估计变动期间应收款项的账面价值及坏账准 备的计提/转回。</w:t>
      </w:r>
    </w:p>
    <w:p>
      <w:pPr>
        <w:pStyle w:val="Style32"/>
        <w:keepNext w:val="0"/>
        <w:keepLines w:val="0"/>
        <w:widowControl w:val="0"/>
        <w:shd w:val="clear" w:color="auto" w:fill="auto"/>
        <w:tabs>
          <w:tab w:pos="739" w:val="left"/>
        </w:tabs>
        <w:bidi w:val="0"/>
        <w:spacing w:before="0" w:line="269" w:lineRule="exact"/>
        <w:ind w:left="0" w:right="0" w:firstLine="420"/>
        <w:jc w:val="left"/>
      </w:pPr>
      <w:bookmarkStart w:id="912" w:name="bookmark912"/>
      <w:r>
        <w:rPr>
          <w:color w:val="000000"/>
          <w:spacing w:val="0"/>
          <w:w w:val="100"/>
          <w:position w:val="0"/>
          <w:sz w:val="17"/>
          <w:szCs w:val="17"/>
        </w:rPr>
        <w:t>2</w:t>
      </w:r>
      <w:bookmarkEnd w:id="912"/>
      <w:r>
        <w:rPr>
          <w:color w:val="000000"/>
          <w:spacing w:val="0"/>
          <w:w w:val="100"/>
          <w:position w:val="0"/>
          <w:sz w:val="17"/>
          <w:szCs w:val="17"/>
        </w:rPr>
        <w:t>）</w:t>
        <w:tab/>
      </w:r>
      <w:r>
        <w:rPr>
          <w:color w:val="000000"/>
          <w:spacing w:val="0"/>
          <w:w w:val="100"/>
          <w:position w:val="0"/>
        </w:rPr>
        <w:t>存货跌价准备</w:t>
      </w:r>
    </w:p>
    <w:p>
      <w:pPr>
        <w:pStyle w:val="Style32"/>
        <w:keepNext w:val="0"/>
        <w:keepLines w:val="0"/>
        <w:widowControl w:val="0"/>
        <w:shd w:val="clear" w:color="auto" w:fill="auto"/>
        <w:bidi w:val="0"/>
        <w:spacing w:before="0" w:line="268" w:lineRule="exact"/>
        <w:ind w:left="0" w:right="0" w:firstLine="420"/>
        <w:jc w:val="both"/>
      </w:pPr>
      <w:r>
        <w:rPr>
          <w:color w:val="000000"/>
          <w:spacing w:val="0"/>
          <w:w w:val="100"/>
          <w:position w:val="0"/>
        </w:rPr>
        <w:t>本集团根据存货会计政策，按照成本与可变现净值孰低计量，对成本高于可变现净值及陈旧和滞销的存货，计提存货 跌价准备。存货的可变现净值是指存货的估计售价减去估计的销售费用以及相关税费后的金额。管理层对存货的可变现净值 计算涉及到对估计售价、估计的销售费用以及相关税费的估计。本集团于每个资产负债表日对单个存货是否陈旧和滞销、可 变现净值是否低于存货成本进行重新估计。如重新估计结果与现有估计存在差异，该差异将会影响估计改变期间的存货账面 价值。</w:t>
      </w:r>
    </w:p>
    <w:p>
      <w:pPr>
        <w:pStyle w:val="Style32"/>
        <w:keepNext w:val="0"/>
        <w:keepLines w:val="0"/>
        <w:widowControl w:val="0"/>
        <w:shd w:val="clear" w:color="auto" w:fill="auto"/>
        <w:tabs>
          <w:tab w:pos="739" w:val="left"/>
        </w:tabs>
        <w:bidi w:val="0"/>
        <w:spacing w:before="0" w:line="269" w:lineRule="exact"/>
        <w:ind w:left="0" w:right="0" w:firstLine="420"/>
        <w:jc w:val="left"/>
      </w:pPr>
      <w:bookmarkStart w:id="913" w:name="bookmark913"/>
      <w:r>
        <w:rPr>
          <w:color w:val="000000"/>
          <w:spacing w:val="0"/>
          <w:w w:val="100"/>
          <w:position w:val="0"/>
          <w:sz w:val="17"/>
          <w:szCs w:val="17"/>
        </w:rPr>
        <w:t>3</w:t>
      </w:r>
      <w:bookmarkEnd w:id="913"/>
      <w:r>
        <w:rPr>
          <w:color w:val="000000"/>
          <w:spacing w:val="0"/>
          <w:w w:val="100"/>
          <w:position w:val="0"/>
          <w:sz w:val="17"/>
          <w:szCs w:val="17"/>
        </w:rPr>
        <w:t>）</w:t>
        <w:tab/>
      </w:r>
      <w:r>
        <w:rPr>
          <w:color w:val="000000"/>
          <w:spacing w:val="0"/>
          <w:w w:val="100"/>
          <w:position w:val="0"/>
        </w:rPr>
        <w:t>递延所得税资产</w:t>
      </w:r>
    </w:p>
    <w:p>
      <w:pPr>
        <w:pStyle w:val="Style32"/>
        <w:keepNext w:val="0"/>
        <w:keepLines w:val="0"/>
        <w:widowControl w:val="0"/>
        <w:shd w:val="clear" w:color="auto" w:fill="auto"/>
        <w:bidi w:val="0"/>
        <w:spacing w:before="0" w:line="266" w:lineRule="exact"/>
        <w:ind w:left="0" w:right="0" w:firstLine="420"/>
        <w:jc w:val="left"/>
      </w:pPr>
      <w:r>
        <w:rPr>
          <w:color w:val="000000"/>
          <w:spacing w:val="0"/>
          <w:w w:val="100"/>
          <w:position w:val="0"/>
        </w:rPr>
        <w:t>在很可能有足够的应纳税所得额用以抵扣可抵扣亏损的限度内，应就所有尚未利用的可抵扣亏损确认递延所得税资产。 这需要管理层运用大量的判断来估计未来取得应纳税所得额的时间和金额，结合纳税筹划策略，以决定应确认的递延所得税 资产的金额。</w:t>
      </w:r>
    </w:p>
    <w:p>
      <w:pPr>
        <w:pStyle w:val="Style32"/>
        <w:keepNext w:val="0"/>
        <w:keepLines w:val="0"/>
        <w:widowControl w:val="0"/>
        <w:shd w:val="clear" w:color="auto" w:fill="auto"/>
        <w:tabs>
          <w:tab w:pos="744" w:val="left"/>
        </w:tabs>
        <w:bidi w:val="0"/>
        <w:spacing w:before="0" w:line="269" w:lineRule="exact"/>
        <w:ind w:left="0" w:right="0" w:firstLine="420"/>
        <w:jc w:val="left"/>
      </w:pPr>
      <w:bookmarkStart w:id="914" w:name="bookmark914"/>
      <w:r>
        <w:rPr>
          <w:color w:val="000000"/>
          <w:spacing w:val="0"/>
          <w:w w:val="100"/>
          <w:position w:val="0"/>
          <w:sz w:val="17"/>
          <w:szCs w:val="17"/>
        </w:rPr>
        <w:t>4</w:t>
      </w:r>
      <w:bookmarkEnd w:id="914"/>
      <w:r>
        <w:rPr>
          <w:color w:val="000000"/>
          <w:spacing w:val="0"/>
          <w:w w:val="100"/>
          <w:position w:val="0"/>
          <w:sz w:val="17"/>
          <w:szCs w:val="17"/>
        </w:rPr>
        <w:t>）</w:t>
        <w:tab/>
      </w:r>
      <w:r>
        <w:rPr>
          <w:color w:val="000000"/>
          <w:spacing w:val="0"/>
          <w:w w:val="100"/>
          <w:position w:val="0"/>
        </w:rPr>
        <w:t>所得税</w:t>
      </w:r>
    </w:p>
    <w:p>
      <w:pPr>
        <w:pStyle w:val="Style32"/>
        <w:keepNext w:val="0"/>
        <w:keepLines w:val="0"/>
        <w:widowControl w:val="0"/>
        <w:shd w:val="clear" w:color="auto" w:fill="auto"/>
        <w:bidi w:val="0"/>
        <w:spacing w:before="0" w:line="271" w:lineRule="exact"/>
        <w:ind w:left="0" w:right="0" w:firstLine="420"/>
        <w:jc w:val="both"/>
      </w:pPr>
      <w:r>
        <w:rPr>
          <w:color w:val="000000"/>
          <w:spacing w:val="0"/>
          <w:w w:val="100"/>
          <w:position w:val="0"/>
        </w:rPr>
        <w:t>本集团因分布在多个区域而需分别在其所在地缴纳企业所得税。在计提企业所得税时，由于有关企业所得税的若干事 项尚未获得主管税务机关确认，因此需以现行的税收法规及其他相关政策为依据，作出可靠的估计和判断。若有关事项的最 终税务结果有别于已确认金额时，该些差额将对当期的所得税造成影响。</w:t>
      </w:r>
    </w:p>
    <w:p>
      <w:pPr>
        <w:pStyle w:val="Style32"/>
        <w:keepNext w:val="0"/>
        <w:keepLines w:val="0"/>
        <w:widowControl w:val="0"/>
        <w:shd w:val="clear" w:color="auto" w:fill="auto"/>
        <w:tabs>
          <w:tab w:pos="744" w:val="left"/>
        </w:tabs>
        <w:bidi w:val="0"/>
        <w:spacing w:before="0" w:line="269" w:lineRule="exact"/>
        <w:ind w:left="0" w:right="0" w:firstLine="420"/>
        <w:jc w:val="both"/>
      </w:pPr>
      <w:bookmarkStart w:id="915" w:name="bookmark915"/>
      <w:r>
        <w:rPr>
          <w:color w:val="000000"/>
          <w:spacing w:val="0"/>
          <w:w w:val="100"/>
          <w:position w:val="0"/>
          <w:sz w:val="17"/>
          <w:szCs w:val="17"/>
        </w:rPr>
        <w:t>5</w:t>
      </w:r>
      <w:bookmarkEnd w:id="915"/>
      <w:r>
        <w:rPr>
          <w:color w:val="000000"/>
          <w:spacing w:val="0"/>
          <w:w w:val="100"/>
          <w:position w:val="0"/>
          <w:sz w:val="17"/>
          <w:szCs w:val="17"/>
        </w:rPr>
        <w:t>）</w:t>
        <w:tab/>
      </w:r>
      <w:r>
        <w:rPr>
          <w:color w:val="000000"/>
          <w:spacing w:val="0"/>
          <w:w w:val="100"/>
          <w:position w:val="0"/>
        </w:rPr>
        <w:t>衍生金融工具的公允价值</w:t>
      </w:r>
    </w:p>
    <w:p>
      <w:pPr>
        <w:pStyle w:val="Style32"/>
        <w:keepNext w:val="0"/>
        <w:keepLines w:val="0"/>
        <w:widowControl w:val="0"/>
        <w:shd w:val="clear" w:color="auto" w:fill="auto"/>
        <w:bidi w:val="0"/>
        <w:spacing w:before="0" w:line="266" w:lineRule="exact"/>
        <w:ind w:left="0" w:right="0" w:firstLine="420"/>
        <w:jc w:val="both"/>
      </w:pPr>
      <w:r>
        <w:rPr>
          <w:color w:val="000000"/>
          <w:spacing w:val="0"/>
          <w:w w:val="100"/>
          <w:position w:val="0"/>
        </w:rPr>
        <w:t>当资产负债表中的衍生金融工具的公允价值无法从活跃市场获得时，公允价值采用估值技术确定。估值模型使用的参 数根据市场中可观察的输入值，结合一定的判断得到。判断包括对流动性风险、信用风险及波动性的考虑。对参数的不同假 设可能会影响衍生金融工具公允价值的金额。</w:t>
      </w:r>
    </w:p>
    <w:p>
      <w:pPr>
        <w:pStyle w:val="Style36"/>
        <w:keepNext/>
        <w:keepLines/>
        <w:widowControl w:val="0"/>
        <w:shd w:val="clear" w:color="auto" w:fill="auto"/>
        <w:bidi w:val="0"/>
        <w:spacing w:before="0" w:after="340" w:line="240"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16"/>
      <w:bookmarkEnd w:id="917"/>
      <w:bookmarkEnd w:id="919"/>
    </w:p>
    <w:p>
      <w:pPr>
        <w:pStyle w:val="Style36"/>
        <w:keepNext/>
        <w:keepLines/>
        <w:widowControl w:val="0"/>
        <w:shd w:val="clear" w:color="auto" w:fill="auto"/>
        <w:tabs>
          <w:tab w:pos="493" w:val="left"/>
        </w:tabs>
        <w:bidi w:val="0"/>
        <w:spacing w:before="0" w:after="300" w:line="240" w:lineRule="auto"/>
        <w:ind w:left="0" w:right="0" w:firstLine="0"/>
        <w:jc w:val="both"/>
      </w:pPr>
      <w:bookmarkStart w:id="916" w:name="bookmark916"/>
      <w:bookmarkStart w:id="917" w:name="bookmark917"/>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16"/>
      <w:bookmarkEnd w:id="917"/>
      <w:bookmarkEnd w:id="921"/>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00" w:line="240" w:lineRule="auto"/>
        <w:ind w:left="0" w:right="0" w:firstLine="0"/>
        <w:jc w:val="both"/>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22"/>
      <w:bookmarkEnd w:id="923"/>
      <w:bookmarkEnd w:id="925"/>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六</w:t>
      </w:r>
      <w:bookmarkEnd w:id="928"/>
      <w:r>
        <w:rPr>
          <w:color w:val="000000"/>
          <w:spacing w:val="0"/>
          <w:w w:val="100"/>
          <w:position w:val="0"/>
        </w:rPr>
        <w:t>、税项</w:t>
      </w:r>
      <w:bookmarkEnd w:id="926"/>
      <w:bookmarkEnd w:id="927"/>
      <w:bookmarkEnd w:id="929"/>
    </w:p>
    <w:p>
      <w:pPr>
        <w:pStyle w:val="Style36"/>
        <w:keepNext/>
        <w:keepLines/>
        <w:widowControl w:val="0"/>
        <w:shd w:val="clear" w:color="auto" w:fill="auto"/>
        <w:bidi w:val="0"/>
        <w:spacing w:before="0" w:after="300" w:line="240" w:lineRule="auto"/>
        <w:ind w:left="0" w:right="0" w:firstLine="0"/>
        <w:jc w:val="both"/>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30"/>
      <w:bookmarkEnd w:id="931"/>
      <w:bookmarkEnd w:id="932"/>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应纳税增值额</w:t>
            </w:r>
            <w:r>
              <w:rPr>
                <w:rFonts w:ascii="Times New Roman" w:eastAsia="Times New Roman" w:hAnsi="Times New Roman" w:cs="Times New Roman"/>
                <w:color w:val="000000"/>
                <w:spacing w:val="0"/>
                <w:w w:val="100"/>
                <w:position w:val="0"/>
              </w:rPr>
              <w:t>（</w:t>
            </w:r>
            <w:r>
              <w:rPr>
                <w:color w:val="000000"/>
                <w:spacing w:val="0"/>
                <w:w w:val="100"/>
                <w:position w:val="0"/>
              </w:rPr>
              <w:t>应纳税额按应纳税销售额 乘以适用税率扣除当期允许抵扣的进项 税后的余额计算</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神州数码（香港）有限公司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神州数码数据服务（香港）有限公司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系统信息科技（香港）有限公司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widowControl w:val="0"/>
        <w:spacing w:after="299" w:line="1" w:lineRule="exact"/>
      </w:pPr>
    </w:p>
    <w:p>
      <w:pPr>
        <w:pStyle w:val="Style36"/>
        <w:keepNext/>
        <w:keepLines/>
        <w:widowControl w:val="0"/>
        <w:shd w:val="clear" w:color="auto" w:fill="auto"/>
        <w:tabs>
          <w:tab w:pos="378" w:val="left"/>
        </w:tabs>
        <w:bidi w:val="0"/>
        <w:spacing w:before="0" w:after="30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color w:val="000000"/>
          <w:spacing w:val="0"/>
          <w:w w:val="100"/>
          <w:position w:val="0"/>
        </w:rPr>
        <w:t>、</w:t>
        <w:tab/>
        <w:t>税收优惠</w:t>
      </w:r>
      <w:bookmarkEnd w:id="933"/>
      <w:bookmarkEnd w:id="934"/>
      <w:bookmarkEnd w:id="936"/>
    </w:p>
    <w:p>
      <w:pPr>
        <w:pStyle w:val="Style32"/>
        <w:keepNext w:val="0"/>
        <w:keepLines w:val="0"/>
        <w:widowControl w:val="0"/>
        <w:shd w:val="clear" w:color="auto" w:fill="auto"/>
        <w:bidi w:val="0"/>
        <w:spacing w:before="0" w:after="0" w:line="265" w:lineRule="exact"/>
        <w:ind w:left="0" w:right="0" w:firstLine="440"/>
        <w:jc w:val="both"/>
      </w:pPr>
      <w:r>
        <w:rPr>
          <w:color w:val="000000"/>
          <w:spacing w:val="0"/>
          <w:w w:val="100"/>
          <w:position w:val="0"/>
        </w:rPr>
        <w:t>本集团合并范围内的公司北京神州数码云科信息技术有限公司，根据《财政部、国家税务总局关于软件产品增值税退 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号，以下简称《通知》），因软件产品符合《通知》规定，于各报告期享受增值税即征即退 的政策。</w:t>
      </w:r>
    </w:p>
    <w:p>
      <w:pPr>
        <w:pStyle w:val="Style32"/>
        <w:keepNext w:val="0"/>
        <w:keepLines w:val="0"/>
        <w:widowControl w:val="0"/>
        <w:shd w:val="clear" w:color="auto" w:fill="auto"/>
        <w:bidi w:val="0"/>
        <w:spacing w:before="0" w:after="0" w:line="265" w:lineRule="exact"/>
        <w:ind w:left="0" w:right="0" w:firstLine="440"/>
        <w:jc w:val="both"/>
      </w:pPr>
      <w:r>
        <w:rPr>
          <w:color w:val="000000"/>
          <w:spacing w:val="0"/>
          <w:w w:val="100"/>
          <w:position w:val="0"/>
        </w:rPr>
        <w:t>本集团合并范围内的公司神州数码（中国）有限公司、北京神州数码有限公司，根据《财政部、国家税务总局关于将铁 路运输和邮政业纳入营业税改征增值税试点的通知》（财税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2013]106</w:t>
      </w:r>
      <w:r>
        <w:rPr>
          <w:color w:val="000000"/>
          <w:spacing w:val="0"/>
          <w:w w:val="100"/>
          <w:position w:val="0"/>
        </w:rPr>
        <w:t>号），技术转让、技术开发收入免征增值税。</w:t>
      </w:r>
    </w:p>
    <w:p>
      <w:pPr>
        <w:pStyle w:val="Style32"/>
        <w:keepNext w:val="0"/>
        <w:keepLines w:val="0"/>
        <w:widowControl w:val="0"/>
        <w:shd w:val="clear" w:color="auto" w:fill="auto"/>
        <w:bidi w:val="0"/>
        <w:spacing w:before="0" w:after="340" w:line="265" w:lineRule="exact"/>
        <w:ind w:left="0" w:right="0" w:firstLine="440"/>
        <w:jc w:val="both"/>
      </w:pPr>
      <w:r>
        <w:rPr>
          <w:color w:val="000000"/>
          <w:spacing w:val="0"/>
          <w:w w:val="100"/>
          <w:position w:val="0"/>
        </w:rPr>
        <w:t>本集团合并范围内的公司北京神州数码云科信息技术有限公司于</w:t>
      </w:r>
      <w:r>
        <w:rPr>
          <w:rFonts w:ascii="Times New Roman" w:eastAsia="Times New Roman" w:hAnsi="Times New Roman" w:cs="Times New Roman"/>
          <w:color w:val="000000"/>
          <w:spacing w:val="0"/>
          <w:w w:val="100"/>
          <w:position w:val="0"/>
        </w:rPr>
        <w:t>2008</w:t>
      </w:r>
      <w:r>
        <w:rPr>
          <w:color w:val="000000"/>
          <w:spacing w:val="0"/>
          <w:w w:val="100"/>
          <w:position w:val="0"/>
        </w:rPr>
        <w:t>年申报通过高新技术企业资格认定，并于</w:t>
      </w:r>
      <w:r>
        <w:rPr>
          <w:rFonts w:ascii="Times New Roman" w:eastAsia="Times New Roman" w:hAnsi="Times New Roman" w:cs="Times New Roman"/>
          <w:color w:val="000000"/>
          <w:spacing w:val="0"/>
          <w:w w:val="100"/>
          <w:position w:val="0"/>
        </w:rPr>
        <w:t>2011</w:t>
      </w:r>
      <w:r>
        <w:rPr>
          <w:color w:val="000000"/>
          <w:spacing w:val="0"/>
          <w:w w:val="100"/>
          <w:position w:val="0"/>
        </w:rPr>
        <w:t>年 和</w:t>
      </w:r>
      <w:r>
        <w:rPr>
          <w:rFonts w:ascii="Times New Roman" w:eastAsia="Times New Roman" w:hAnsi="Times New Roman" w:cs="Times New Roman"/>
          <w:color w:val="000000"/>
          <w:spacing w:val="0"/>
          <w:w w:val="100"/>
          <w:position w:val="0"/>
        </w:rPr>
        <w:t>2014</w:t>
      </w:r>
      <w:r>
        <w:rPr>
          <w:color w:val="000000"/>
          <w:spacing w:val="0"/>
          <w:w w:val="100"/>
          <w:position w:val="0"/>
        </w:rPr>
        <w:t>年资格复审合格，因此，作为国家需要重点扶持的高新技术企业在</w:t>
      </w:r>
      <w:r>
        <w:rPr>
          <w:rFonts w:ascii="Times New Roman" w:eastAsia="Times New Roman" w:hAnsi="Times New Roman" w:cs="Times New Roman"/>
          <w:color w:val="000000"/>
          <w:spacing w:val="0"/>
          <w:w w:val="100"/>
          <w:position w:val="0"/>
        </w:rPr>
        <w:t>2 016</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6"/>
        <w:keepNext/>
        <w:keepLines/>
        <w:widowControl w:val="0"/>
        <w:shd w:val="clear" w:color="auto" w:fill="auto"/>
        <w:tabs>
          <w:tab w:pos="378" w:val="left"/>
        </w:tabs>
        <w:bidi w:val="0"/>
        <w:spacing w:before="0" w:after="30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color w:val="000000"/>
          <w:spacing w:val="0"/>
          <w:w w:val="100"/>
          <w:position w:val="0"/>
        </w:rPr>
        <w:t>、</w:t>
        <w:tab/>
        <w:t>其他</w:t>
      </w:r>
      <w:bookmarkEnd w:id="937"/>
      <w:bookmarkEnd w:id="938"/>
      <w:bookmarkEnd w:id="940"/>
    </w:p>
    <w:p>
      <w:pPr>
        <w:pStyle w:val="Style32"/>
        <w:keepNext w:val="0"/>
        <w:keepLines w:val="0"/>
        <w:widowControl w:val="0"/>
        <w:shd w:val="clear" w:color="auto" w:fill="auto"/>
        <w:bidi w:val="0"/>
        <w:spacing w:before="0" w:after="0" w:line="245" w:lineRule="exact"/>
        <w:ind w:left="0" w:right="0" w:firstLine="440"/>
        <w:jc w:val="both"/>
      </w:pPr>
      <w:r>
        <w:rPr>
          <w:color w:val="000000"/>
          <w:spacing w:val="0"/>
          <w:w w:val="100"/>
          <w:position w:val="0"/>
        </w:rPr>
        <w:t>神州数码澳门离岸商业服务有限公司由于满足中国澳门离岸业务法令规定的或许可在澳门地区营运的离岸机构规定， 从事离岸业务时获得收益不缴纳澳门所得补充税，收益派息回到国内需要缴纳</w:t>
      </w:r>
      <w:r>
        <w:rPr>
          <w:color w:val="000000"/>
          <w:spacing w:val="0"/>
          <w:w w:val="100"/>
          <w:position w:val="0"/>
          <w:sz w:val="17"/>
          <w:szCs w:val="17"/>
        </w:rPr>
        <w:t>25%</w:t>
      </w:r>
      <w:r>
        <w:rPr>
          <w:color w:val="000000"/>
          <w:spacing w:val="0"/>
          <w:w w:val="100"/>
          <w:position w:val="0"/>
        </w:rPr>
        <w:t>的中国企业所得税。</w:t>
      </w:r>
    </w:p>
    <w:p>
      <w:pPr>
        <w:pStyle w:val="Style32"/>
        <w:keepNext w:val="0"/>
        <w:keepLines w:val="0"/>
        <w:widowControl w:val="0"/>
        <w:shd w:val="clear" w:color="auto" w:fill="auto"/>
        <w:bidi w:val="0"/>
        <w:spacing w:before="0" w:after="620" w:line="265" w:lineRule="exact"/>
        <w:ind w:left="0" w:right="0" w:firstLine="440"/>
        <w:jc w:val="both"/>
      </w:pPr>
      <w:r>
        <w:rPr>
          <w:color w:val="000000"/>
          <w:spacing w:val="0"/>
          <w:w w:val="100"/>
          <w:position w:val="0"/>
        </w:rPr>
        <w:t>神州数码科技发展有限公司、神州数码网络（香港）有限公司由于满足中国香港离岸业务法令规定的或许可在香港地</w:t>
        <w:br w:type="page"/>
      </w:r>
      <w:r>
        <w:rPr>
          <w:color w:val="000000"/>
          <w:spacing w:val="0"/>
          <w:w w:val="100"/>
          <w:position w:val="0"/>
        </w:rPr>
        <w:t>区营运的离岸机构规定，从事离岸业务获得收益不缴纳香港利得税，收益派息回到国内需要缴纳</w:t>
      </w:r>
      <w:r>
        <w:rPr>
          <w:color w:val="000000"/>
          <w:spacing w:val="0"/>
          <w:w w:val="100"/>
          <w:position w:val="0"/>
          <w:sz w:val="17"/>
          <w:szCs w:val="17"/>
        </w:rPr>
        <w:t>25%</w:t>
      </w:r>
      <w:r>
        <w:rPr>
          <w:color w:val="000000"/>
          <w:spacing w:val="0"/>
          <w:w w:val="100"/>
          <w:position w:val="0"/>
        </w:rPr>
        <w:t>的中国企业所得税。</w:t>
      </w:r>
    </w:p>
    <w:p>
      <w:pPr>
        <w:pStyle w:val="Style28"/>
        <w:keepNext/>
        <w:keepLines/>
        <w:widowControl w:val="0"/>
        <w:shd w:val="clear" w:color="auto" w:fill="auto"/>
        <w:bidi w:val="0"/>
        <w:spacing w:before="0" w:after="30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七</w:t>
      </w:r>
      <w:bookmarkEnd w:id="943"/>
      <w:r>
        <w:rPr>
          <w:color w:val="000000"/>
          <w:spacing w:val="0"/>
          <w:w w:val="100"/>
          <w:position w:val="0"/>
        </w:rPr>
        <w:t>、合并财务报表项目注释</w:t>
      </w:r>
      <w:bookmarkEnd w:id="941"/>
      <w:bookmarkEnd w:id="942"/>
      <w:bookmarkEnd w:id="944"/>
    </w:p>
    <w:p>
      <w:pPr>
        <w:pStyle w:val="Style36"/>
        <w:keepNext/>
        <w:keepLines/>
        <w:widowControl w:val="0"/>
        <w:shd w:val="clear" w:color="auto" w:fill="auto"/>
        <w:bidi w:val="0"/>
        <w:spacing w:before="0" w:after="300" w:line="240" w:lineRule="auto"/>
        <w:ind w:left="0" w:right="0" w:firstLine="0"/>
        <w:jc w:val="left"/>
      </w:pPr>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5"/>
      <w:bookmarkEnd w:id="946"/>
      <w:bookmarkEnd w:id="9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1,549,846.42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1,140,676,769.56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112,795,443.00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2,518,292.77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1,143,255,725.93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114,346,440.09</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316,020,691.15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numPr>
          <w:ilvl w:val="0"/>
          <w:numId w:val="25"/>
        </w:numPr>
        <w:shd w:val="clear" w:color="auto" w:fill="auto"/>
        <w:tabs>
          <w:tab w:pos="980" w:val="left"/>
        </w:tabs>
        <w:bidi w:val="0"/>
        <w:spacing w:before="0" w:after="0" w:line="240" w:lineRule="auto"/>
        <w:ind w:left="0" w:right="0" w:firstLine="540"/>
        <w:jc w:val="left"/>
      </w:pPr>
      <w:bookmarkStart w:id="948" w:name="bookmark948"/>
      <w:bookmarkEnd w:id="948"/>
      <w:r>
        <w:rPr>
          <w:color w:val="000000"/>
          <w:spacing w:val="0"/>
          <w:w w:val="100"/>
          <w:position w:val="0"/>
        </w:rPr>
        <w:t>年末银行存款余额中包括因未决诉讼被冻结的资金</w:t>
      </w:r>
      <w:r>
        <w:rPr>
          <w:rFonts w:ascii="Times New Roman" w:eastAsia="Times New Roman" w:hAnsi="Times New Roman" w:cs="Times New Roman"/>
          <w:color w:val="000000"/>
          <w:spacing w:val="0"/>
          <w:w w:val="100"/>
          <w:position w:val="0"/>
        </w:rPr>
        <w:t>67,822,574.00</w:t>
      </w:r>
      <w:r>
        <w:rPr>
          <w:color w:val="000000"/>
          <w:spacing w:val="0"/>
          <w:w w:val="100"/>
          <w:position w:val="0"/>
        </w:rPr>
        <w:t>元;</w:t>
      </w:r>
    </w:p>
    <w:p>
      <w:pPr>
        <w:pStyle w:val="Style32"/>
        <w:keepNext w:val="0"/>
        <w:keepLines w:val="0"/>
        <w:widowControl w:val="0"/>
        <w:numPr>
          <w:ilvl w:val="0"/>
          <w:numId w:val="25"/>
        </w:numPr>
        <w:shd w:val="clear" w:color="auto" w:fill="auto"/>
        <w:tabs>
          <w:tab w:pos="980" w:val="left"/>
        </w:tabs>
        <w:bidi w:val="0"/>
        <w:spacing w:before="0" w:after="520" w:line="240" w:lineRule="auto"/>
        <w:ind w:left="0" w:right="0" w:firstLine="540"/>
        <w:jc w:val="left"/>
      </w:pPr>
      <w:bookmarkStart w:id="949" w:name="bookmark949"/>
      <w:bookmarkEnd w:id="949"/>
      <w:r>
        <w:rPr>
          <w:color w:val="000000"/>
          <w:spacing w:val="0"/>
          <w:w w:val="100"/>
          <w:position w:val="0"/>
        </w:rPr>
        <w:t>年末其他货币资金系保函保证金</w:t>
      </w:r>
      <w:r>
        <w:rPr>
          <w:rFonts w:ascii="Times New Roman" w:eastAsia="Times New Roman" w:hAnsi="Times New Roman" w:cs="Times New Roman"/>
          <w:color w:val="000000"/>
          <w:spacing w:val="0"/>
          <w:w w:val="100"/>
          <w:position w:val="0"/>
        </w:rPr>
        <w:t>2,518,292.77</w:t>
      </w:r>
      <w:r>
        <w:rPr>
          <w:color w:val="000000"/>
          <w:spacing w:val="0"/>
          <w:w w:val="100"/>
          <w:position w:val="0"/>
        </w:rPr>
        <w:t>元。</w:t>
      </w:r>
    </w:p>
    <w:p>
      <w:pPr>
        <w:pStyle w:val="Style36"/>
        <w:keepNext/>
        <w:keepLines/>
        <w:widowControl w:val="0"/>
        <w:shd w:val="clear" w:color="auto" w:fill="auto"/>
        <w:bidi w:val="0"/>
        <w:spacing w:before="0" w:after="300" w:line="240" w:lineRule="auto"/>
        <w:ind w:left="0" w:right="0" w:firstLine="0"/>
        <w:jc w:val="left"/>
      </w:pPr>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50"/>
      <w:bookmarkEnd w:id="951"/>
      <w:bookmarkEnd w:id="9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tabs>
          <w:tab w:pos="378" w:val="left"/>
        </w:tabs>
        <w:bidi w:val="0"/>
        <w:spacing w:before="0" w:after="30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color w:val="000000"/>
          <w:spacing w:val="0"/>
          <w:w w:val="100"/>
          <w:position w:val="0"/>
        </w:rPr>
        <w:t>、</w:t>
        <w:tab/>
        <w:t>衍生金融资产</w:t>
      </w:r>
      <w:bookmarkEnd w:id="953"/>
      <w:bookmarkEnd w:id="954"/>
      <w:bookmarkEnd w:id="956"/>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0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4</w:t>
      </w:r>
      <w:bookmarkEnd w:id="959"/>
      <w:r>
        <w:rPr>
          <w:color w:val="000000"/>
          <w:spacing w:val="0"/>
          <w:w w:val="100"/>
          <w:position w:val="0"/>
        </w:rPr>
        <w:t>、</w:t>
        <w:tab/>
        <w:t>应收票据</w:t>
      </w:r>
      <w:bookmarkEnd w:id="957"/>
      <w:bookmarkEnd w:id="958"/>
      <w:bookmarkEnd w:id="960"/>
    </w:p>
    <w:p>
      <w:pPr>
        <w:pStyle w:val="Style36"/>
        <w:keepNext/>
        <w:keepLines/>
        <w:widowControl w:val="0"/>
        <w:numPr>
          <w:ilvl w:val="0"/>
          <w:numId w:val="27"/>
        </w:numPr>
        <w:shd w:val="clear" w:color="auto" w:fill="auto"/>
        <w:bidi w:val="0"/>
        <w:spacing w:before="0" w:after="300" w:line="240" w:lineRule="auto"/>
        <w:ind w:left="0" w:right="0" w:firstLine="0"/>
        <w:jc w:val="left"/>
      </w:pPr>
      <w:bookmarkStart w:id="957" w:name="bookmark957"/>
      <w:bookmarkStart w:id="958" w:name="bookmark958"/>
      <w:bookmarkStart w:id="961" w:name="bookmark961"/>
      <w:bookmarkStart w:id="962" w:name="bookmark962"/>
      <w:bookmarkEnd w:id="961"/>
      <w:r>
        <w:rPr>
          <w:color w:val="000000"/>
          <w:spacing w:val="0"/>
          <w:w w:val="100"/>
          <w:position w:val="0"/>
        </w:rPr>
        <w:t>应收票据分类列示</w:t>
      </w:r>
      <w:bookmarkEnd w:id="957"/>
      <w:bookmarkEnd w:id="958"/>
      <w:bookmarkEnd w:id="96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304,245,169.71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25,308,625.32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329,553,795.03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27"/>
        </w:numPr>
        <w:shd w:val="clear" w:color="auto" w:fill="auto"/>
        <w:bidi w:val="0"/>
        <w:spacing w:before="0" w:after="300" w:line="240" w:lineRule="auto"/>
        <w:ind w:left="0" w:right="0" w:firstLine="140"/>
        <w:jc w:val="left"/>
      </w:pPr>
      <w:bookmarkStart w:id="963" w:name="bookmark963"/>
      <w:bookmarkStart w:id="964" w:name="bookmark964"/>
      <w:bookmarkStart w:id="965" w:name="bookmark965"/>
      <w:bookmarkStart w:id="966" w:name="bookmark966"/>
      <w:bookmarkEnd w:id="965"/>
      <w:r>
        <w:rPr>
          <w:color w:val="000000"/>
          <w:spacing w:val="0"/>
          <w:w w:val="100"/>
          <w:position w:val="0"/>
        </w:rPr>
        <w:t>期末公司已背书或贴现且在资产负债表日尚未到期的应收票据</w:t>
      </w:r>
      <w:bookmarkEnd w:id="963"/>
      <w:bookmarkEnd w:id="964"/>
      <w:bookmarkEnd w:id="9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1,142,971,568.94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1,142,971,568.94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ectPr>
          <w:headerReference w:type="default" r:id="rId21"/>
          <w:footerReference w:type="default" r:id="rId22"/>
          <w:footnotePr>
            <w:pos w:val="pageBottom"/>
            <w:numFmt w:val="decimal"/>
            <w:numRestart w:val="continuous"/>
          </w:footnotePr>
          <w:pgSz w:w="11900" w:h="16840"/>
          <w:pgMar w:top="1383" w:right="1047" w:bottom="1455" w:left="1070" w:header="0" w:footer="3" w:gutter="0"/>
          <w:cols w:space="720"/>
          <w:noEndnote/>
          <w:rtlGutter w:val="0"/>
          <w:docGrid w:linePitch="360"/>
        </w:sectPr>
      </w:pPr>
    </w:p>
    <w:p>
      <w:pPr>
        <w:pStyle w:val="Style36"/>
        <w:keepNext/>
        <w:keepLines/>
        <w:widowControl w:val="0"/>
        <w:shd w:val="clear" w:color="auto" w:fill="auto"/>
        <w:bidi w:val="0"/>
        <w:spacing w:before="0" w:after="320" w:line="240" w:lineRule="auto"/>
        <w:ind w:left="0" w:right="0" w:firstLine="28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5</w:t>
      </w:r>
      <w:bookmarkEnd w:id="969"/>
      <w:r>
        <w:rPr>
          <w:color w:val="000000"/>
          <w:spacing w:val="0"/>
          <w:w w:val="100"/>
          <w:position w:val="0"/>
        </w:rPr>
        <w:t>、应收账款</w:t>
      </w:r>
      <w:bookmarkEnd w:id="967"/>
      <w:bookmarkEnd w:id="968"/>
      <w:bookmarkEnd w:id="970"/>
    </w:p>
    <w:p>
      <w:pPr>
        <w:pStyle w:val="Style36"/>
        <w:keepNext/>
        <w:keepLines/>
        <w:widowControl w:val="0"/>
        <w:numPr>
          <w:ilvl w:val="0"/>
          <w:numId w:val="29"/>
        </w:numPr>
        <w:shd w:val="clear" w:color="auto" w:fill="auto"/>
        <w:bidi w:val="0"/>
        <w:spacing w:before="0" w:after="320" w:line="240" w:lineRule="auto"/>
        <w:ind w:left="0" w:right="0" w:firstLine="400"/>
        <w:jc w:val="left"/>
      </w:pPr>
      <w:bookmarkStart w:id="967" w:name="bookmark967"/>
      <w:bookmarkStart w:id="968" w:name="bookmark968"/>
      <w:bookmarkStart w:id="971" w:name="bookmark971"/>
      <w:bookmarkStart w:id="972" w:name="bookmark972"/>
      <w:bookmarkEnd w:id="971"/>
      <w:r>
        <w:rPr>
          <w:color w:val="000000"/>
          <w:spacing w:val="0"/>
          <w:w w:val="100"/>
          <w:position w:val="0"/>
        </w:rPr>
        <w:t>应收账款分类披露</w:t>
      </w:r>
      <w:bookmarkEnd w:id="967"/>
      <w:bookmarkEnd w:id="968"/>
      <w:bookmarkEnd w:id="972"/>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738"/>
        <w:gridCol w:w="763"/>
        <w:gridCol w:w="1219"/>
        <w:gridCol w:w="763"/>
        <w:gridCol w:w="1363"/>
        <w:gridCol w:w="1277"/>
        <w:gridCol w:w="763"/>
        <w:gridCol w:w="1219"/>
        <w:gridCol w:w="936"/>
        <w:gridCol w:w="1344"/>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单项金额重大并单独计提坏 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66,134,584.88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66,134,584.88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按信用风险特征组合计提坏 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7,084,620,045.58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462,786,078.59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6,621,833,966.99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27,587,107.25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4,422,704.05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23,164,403.20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单项金额不重大但单独计提 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730,235.78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730,235.78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7,084,620,045.58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462,786,078.59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6,621,833,966.99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94,451,927.91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71,287,524.71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23,164,403.20</w:t>
            </w:r>
          </w:p>
        </w:tc>
      </w:tr>
    </w:tbl>
    <w:p>
      <w:pPr>
        <w:pStyle w:val="Style32"/>
        <w:keepNext w:val="0"/>
        <w:keepLines w:val="0"/>
        <w:widowControl w:val="0"/>
        <w:shd w:val="clear" w:color="auto" w:fill="auto"/>
        <w:bidi w:val="0"/>
        <w:spacing w:before="0" w:after="0" w:line="266" w:lineRule="exact"/>
        <w:ind w:left="28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60" w:line="266" w:lineRule="exact"/>
        <w:ind w:left="0" w:right="0" w:firstLine="280"/>
        <w:jc w:val="both"/>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31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266" w:lineRule="exact"/>
        <w:ind w:left="28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80" w:line="266" w:lineRule="exact"/>
        <w:ind w:left="0" w:right="0" w:firstLine="280"/>
        <w:jc w:val="left"/>
        <w:sectPr>
          <w:headerReference w:type="default" r:id="rId23"/>
          <w:footerReference w:type="default" r:id="rId24"/>
          <w:footnotePr>
            <w:pos w:val="pageBottom"/>
            <w:numFmt w:val="decimal"/>
            <w:numRestart w:val="continuous"/>
          </w:footnotePr>
          <w:pgSz w:w="16840" w:h="11900" w:orient="landscape"/>
          <w:pgMar w:top="1436" w:right="1417" w:bottom="1436" w:left="1148" w:header="0" w:footer="3" w:gutter="0"/>
          <w:cols w:space="720"/>
          <w:noEndnote/>
          <w:rtlGutter w:val="0"/>
          <w:docGrid w:linePitch="360"/>
        </w:sectPr>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）组合中，按账期组合</w:t>
      </w:r>
      <w:r>
        <w:rPr>
          <w:rFonts w:ascii="Times New Roman" w:eastAsia="Times New Roman" w:hAnsi="Times New Roman" w:cs="Times New Roman"/>
          <w:color w:val="000000"/>
          <w:spacing w:val="0"/>
          <w:w w:val="100"/>
          <w:position w:val="0"/>
        </w:rPr>
        <w:t>I</w:t>
      </w:r>
      <w:r>
        <w:rPr>
          <w:color w:val="000000"/>
          <w:spacing w:val="0"/>
          <w:w w:val="100"/>
          <w:position w:val="0"/>
        </w:rPr>
        <w:t>计提坏账准备的应收账款</w:t>
      </w:r>
    </w:p>
    <w:tbl>
      <w:tblPr>
        <w:tblOverlap w:val="never"/>
        <w:jc w:val="center"/>
        <w:tblLayout w:type="fixed"/>
      </w:tblPr>
      <w:tblGrid>
        <w:gridCol w:w="3552"/>
        <w:gridCol w:w="2304"/>
        <w:gridCol w:w="1886"/>
        <w:gridCol w:w="1762"/>
      </w:tblGrid>
      <w:tr>
        <w:trPr>
          <w:trHeight w:val="398"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客户名称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江苏鼎易天宸系统集成有限公司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7,328,692.00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7,328,692.00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海南宝通实业公司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13,328,692.00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13,328,692.00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）组合中，按账期组合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计提坏账准备的应收账款</w:t>
      </w:r>
    </w:p>
    <w:tbl>
      <w:tblPr>
        <w:tblOverlap w:val="never"/>
        <w:jc w:val="center"/>
        <w:tblLayout w:type="fixed"/>
      </w:tblPr>
      <w:tblGrid>
        <w:gridCol w:w="3240"/>
        <w:gridCol w:w="2299"/>
        <w:gridCol w:w="2165"/>
        <w:gridCol w:w="1838"/>
      </w:tblGrid>
      <w:tr>
        <w:trPr>
          <w:trHeight w:val="398"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5,966,549,777.69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 xml:space="preserve">1-3 </w:t>
            </w:r>
            <w:r>
              <w:rPr>
                <w:rFonts w:ascii="Times New Roman" w:eastAsia="Times New Roman" w:hAnsi="Times New Roman" w:cs="Times New Roman"/>
                <w:color w:val="000000"/>
                <w:spacing w:val="0"/>
                <w:w w:val="100"/>
                <w:position w:val="0"/>
              </w:rPr>
              <w:t>0</w:t>
            </w:r>
            <w:r>
              <w:rPr>
                <w:color w:val="000000"/>
                <w:spacing w:val="0"/>
                <w:w w:val="100"/>
                <w:position w:val="0"/>
              </w:rPr>
              <w:t>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361,878,730.32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 xml:space="preserve">31-6 </w:t>
            </w:r>
            <w:r>
              <w:rPr>
                <w:rFonts w:ascii="Times New Roman" w:eastAsia="Times New Roman" w:hAnsi="Times New Roman" w:cs="Times New Roman"/>
                <w:color w:val="000000"/>
                <w:spacing w:val="0"/>
                <w:w w:val="100"/>
                <w:position w:val="0"/>
              </w:rPr>
              <w:t>0</w:t>
            </w:r>
            <w:r>
              <w:rPr>
                <w:color w:val="000000"/>
                <w:spacing w:val="0"/>
                <w:w w:val="100"/>
                <w:position w:val="0"/>
              </w:rPr>
              <w:t>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116,750,983.37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11,675,098.34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61-90</w:t>
            </w:r>
            <w:r>
              <w:rPr>
                <w:color w:val="000000"/>
                <w:spacing w:val="0"/>
                <w:w w:val="100"/>
                <w:position w:val="0"/>
              </w:rPr>
              <w:t>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81,664,668.07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16,332,933.61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91-120</w:t>
            </w:r>
            <w:r>
              <w:rPr>
                <w:color w:val="000000"/>
                <w:spacing w:val="0"/>
                <w:w w:val="100"/>
                <w:position w:val="0"/>
              </w:rPr>
              <w:t>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115,619,476.18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34,685,842.85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 xml:space="preserve">121-15 </w:t>
            </w:r>
            <w:r>
              <w:rPr>
                <w:rFonts w:ascii="Times New Roman" w:eastAsia="Times New Roman" w:hAnsi="Times New Roman" w:cs="Times New Roman"/>
                <w:color w:val="000000"/>
                <w:spacing w:val="0"/>
                <w:w w:val="100"/>
                <w:position w:val="0"/>
              </w:rPr>
              <w:t>0</w:t>
            </w:r>
            <w:r>
              <w:rPr>
                <w:color w:val="000000"/>
                <w:spacing w:val="0"/>
                <w:w w:val="100"/>
                <w:position w:val="0"/>
              </w:rPr>
              <w:t>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26,826,794.25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10,730,717.70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 xml:space="preserve">151-18 </w:t>
            </w:r>
            <w:r>
              <w:rPr>
                <w:rFonts w:ascii="Times New Roman" w:eastAsia="Times New Roman" w:hAnsi="Times New Roman" w:cs="Times New Roman"/>
                <w:color w:val="000000"/>
                <w:spacing w:val="0"/>
                <w:w w:val="100"/>
                <w:position w:val="0"/>
              </w:rPr>
              <w:t>0</w:t>
            </w:r>
            <w:r>
              <w:rPr>
                <w:color w:val="000000"/>
                <w:spacing w:val="0"/>
                <w:w w:val="100"/>
                <w:position w:val="0"/>
              </w:rPr>
              <w:t>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13,929,475.41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9,750,632.79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181</w:t>
            </w:r>
            <w:r>
              <w:rPr>
                <w:color w:val="000000"/>
                <w:spacing w:val="0"/>
                <w:w w:val="100"/>
                <w:position w:val="0"/>
              </w:rPr>
              <w:t>天及以上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366,282,161.30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366,282,161.30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7,049,502,066.59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449,457,386.59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）组合中，采用其他方法计提坏账准备的应收账款</w:t>
      </w:r>
    </w:p>
    <w:tbl>
      <w:tblPr>
        <w:tblOverlap w:val="never"/>
        <w:jc w:val="center"/>
        <w:tblLayout w:type="fixed"/>
      </w:tblPr>
      <w:tblGrid>
        <w:gridCol w:w="3187"/>
        <w:gridCol w:w="2213"/>
        <w:gridCol w:w="2054"/>
        <w:gridCol w:w="2083"/>
      </w:tblGrid>
      <w:tr>
        <w:trPr>
          <w:trHeight w:val="360"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6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与交易对象关系组合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21,789,286.99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6"/>
        <w:keepNext/>
        <w:keepLines/>
        <w:widowControl w:val="0"/>
        <w:shd w:val="clear" w:color="auto" w:fill="auto"/>
        <w:tabs>
          <w:tab w:pos="493" w:val="left"/>
        </w:tabs>
        <w:bidi w:val="0"/>
        <w:spacing w:before="0" w:after="30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73"/>
      <w:bookmarkEnd w:id="974"/>
      <w:bookmarkEnd w:id="976"/>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-68,162,695.59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shd w:val="clear" w:color="auto" w:fill="auto"/>
        <w:tabs>
          <w:tab w:pos="493" w:val="left"/>
        </w:tabs>
        <w:bidi w:val="0"/>
        <w:spacing w:before="0" w:after="30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77"/>
      <w:bookmarkEnd w:id="978"/>
      <w:bookmarkEnd w:id="9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40,109,707.49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款项是否由关联交 易产生</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上海和洲数码科技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11,362,584.84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胜诉后，经法院查 实败诉的客户无可 执行资产，法院出 具执行裁定书，终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核销申请由本公司 事业部提出，经本 公司风险管理部、 财务部审批后进行</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款项是否由关联交 易产生</w:t>
            </w:r>
          </w:p>
        </w:tc>
      </w:tr>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结执行程序。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pPr>
            <w:r>
              <w:rPr>
                <w:color w:val="000000"/>
                <w:spacing w:val="0"/>
                <w:w w:val="100"/>
                <w:position w:val="0"/>
              </w:rPr>
              <w:t>账务处理并进行备 案登记。</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香港盛创贸易有限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4,374,907.83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pPr>
            <w:r>
              <w:rPr>
                <w:color w:val="000000"/>
                <w:spacing w:val="0"/>
                <w:w w:val="100"/>
                <w:position w:val="0"/>
              </w:rPr>
              <w:t>客户因海关查处问 题已无力还款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核销申请由本公司 事业部提出，经本 公司风险管理部、 财务部审批后进行 账务处理并进行备 案登记。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银江（宁波）物联 网技术有限公司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4,036,590.80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胜诉后，经法院查 实败诉的客户无可 执行资产，法院出 具执行裁定书，终 结执行程序。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核销申请由本公司 事业部提出，经本 公司风险管理部、 财务部审批后进行 账务处理并进行备 案登记。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19,774,083.47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本次核销应收账款已全额计提坏账准备，不影响当期损益。</w:t>
      </w:r>
    </w:p>
    <w:p>
      <w:pPr>
        <w:widowControl w:val="0"/>
        <w:spacing w:after="299" w:line="1" w:lineRule="exact"/>
      </w:pPr>
    </w:p>
    <w:p>
      <w:pPr>
        <w:pStyle w:val="Style36"/>
        <w:keepNext/>
        <w:keepLines/>
        <w:widowControl w:val="0"/>
        <w:shd w:val="clear" w:color="auto" w:fill="auto"/>
        <w:bidi w:val="0"/>
        <w:spacing w:before="0" w:after="5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81"/>
      <w:bookmarkEnd w:id="982"/>
      <w:bookmarkEnd w:id="984"/>
    </w:p>
    <w:tbl>
      <w:tblPr>
        <w:tblOverlap w:val="never"/>
        <w:jc w:val="center"/>
        <w:tblLayout w:type="fixed"/>
      </w:tblPr>
      <w:tblGrid>
        <w:gridCol w:w="2832"/>
        <w:gridCol w:w="2006"/>
        <w:gridCol w:w="989"/>
        <w:gridCol w:w="994"/>
        <w:gridCol w:w="172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占应收账 款年末余 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坏账准备年末余额</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547,754,302.92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3</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12,183,848.35</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427,374,872.71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636,680.48</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390,580,466.97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年以内，</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243,401,564.26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215,100,799.36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34,903,662.18</w:t>
            </w:r>
          </w:p>
        </w:tc>
      </w:tr>
      <w:tr>
        <w:trPr>
          <w:trHeight w:val="4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1,824,212,006.22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47,814,191.01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前五名的应收账款单位均为本公司非关联方公司。</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6</w:t>
      </w:r>
      <w:bookmarkEnd w:id="987"/>
      <w:r>
        <w:rPr>
          <w:color w:val="000000"/>
          <w:spacing w:val="0"/>
          <w:w w:val="100"/>
          <w:position w:val="0"/>
        </w:rPr>
        <w:t>、预付款项</w:t>
      </w:r>
      <w:bookmarkEnd w:id="985"/>
      <w:bookmarkEnd w:id="986"/>
      <w:bookmarkEnd w:id="988"/>
    </w:p>
    <w:p>
      <w:pPr>
        <w:pStyle w:val="Style36"/>
        <w:keepNext/>
        <w:keepLines/>
        <w:widowControl w:val="0"/>
        <w:shd w:val="clear" w:color="auto" w:fill="auto"/>
        <w:bidi w:val="0"/>
        <w:spacing w:before="0" w:after="300" w:line="240" w:lineRule="auto"/>
        <w:ind w:left="0" w:right="0" w:firstLine="0"/>
        <w:jc w:val="left"/>
      </w:pPr>
      <w:bookmarkStart w:id="985" w:name="bookmark985"/>
      <w:bookmarkStart w:id="986" w:name="bookmark986"/>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85"/>
      <w:bookmarkEnd w:id="986"/>
      <w:bookmarkEnd w:id="9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2,097,237,026.81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1,823,550.65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58,402,732.49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499,827.14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1,675,436.98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98,098.52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359,133.30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26,855.20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bl>
    <w:p>
      <w:pPr>
        <w:spacing w:lineRule="exact" w:line="1"/>
        <w:rPr>
          <w:sz w:val="2"/>
          <w:szCs w:val="2"/>
        </w:rPr>
      </w:pPr>
      <w:r>
        <w:br w:type="page"/>
      </w:r>
    </w:p>
    <w:tbl>
      <w:tblPr>
        <w:tblOverlap w:val="never"/>
        <w:jc w:val="center"/>
        <w:tblLayout w:type="fixed"/>
      </w:tblPr>
      <w:tblGrid>
        <w:gridCol w:w="1915"/>
        <w:gridCol w:w="1915"/>
        <w:gridCol w:w="1915"/>
        <w:gridCol w:w="1910"/>
        <w:gridCol w:w="1925"/>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2,157,674,329.58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2,448,331.51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年且金额重要的预付款项未及时结算原因的说明：无</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both"/>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91"/>
      <w:bookmarkEnd w:id="992"/>
      <w:bookmarkEnd w:id="994"/>
    </w:p>
    <w:tbl>
      <w:tblPr>
        <w:tblOverlap w:val="never"/>
        <w:jc w:val="left"/>
        <w:tblLayout w:type="fixed"/>
      </w:tblPr>
      <w:tblGrid>
        <w:gridCol w:w="3418"/>
        <w:gridCol w:w="1987"/>
        <w:gridCol w:w="1042"/>
        <w:gridCol w:w="2102"/>
      </w:tblGrid>
      <w:tr>
        <w:trPr>
          <w:trHeight w:val="81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占预付款项年末余额合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计数的比例</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780,906,972.08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36.19%</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547,090,333.90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25.36%</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114,202,049.40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5.29%</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88,564,580.95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4.10%</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84,448,244.94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3.91%</w:t>
            </w:r>
          </w:p>
        </w:tc>
      </w:tr>
      <w:tr>
        <w:trPr>
          <w:trHeight w:val="4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1,615,212,181.27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365"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r>
              <w:rPr>
                <w:color w:val="000000"/>
                <w:spacing w:val="0"/>
                <w:w w:val="100"/>
                <w:position w:val="0"/>
              </w:rPr>
              <w:t>.</w:t>
              <w:tab/>
            </w:r>
            <w:r>
              <w:rPr>
                <w:rFonts w:ascii="Times New Roman" w:eastAsia="Times New Roman" w:hAnsi="Times New Roman" w:cs="Times New Roman"/>
                <w:color w:val="000000"/>
                <w:spacing w:val="0"/>
                <w:w w:val="100"/>
                <w:position w:val="0"/>
              </w:rPr>
              <w:t>85%</w:t>
            </w:r>
          </w:p>
        </w:tc>
      </w:tr>
    </w:tbl>
    <w:p>
      <w:pPr>
        <w:pStyle w:val="Style30"/>
        <w:keepNext w:val="0"/>
        <w:keepLines w:val="0"/>
        <w:widowControl w:val="0"/>
        <w:shd w:val="clear" w:color="auto" w:fill="auto"/>
        <w:bidi w:val="0"/>
        <w:spacing w:before="0" w:after="0" w:line="240" w:lineRule="auto"/>
        <w:ind w:left="341" w:right="0" w:firstLine="0"/>
        <w:jc w:val="left"/>
      </w:pPr>
      <w:r>
        <w:rPr>
          <w:color w:val="000000"/>
          <w:spacing w:val="0"/>
          <w:w w:val="100"/>
          <w:position w:val="0"/>
        </w:rPr>
        <w:t>前五名的预付账款单位均为本公司非关联方公司。</w:t>
      </w:r>
    </w:p>
    <w:p>
      <w:pPr>
        <w:widowControl w:val="0"/>
        <w:spacing w:after="759" w:line="1" w:lineRule="exact"/>
      </w:pPr>
    </w:p>
    <w:p>
      <w:pPr>
        <w:pStyle w:val="Style36"/>
        <w:keepNext/>
        <w:keepLines/>
        <w:widowControl w:val="0"/>
        <w:shd w:val="clear" w:color="auto" w:fill="auto"/>
        <w:bidi w:val="0"/>
        <w:spacing w:before="0" w:after="320" w:line="240" w:lineRule="auto"/>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7</w:t>
      </w:r>
      <w:bookmarkEnd w:id="997"/>
      <w:r>
        <w:rPr>
          <w:color w:val="000000"/>
          <w:spacing w:val="0"/>
          <w:w w:val="100"/>
          <w:position w:val="0"/>
        </w:rPr>
        <w:t>、应收利息</w:t>
      </w:r>
      <w:bookmarkEnd w:id="995"/>
      <w:bookmarkEnd w:id="996"/>
      <w:bookmarkEnd w:id="998"/>
    </w:p>
    <w:p>
      <w:pPr>
        <w:pStyle w:val="Style36"/>
        <w:keepNext/>
        <w:keepLines/>
        <w:widowControl w:val="0"/>
        <w:shd w:val="clear" w:color="auto" w:fill="auto"/>
        <w:bidi w:val="0"/>
        <w:spacing w:before="0" w:after="320" w:line="240" w:lineRule="auto"/>
        <w:ind w:left="0" w:right="0" w:firstLine="0"/>
        <w:jc w:val="both"/>
      </w:pPr>
      <w:bookmarkStart w:id="1000" w:name="bookmark1000"/>
      <w:bookmarkStart w:id="995" w:name="bookmark995"/>
      <w:bookmarkStart w:id="996" w:name="bookmark996"/>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00"/>
      <w:bookmarkEnd w:id="995"/>
      <w:bookmarkEnd w:id="996"/>
    </w:p>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2875"/>
        <w:gridCol w:w="2842"/>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5,379,013.89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5,379,013.89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8</w:t>
      </w:r>
      <w:bookmarkEnd w:id="1003"/>
      <w:r>
        <w:rPr>
          <w:color w:val="000000"/>
          <w:spacing w:val="0"/>
          <w:w w:val="100"/>
          <w:position w:val="0"/>
        </w:rPr>
        <w:t>、其他应收款</w:t>
      </w:r>
      <w:bookmarkEnd w:id="1001"/>
      <w:bookmarkEnd w:id="1002"/>
      <w:bookmarkEnd w:id="1004"/>
    </w:p>
    <w:p>
      <w:pPr>
        <w:pStyle w:val="Style36"/>
        <w:keepNext/>
        <w:keepLines/>
        <w:widowControl w:val="0"/>
        <w:shd w:val="clear" w:color="auto" w:fill="auto"/>
        <w:bidi w:val="0"/>
        <w:spacing w:before="0" w:after="320" w:line="240" w:lineRule="auto"/>
        <w:ind w:left="0" w:right="0" w:firstLine="0"/>
        <w:jc w:val="both"/>
        <w:sectPr>
          <w:headerReference w:type="default" r:id="rId25"/>
          <w:footerReference w:type="default" r:id="rId26"/>
          <w:footnotePr>
            <w:pos w:val="pageBottom"/>
            <w:numFmt w:val="decimal"/>
            <w:numRestart w:val="continuous"/>
          </w:footnotePr>
          <w:pgSz w:w="11900" w:h="16840"/>
          <w:pgMar w:top="1441" w:right="1106" w:bottom="1551" w:left="1103" w:header="0" w:footer="3" w:gutter="0"/>
          <w:cols w:space="720"/>
          <w:noEndnote/>
          <w:rtlGutter w:val="0"/>
          <w:docGrid w:linePitch="360"/>
        </w:sectPr>
      </w:pPr>
      <w:bookmarkStart w:id="1001" w:name="bookmark1001"/>
      <w:bookmarkStart w:id="1002" w:name="bookmark1002"/>
      <w:bookmarkStart w:id="1005" w:name="bookmark10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01"/>
      <w:bookmarkEnd w:id="1002"/>
      <w:bookmarkEnd w:id="1005"/>
    </w:p>
    <w:p>
      <w:pPr>
        <w:pStyle w:val="Style30"/>
        <w:keepNext w:val="0"/>
        <w:keepLines w:val="0"/>
        <w:widowControl w:val="0"/>
        <w:shd w:val="clear" w:color="auto" w:fill="auto"/>
        <w:bidi w:val="0"/>
        <w:spacing w:before="0" w:after="0" w:line="283" w:lineRule="exact"/>
        <w:ind w:left="0" w:right="0" w:firstLine="0"/>
        <w:jc w:val="right"/>
      </w:pPr>
      <w:r>
        <w:rPr>
          <w:color w:val="000000"/>
          <w:spacing w:val="0"/>
          <w:w w:val="100"/>
          <w:position w:val="0"/>
          <w:u w:val="single"/>
        </w:rPr>
        <w:t>神州数码集团股份有限公司</w:t>
      </w:r>
      <w:r>
        <w:rPr>
          <w:rFonts w:ascii="Times New Roman" w:eastAsia="Times New Roman" w:hAnsi="Times New Roman" w:cs="Times New Roman"/>
          <w:color w:val="000000"/>
          <w:spacing w:val="0"/>
          <w:w w:val="100"/>
          <w:position w:val="0"/>
          <w:u w:val="single"/>
        </w:rPr>
        <w:t>2016</w:t>
      </w:r>
      <w:r>
        <w:rPr>
          <w:color w:val="000000"/>
          <w:spacing w:val="0"/>
          <w:w w:val="100"/>
          <w:position w:val="0"/>
          <w:u w:val="single"/>
        </w:rPr>
        <w:t xml:space="preserve">年年度报告全文 </w:t>
      </w:r>
      <w:r>
        <w:rPr>
          <w:color w:val="000000"/>
          <w:spacing w:val="0"/>
          <w:w w:val="100"/>
          <w:position w:val="0"/>
        </w:rPr>
        <w:t>单位：元</w:t>
      </w:r>
    </w:p>
    <w:tbl>
      <w:tblPr>
        <w:tblOverlap w:val="never"/>
        <w:jc w:val="center"/>
        <w:tblLayout w:type="fixed"/>
      </w:tblPr>
      <w:tblGrid>
        <w:gridCol w:w="1109"/>
        <w:gridCol w:w="1277"/>
        <w:gridCol w:w="994"/>
        <w:gridCol w:w="758"/>
        <w:gridCol w:w="1224"/>
        <w:gridCol w:w="1416"/>
        <w:gridCol w:w="1421"/>
        <w:gridCol w:w="758"/>
        <w:gridCol w:w="1368"/>
        <w:gridCol w:w="931"/>
        <w:gridCol w:w="1344"/>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2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125,158,864.71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125,158,864.71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按信用风险 特征组合计 提坏账准备 的其他应收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261,583,360.11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261,583,360.11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14,379,156.74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11,431,689.74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2,947,467.00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261,583,360.11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261,583,360.11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139,538,021.45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136,590,554.45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2,947,467.00</w:t>
            </w:r>
          </w:p>
        </w:tc>
      </w:tr>
    </w:tbl>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60" w:line="275" w:lineRule="exact"/>
        <w:ind w:left="0" w:right="0" w:firstLine="0"/>
        <w:jc w:val="left"/>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after="0" w:line="31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0" w:line="275" w:lineRule="exact"/>
        <w:ind w:left="0" w:right="0" w:firstLine="0"/>
        <w:jc w:val="left"/>
        <w:sectPr>
          <w:headerReference w:type="default" r:id="rId27"/>
          <w:footerReference w:type="default" r:id="rId28"/>
          <w:footnotePr>
            <w:pos w:val="pageBottom"/>
            <w:numFmt w:val="decimal"/>
            <w:numRestart w:val="continuous"/>
          </w:footnotePr>
          <w:pgSz w:w="16840" w:h="11900" w:orient="landscape"/>
          <w:pgMar w:top="788" w:right="1417" w:bottom="1156" w:left="1422" w:header="360" w:footer="3" w:gutter="0"/>
          <w:cols w:space="720"/>
          <w:noEndnote/>
          <w:rtlGutter w:val="0"/>
          <w:docGrid w:linePitch="360"/>
        </w:sectPr>
      </w:pPr>
      <w:r>
        <w:rPr>
          <w:color w:val="000000"/>
          <w:spacing w:val="0"/>
          <w:w w:val="100"/>
          <w:position w:val="0"/>
        </w:rPr>
        <w:t xml:space="preserve">组合中，采用其他方法计提坏账准备的其他应收款：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）组合中，按账期组合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计提坏账准备的其他应收款</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90"/>
        <w:gridCol w:w="2400"/>
      </w:tblGrid>
      <w:tr>
        <w:trPr>
          <w:trHeight w:val="394"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5"/>
        <w:gridCol w:w="2390"/>
        <w:gridCol w:w="2400"/>
      </w:tblGrid>
      <w:tr>
        <w:trPr>
          <w:trHeight w:val="394"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2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82,650,906.90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138,932,453.21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221,583,360.11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240" w:line="240" w:lineRule="auto"/>
        <w:ind w:left="0" w:right="0" w:firstLine="14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6"/>
      <w:bookmarkEnd w:id="1007"/>
      <w:bookmarkEnd w:id="1009"/>
    </w:p>
    <w:p>
      <w:pPr>
        <w:pStyle w:val="Style32"/>
        <w:keepNext w:val="0"/>
        <w:keepLines w:val="0"/>
        <w:widowControl w:val="0"/>
        <w:shd w:val="clear" w:color="auto" w:fill="auto"/>
        <w:bidi w:val="0"/>
        <w:spacing w:before="0" w:after="60" w:line="288"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86,121.96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136,340,868.16</w:t>
      </w:r>
      <w:r>
        <w:rPr>
          <w:color w:val="000000"/>
          <w:spacing w:val="0"/>
          <w:w w:val="100"/>
          <w:position w:val="0"/>
        </w:rPr>
        <w:t>元。 其中本期坏账准备转回或收回金额重要的：</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87"/>
        <w:gridCol w:w="3202"/>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重大资产出售之标的公司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136,340,868.16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136,340,868.16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14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10"/>
      <w:bookmarkEnd w:id="1011"/>
      <w:bookmarkEnd w:id="10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1"/>
        <w:gridCol w:w="4800"/>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335,808.25</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14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w:t>
      </w:r>
      <w:bookmarkEnd w:id="101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14"/>
      <w:bookmarkEnd w:id="1015"/>
      <w:bookmarkEnd w:id="10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14"/>
        <w:gridCol w:w="2837"/>
        <w:gridCol w:w="3202"/>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代关联方垫付购买土地款（见其他说明）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80,969,154.37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2,070,612.40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2,182,453.21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1,681,752.53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137,467,409.05</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261,583,360.11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139,538,021.45</w:t>
            </w:r>
          </w:p>
        </w:tc>
      </w:tr>
    </w:tbl>
    <w:p>
      <w:pPr>
        <w:pStyle w:val="Style36"/>
        <w:keepNext/>
        <w:keepLines/>
        <w:widowControl w:val="0"/>
        <w:shd w:val="clear" w:color="auto" w:fill="auto"/>
        <w:bidi w:val="0"/>
        <w:spacing w:before="0" w:after="320" w:line="240" w:lineRule="auto"/>
        <w:ind w:left="0" w:right="0" w:firstLine="14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w:t>
      </w:r>
      <w:bookmarkEnd w:id="102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18"/>
      <w:bookmarkEnd w:id="1019"/>
      <w:bookmarkEnd w:id="10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北京神州数码置业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136,750,000.00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苏州亚都环保科技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中国银行（香港）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27,078,046.39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北京市海淀区人民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11,043,112.17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杭州市西湖区人民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5,250,428.00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220,121,586.56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6</w:t>
      </w:r>
      <w:r>
        <w:rPr>
          <w:color w:val="000000"/>
          <w:spacing w:val="0"/>
          <w:w w:val="100"/>
          <w:position w:val="0"/>
        </w:rPr>
        <w:t>）转移其他应收款且继续涉入形成的资产、负债金额</w:t>
      </w:r>
      <w:bookmarkEnd w:id="1022"/>
      <w:bookmarkEnd w:id="1023"/>
      <w:bookmarkEnd w:id="1025"/>
    </w:p>
    <w:p>
      <w:pPr>
        <w:pStyle w:val="Style32"/>
        <w:keepNext w:val="0"/>
        <w:keepLines w:val="0"/>
        <w:widowControl w:val="0"/>
        <w:shd w:val="clear" w:color="auto" w:fill="auto"/>
        <w:bidi w:val="0"/>
        <w:spacing w:before="0" w:after="520" w:line="240" w:lineRule="auto"/>
        <w:ind w:left="0" w:right="0" w:firstLine="560"/>
        <w:jc w:val="both"/>
      </w:pPr>
      <w:r>
        <w:rPr>
          <w:color w:val="000000"/>
          <w:spacing w:val="0"/>
          <w:w w:val="100"/>
          <w:position w:val="0"/>
        </w:rPr>
        <w:t>无</w:t>
      </w:r>
    </w:p>
    <w:p>
      <w:pPr>
        <w:pStyle w:val="Style58"/>
        <w:keepNext w:val="0"/>
        <w:keepLines w:val="0"/>
        <w:widowControl w:val="0"/>
        <w:shd w:val="clear" w:color="auto" w:fill="auto"/>
        <w:bidi w:val="0"/>
        <w:spacing w:before="0" w:after="120" w:line="233" w:lineRule="exact"/>
        <w:ind w:left="0" w:right="0" w:firstLine="380"/>
        <w:jc w:val="both"/>
      </w:pPr>
      <w:r>
        <w:rPr>
          <w:color w:val="000000"/>
          <w:spacing w:val="0"/>
          <w:w w:val="100"/>
          <w:position w:val="0"/>
        </w:rPr>
        <w:t>其他说明：</w:t>
      </w:r>
    </w:p>
    <w:p>
      <w:pPr>
        <w:pStyle w:val="Style32"/>
        <w:keepNext w:val="0"/>
        <w:keepLines w:val="0"/>
        <w:widowControl w:val="0"/>
        <w:shd w:val="clear" w:color="auto" w:fill="auto"/>
        <w:bidi w:val="0"/>
        <w:spacing w:before="0" w:line="233"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日，本公司之子公司神码中国与神州数码软件有限公司签订《联合竞买协议书》，协议约定双方组成联合 体共同参与北京市土地整理储备中心于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日期间举行的北京市海淀区</w:t>
      </w:r>
      <w:r>
        <w:rPr>
          <w:rFonts w:ascii="Times New Roman" w:eastAsia="Times New Roman" w:hAnsi="Times New Roman" w:cs="Times New Roman"/>
          <w:color w:val="000000"/>
          <w:spacing w:val="0"/>
          <w:w w:val="100"/>
          <w:position w:val="0"/>
        </w:rPr>
        <w:t>“</w:t>
      </w:r>
      <w:r>
        <w:rPr>
          <w:color w:val="000000"/>
          <w:spacing w:val="0"/>
          <w:w w:val="100"/>
          <w:position w:val="0"/>
        </w:rPr>
        <w:t>海淀北部地区整体开 发</w:t>
      </w:r>
      <w:r>
        <w:rPr>
          <w:rFonts w:ascii="Times New Roman" w:eastAsia="Times New Roman" w:hAnsi="Times New Roman" w:cs="Times New Roman"/>
          <w:color w:val="000000"/>
          <w:spacing w:val="0"/>
          <w:w w:val="100"/>
          <w:position w:val="0"/>
        </w:rPr>
        <w:t>"HD-0303-0031</w:t>
      </w:r>
      <w:r>
        <w:rPr>
          <w:color w:val="000000"/>
          <w:spacing w:val="0"/>
          <w:w w:val="100"/>
          <w:position w:val="0"/>
        </w:rPr>
        <w:t>地块</w:t>
      </w:r>
      <w:r>
        <w:rPr>
          <w:rFonts w:ascii="Times New Roman" w:eastAsia="Times New Roman" w:hAnsi="Times New Roman" w:cs="Times New Roman"/>
          <w:color w:val="000000"/>
          <w:spacing w:val="0"/>
          <w:w w:val="100"/>
          <w:position w:val="0"/>
        </w:rPr>
        <w:t>B2</w:t>
      </w:r>
      <w:r>
        <w:rPr>
          <w:color w:val="000000"/>
          <w:spacing w:val="0"/>
          <w:w w:val="100"/>
          <w:position w:val="0"/>
        </w:rPr>
        <w:t>商务用地国有建设用地使用权的挂牌出让，双方出资额各</w:t>
      </w:r>
      <w:r>
        <w:rPr>
          <w:rFonts w:ascii="Times New Roman" w:eastAsia="Times New Roman" w:hAnsi="Times New Roman" w:cs="Times New Roman"/>
          <w:color w:val="000000"/>
          <w:spacing w:val="0"/>
          <w:w w:val="100"/>
          <w:position w:val="0"/>
        </w:rPr>
        <w:t>50%</w:t>
      </w:r>
      <w:r>
        <w:rPr>
          <w:color w:val="000000"/>
          <w:spacing w:val="0"/>
          <w:w w:val="100"/>
          <w:position w:val="0"/>
        </w:rPr>
        <w:t>。同时约定，若联合体成功竞得上述 土地使用权，联合体各成员承诺将在海淀区注册成立一家新项目公司，由新项目公司全面负责该地块的开发建设，联合体各 方在新公司中按各自的出资比例承担相应的权利和义务。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日，北京神州数码置业发展有限公司成立。</w:t>
      </w:r>
    </w:p>
    <w:p>
      <w:pPr>
        <w:pStyle w:val="Style32"/>
        <w:keepNext w:val="0"/>
        <w:keepLines w:val="0"/>
        <w:widowControl w:val="0"/>
        <w:shd w:val="clear" w:color="auto" w:fill="auto"/>
        <w:bidi w:val="0"/>
        <w:spacing w:before="0" w:line="233"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日，神码中国与神州数码软件有限公司组成的联合体与北京市国土资源局签订了《国有建设用地使用权出 让合同》，出让宗地面积为</w:t>
      </w:r>
      <w:r>
        <w:rPr>
          <w:rFonts w:ascii="Times New Roman" w:eastAsia="Times New Roman" w:hAnsi="Times New Roman" w:cs="Times New Roman"/>
          <w:color w:val="000000"/>
          <w:spacing w:val="0"/>
          <w:w w:val="100"/>
          <w:position w:val="0"/>
        </w:rPr>
        <w:t>17,629.735</w:t>
      </w:r>
      <w:r>
        <w:rPr>
          <w:color w:val="000000"/>
          <w:spacing w:val="0"/>
          <w:w w:val="100"/>
          <w:position w:val="0"/>
        </w:rPr>
        <w:t>平方米。土地的出让价款（包括政府土地收益、土地开发建设补偿款）为</w:t>
      </w:r>
      <w:r>
        <w:rPr>
          <w:rFonts w:ascii="Times New Roman" w:eastAsia="Times New Roman" w:hAnsi="Times New Roman" w:cs="Times New Roman"/>
          <w:color w:val="000000"/>
          <w:spacing w:val="0"/>
          <w:w w:val="100"/>
          <w:position w:val="0"/>
        </w:rPr>
        <w:t>64,200</w:t>
      </w:r>
      <w:r>
        <w:rPr>
          <w:color w:val="000000"/>
          <w:spacing w:val="0"/>
          <w:w w:val="100"/>
          <w:position w:val="0"/>
        </w:rPr>
        <w:t>万元。 其中神码中国支付了</w:t>
      </w:r>
      <w:r>
        <w:rPr>
          <w:rFonts w:ascii="Times New Roman" w:eastAsia="Times New Roman" w:hAnsi="Times New Roman" w:cs="Times New Roman"/>
          <w:color w:val="000000"/>
          <w:spacing w:val="0"/>
          <w:w w:val="100"/>
          <w:position w:val="0"/>
        </w:rPr>
        <w:t>32,100</w:t>
      </w:r>
      <w:r>
        <w:rPr>
          <w:color w:val="000000"/>
          <w:spacing w:val="0"/>
          <w:w w:val="100"/>
          <w:position w:val="0"/>
        </w:rPr>
        <w:t>万元。</w:t>
      </w:r>
    </w:p>
    <w:p>
      <w:pPr>
        <w:pStyle w:val="Style32"/>
        <w:keepNext w:val="0"/>
        <w:keepLines w:val="0"/>
        <w:widowControl w:val="0"/>
        <w:shd w:val="clear" w:color="auto" w:fill="auto"/>
        <w:bidi w:val="0"/>
        <w:spacing w:before="0" w:line="234"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月，神码中国、神州数码软件有限公司与北京万科企业有限公司签订了《北京市</w:t>
      </w:r>
      <w:r>
        <w:rPr>
          <w:rFonts w:ascii="Times New Roman" w:eastAsia="Times New Roman" w:hAnsi="Times New Roman" w:cs="Times New Roman"/>
          <w:color w:val="000000"/>
          <w:spacing w:val="0"/>
          <w:w w:val="100"/>
          <w:position w:val="0"/>
        </w:rPr>
        <w:t>“</w:t>
      </w:r>
      <w:r>
        <w:rPr>
          <w:color w:val="000000"/>
          <w:spacing w:val="0"/>
          <w:w w:val="100"/>
          <w:position w:val="0"/>
        </w:rPr>
        <w:t>海淀北部地区整体开发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HD- 0303-0031 </w:t>
      </w:r>
      <w:r>
        <w:rPr>
          <w:color w:val="000000"/>
          <w:spacing w:val="0"/>
          <w:w w:val="100"/>
          <w:position w:val="0"/>
        </w:rPr>
        <w:t>地块股权合作协议》，共同对</w:t>
      </w:r>
      <w:r>
        <w:rPr>
          <w:rFonts w:ascii="Times New Roman" w:eastAsia="Times New Roman" w:hAnsi="Times New Roman" w:cs="Times New Roman"/>
          <w:color w:val="000000"/>
          <w:spacing w:val="0"/>
          <w:w w:val="100"/>
          <w:position w:val="0"/>
        </w:rPr>
        <w:t>0031</w:t>
      </w:r>
      <w:r>
        <w:rPr>
          <w:color w:val="000000"/>
          <w:spacing w:val="0"/>
          <w:w w:val="100"/>
          <w:position w:val="0"/>
        </w:rPr>
        <w:t>地块项目进行开发。北京神州数码置业发展有限公司作为项目公司，股权比例 变更为神码中国、神州数码软件有限公司各持股</w:t>
      </w:r>
      <w:r>
        <w:rPr>
          <w:rFonts w:ascii="Times New Roman" w:eastAsia="Times New Roman" w:hAnsi="Times New Roman" w:cs="Times New Roman"/>
          <w:color w:val="000000"/>
          <w:spacing w:val="0"/>
          <w:w w:val="100"/>
          <w:position w:val="0"/>
        </w:rPr>
        <w:t>25%</w:t>
      </w:r>
      <w:r>
        <w:rPr>
          <w:color w:val="000000"/>
          <w:spacing w:val="0"/>
          <w:w w:val="100"/>
          <w:position w:val="0"/>
        </w:rPr>
        <w:t>,北京万科企业有限公司持股</w:t>
      </w:r>
      <w:r>
        <w:rPr>
          <w:rFonts w:ascii="Times New Roman" w:eastAsia="Times New Roman" w:hAnsi="Times New Roman" w:cs="Times New Roman"/>
          <w:color w:val="000000"/>
          <w:spacing w:val="0"/>
          <w:w w:val="100"/>
          <w:position w:val="0"/>
        </w:rPr>
        <w:t>50%</w:t>
      </w:r>
      <w:r>
        <w:rPr>
          <w:color w:val="000000"/>
          <w:spacing w:val="0"/>
          <w:w w:val="100"/>
          <w:position w:val="0"/>
        </w:rPr>
        <w:t>。北京万科企业有限公司按其权益比 例提供股东借款人民币</w:t>
      </w:r>
      <w:r>
        <w:rPr>
          <w:rFonts w:ascii="Times New Roman" w:eastAsia="Times New Roman" w:hAnsi="Times New Roman" w:cs="Times New Roman"/>
          <w:color w:val="000000"/>
          <w:spacing w:val="0"/>
          <w:w w:val="100"/>
          <w:position w:val="0"/>
        </w:rPr>
        <w:t>3.21</w:t>
      </w:r>
      <w:r>
        <w:rPr>
          <w:color w:val="000000"/>
          <w:spacing w:val="0"/>
          <w:w w:val="100"/>
          <w:position w:val="0"/>
        </w:rPr>
        <w:t>亿元给北京神州数码置业发展有限公司，北京神州数码置业发展有限公司分别向神码中国和神州 数码软件有限公司支付人民币</w:t>
      </w:r>
      <w:r>
        <w:rPr>
          <w:rFonts w:ascii="Times New Roman" w:eastAsia="Times New Roman" w:hAnsi="Times New Roman" w:cs="Times New Roman"/>
          <w:color w:val="000000"/>
          <w:spacing w:val="0"/>
          <w:w w:val="100"/>
          <w:position w:val="0"/>
        </w:rPr>
        <w:t>16,050</w:t>
      </w:r>
      <w:r>
        <w:rPr>
          <w:color w:val="000000"/>
          <w:spacing w:val="0"/>
          <w:w w:val="100"/>
          <w:position w:val="0"/>
        </w:rPr>
        <w:t>万元用于偿还二者前期提供的股东借款，并按照年息</w:t>
      </w:r>
      <w:r>
        <w:rPr>
          <w:rFonts w:ascii="Times New Roman" w:eastAsia="Times New Roman" w:hAnsi="Times New Roman" w:cs="Times New Roman"/>
          <w:color w:val="000000"/>
          <w:spacing w:val="0"/>
          <w:w w:val="100"/>
          <w:position w:val="0"/>
        </w:rPr>
        <w:t>7%</w:t>
      </w:r>
      <w:r>
        <w:rPr>
          <w:color w:val="000000"/>
          <w:spacing w:val="0"/>
          <w:w w:val="100"/>
          <w:position w:val="0"/>
        </w:rPr>
        <w:t>支付利息。</w:t>
      </w:r>
    </w:p>
    <w:p>
      <w:pPr>
        <w:pStyle w:val="Style32"/>
        <w:keepNext w:val="0"/>
        <w:keepLines w:val="0"/>
        <w:widowControl w:val="0"/>
        <w:shd w:val="clear" w:color="auto" w:fill="auto"/>
        <w:bidi w:val="0"/>
        <w:spacing w:before="0" w:after="320" w:line="250"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月，北京神州数码置业发展有限公司向神码中国偿还了</w:t>
      </w:r>
      <w:r>
        <w:rPr>
          <w:rFonts w:ascii="Times New Roman" w:eastAsia="Times New Roman" w:hAnsi="Times New Roman" w:cs="Times New Roman"/>
          <w:color w:val="000000"/>
          <w:spacing w:val="0"/>
          <w:w w:val="100"/>
          <w:position w:val="0"/>
        </w:rPr>
        <w:t>2,375</w:t>
      </w:r>
      <w:r>
        <w:rPr>
          <w:color w:val="000000"/>
          <w:spacing w:val="0"/>
          <w:w w:val="100"/>
          <w:position w:val="0"/>
        </w:rPr>
        <w:t>万元借款，截至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日，尚余</w:t>
      </w:r>
      <w:r>
        <w:rPr>
          <w:rFonts w:ascii="Times New Roman" w:eastAsia="Times New Roman" w:hAnsi="Times New Roman" w:cs="Times New Roman"/>
          <w:color w:val="000000"/>
          <w:spacing w:val="0"/>
          <w:w w:val="100"/>
          <w:position w:val="0"/>
        </w:rPr>
        <w:t>13,675</w:t>
      </w:r>
      <w:r>
        <w:rPr>
          <w:color w:val="000000"/>
          <w:spacing w:val="0"/>
          <w:w w:val="100"/>
          <w:position w:val="0"/>
        </w:rPr>
        <w:t>万元 借款未偿还。</w:t>
      </w:r>
    </w:p>
    <w:p>
      <w:pPr>
        <w:pStyle w:val="Style36"/>
        <w:keepNext/>
        <w:keepLines/>
        <w:widowControl w:val="0"/>
        <w:shd w:val="clear" w:color="auto" w:fill="auto"/>
        <w:bidi w:val="0"/>
        <w:spacing w:before="0" w:after="32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9</w:t>
      </w:r>
      <w:bookmarkEnd w:id="1028"/>
      <w:r>
        <w:rPr>
          <w:color w:val="000000"/>
          <w:spacing w:val="0"/>
          <w:w w:val="100"/>
          <w:position w:val="0"/>
        </w:rPr>
        <w:t>、存货</w:t>
      </w:r>
      <w:bookmarkEnd w:id="1026"/>
      <w:bookmarkEnd w:id="1027"/>
      <w:bookmarkEnd w:id="1029"/>
    </w:p>
    <w:p>
      <w:pPr>
        <w:pStyle w:val="Style32"/>
        <w:keepNext w:val="0"/>
        <w:keepLines w:val="0"/>
        <w:widowControl w:val="0"/>
        <w:shd w:val="clear" w:color="auto" w:fill="auto"/>
        <w:bidi w:val="0"/>
        <w:spacing w:before="0" w:after="40" w:line="233" w:lineRule="exact"/>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20" w:line="233" w:lineRule="exact"/>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20" w:line="240" w:lineRule="auto"/>
        <w:ind w:left="0" w:right="0" w:firstLine="140"/>
        <w:jc w:val="both"/>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0"/>
      <w:bookmarkEnd w:id="1031"/>
      <w:bookmarkEnd w:id="103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21,292,932.41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164,063.71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21,128,868.70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2,772,227.49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2,772,227.49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4,575,243,953.24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334,920,522.96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4,240,323,430.28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19,416,433.17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1,030,888.14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18,385,545.03</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340,048,650.90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340,048,650.90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210,752.37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210,752.37</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55,918,107.96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55,918,107.96</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完工开发商品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153,095.91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153,095.91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616,931.03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616,931.03</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4,915,292,604.14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334,920,522.96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4,580,372,081.18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100,380,480.34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1,194,951.85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99,185,528.49</w:t>
            </w:r>
          </w:p>
        </w:tc>
      </w:tr>
    </w:tbl>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 否</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14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33"/>
      <w:bookmarkEnd w:id="1034"/>
      <w:bookmarkEnd w:id="10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164,063.71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164,063.71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1,030,888.14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251,618,915.60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441,123,493.73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357,821,886.37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1,030,888.14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334,920,522.96</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1,194,951.85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251,618,915.60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441,123,493.73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357,821,886.37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1,194,951.85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334,920,522.96</w:t>
            </w:r>
          </w:p>
        </w:tc>
      </w:tr>
    </w:tbl>
    <w:p>
      <w:pPr>
        <w:widowControl w:val="0"/>
        <w:spacing w:after="299" w:line="1" w:lineRule="exact"/>
      </w:pPr>
    </w:p>
    <w:p>
      <w:pPr>
        <w:pStyle w:val="Style36"/>
        <w:keepNext/>
        <w:keepLines/>
        <w:widowControl w:val="0"/>
        <w:shd w:val="clear" w:color="auto" w:fill="auto"/>
        <w:tabs>
          <w:tab w:pos="493" w:val="left"/>
        </w:tabs>
        <w:bidi w:val="0"/>
        <w:spacing w:before="0" w:after="30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37"/>
      <w:bookmarkEnd w:id="1038"/>
      <w:bookmarkEnd w:id="1040"/>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30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41"/>
      <w:bookmarkEnd w:id="1042"/>
      <w:bookmarkEnd w:id="1044"/>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0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045"/>
      <w:bookmarkEnd w:id="1046"/>
      <w:bookmarkEnd w:id="10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87"/>
        <w:gridCol w:w="320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00" w:line="23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月，本公司从中信证券股份有限公司北京安外大街营业部购入期限为</w:t>
      </w:r>
      <w:r>
        <w:rPr>
          <w:rFonts w:ascii="Times New Roman" w:eastAsia="Times New Roman" w:hAnsi="Times New Roman" w:cs="Times New Roman"/>
          <w:color w:val="000000"/>
          <w:spacing w:val="0"/>
          <w:w w:val="100"/>
          <w:position w:val="0"/>
        </w:rPr>
        <w:t>2</w:t>
      </w:r>
      <w:r>
        <w:rPr>
          <w:color w:val="000000"/>
          <w:spacing w:val="0"/>
          <w:w w:val="100"/>
          <w:position w:val="0"/>
        </w:rPr>
        <w:t>年、到期日为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月的一笔理财产品，金 额为人民币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万元。此理财产品采用不保本浮动收益率计算收益，预估年化收益率为</w:t>
      </w:r>
      <w:r>
        <w:rPr>
          <w:rFonts w:ascii="Times New Roman" w:eastAsia="Times New Roman" w:hAnsi="Times New Roman" w:cs="Times New Roman"/>
          <w:color w:val="000000"/>
          <w:spacing w:val="0"/>
          <w:w w:val="100"/>
          <w:position w:val="0"/>
        </w:rPr>
        <w:t>13.5%</w:t>
      </w:r>
      <w:r>
        <w:rPr>
          <w:color w:val="000000"/>
          <w:spacing w:val="0"/>
          <w:w w:val="100"/>
          <w:position w:val="0"/>
        </w:rPr>
        <w:t>。</w:t>
      </w:r>
    </w:p>
    <w:p>
      <w:pPr>
        <w:pStyle w:val="Style36"/>
        <w:keepNext/>
        <w:keepLines/>
        <w:widowControl w:val="0"/>
        <w:shd w:val="clear" w:color="auto" w:fill="auto"/>
        <w:bidi w:val="0"/>
        <w:spacing w:before="0" w:after="30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049"/>
      <w:bookmarkEnd w:id="1050"/>
      <w:bookmarkEnd w:id="10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87"/>
        <w:gridCol w:w="3202"/>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101,500,000.00</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476,890,540.87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254,407.25</w:t>
            </w: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rPr>
              <w:t>-</w:t>
            </w:r>
            <w:r>
              <w:rPr>
                <w:color w:val="000000"/>
                <w:spacing w:val="0"/>
                <w:w w:val="100"/>
                <w:position w:val="0"/>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5,629,366.02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398,299.57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482,918,206.46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101,754,407.25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、可供出售金融资产</w:t>
      </w:r>
      <w:bookmarkEnd w:id="1053"/>
      <w:bookmarkEnd w:id="1054"/>
      <w:bookmarkEnd w:id="1056"/>
    </w:p>
    <w:p>
      <w:pPr>
        <w:pStyle w:val="Style36"/>
        <w:keepNext/>
        <w:keepLines/>
        <w:widowControl w:val="0"/>
        <w:shd w:val="clear" w:color="auto" w:fill="auto"/>
        <w:bidi w:val="0"/>
        <w:spacing w:before="0" w:after="300" w:line="240" w:lineRule="auto"/>
        <w:ind w:left="0" w:right="0" w:firstLine="0"/>
        <w:jc w:val="left"/>
      </w:pPr>
      <w:bookmarkStart w:id="1053" w:name="bookmark1053"/>
      <w:bookmarkStart w:id="1054" w:name="bookmark1054"/>
      <w:bookmarkStart w:id="1057" w:name="bookmark10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53"/>
      <w:bookmarkEnd w:id="1054"/>
      <w:bookmarkEnd w:id="10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1195"/>
        <w:gridCol w:w="1200"/>
        <w:gridCol w:w="1248"/>
        <w:gridCol w:w="1363"/>
        <w:gridCol w:w="1378"/>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141,441,743.70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48,188,510.30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93,253,233.40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90,605,775.72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90,605,775.72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31,503,233.40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31,503,233.40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109,938,510.30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48,188,510.30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90,605,775.72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90,605,775.72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一年期以上的理财产品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141,441,743.70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48,188,510.30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93,253,233.40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110,605,775.72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90,605,775.72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bl>
    <w:p>
      <w:pPr>
        <w:widowControl w:val="0"/>
        <w:spacing w:after="299" w:line="1" w:lineRule="exact"/>
      </w:pPr>
    </w:p>
    <w:p>
      <w:pPr>
        <w:pStyle w:val="Style36"/>
        <w:keepNext/>
        <w:keepLines/>
        <w:widowControl w:val="0"/>
        <w:numPr>
          <w:ilvl w:val="0"/>
          <w:numId w:val="29"/>
        </w:numPr>
        <w:shd w:val="clear" w:color="auto" w:fill="auto"/>
        <w:bidi w:val="0"/>
        <w:spacing w:before="0" w:after="30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期末按公允价值计量的可供出售金融资产</w:t>
      </w:r>
      <w:bookmarkEnd w:id="1058"/>
      <w:bookmarkEnd w:id="1059"/>
      <w:bookmarkEnd w:id="1061"/>
    </w:p>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left"/>
        <w:tblLayout w:type="fixed"/>
      </w:tblPr>
      <w:tblGrid>
        <w:gridCol w:w="2520"/>
        <w:gridCol w:w="1915"/>
        <w:gridCol w:w="1915"/>
        <w:gridCol w:w="1925"/>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rPr>
              <w:t>/</w:t>
            </w:r>
            <w:r>
              <w:rPr>
                <w:color w:val="000000"/>
                <w:spacing w:val="0"/>
                <w:w w:val="100"/>
                <w:position w:val="0"/>
              </w:rPr>
              <w:t>债务工具的摊 余成本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29,620,129.57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31,503,233.40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累计计入其他综合收益的公允 价值变动金额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29"/>
        </w:numPr>
        <w:shd w:val="clear" w:color="auto" w:fill="auto"/>
        <w:bidi w:val="0"/>
        <w:spacing w:before="0" w:after="30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441" w:right="1107" w:bottom="1518" w:left="1101" w:header="0" w:footer="3" w:gutter="0"/>
          <w:cols w:space="720"/>
          <w:noEndnote/>
          <w:rtlGutter w:val="0"/>
          <w:docGrid w:linePitch="360"/>
        </w:sectPr>
      </w:pPr>
      <w:bookmarkStart w:id="1062" w:name="bookmark1062"/>
      <w:bookmarkStart w:id="1063" w:name="bookmark1063"/>
      <w:bookmarkStart w:id="1064" w:name="bookmark1064"/>
      <w:bookmarkStart w:id="1065" w:name="bookmark1065"/>
      <w:bookmarkEnd w:id="1064"/>
      <w:r>
        <w:rPr>
          <w:color w:val="000000"/>
          <w:spacing w:val="0"/>
          <w:w w:val="100"/>
          <w:position w:val="0"/>
        </w:rPr>
        <w:t>期末按成本计量的可供出售金融资产</w:t>
      </w:r>
      <w:bookmarkEnd w:id="1062"/>
      <w:bookmarkEnd w:id="1063"/>
      <w:bookmarkEnd w:id="1065"/>
    </w:p>
    <w:p>
      <w:pPr>
        <w:pStyle w:val="Style30"/>
        <w:keepNext w:val="0"/>
        <w:keepLines w:val="0"/>
        <w:widowControl w:val="0"/>
        <w:shd w:val="clear" w:color="auto" w:fill="auto"/>
        <w:bidi w:val="0"/>
        <w:spacing w:before="0" w:after="0" w:line="240" w:lineRule="auto"/>
        <w:ind w:left="13109" w:right="0" w:firstLine="0"/>
        <w:jc w:val="left"/>
      </w:pPr>
      <w:r>
        <w:rPr>
          <w:color w:val="000000"/>
          <w:spacing w:val="0"/>
          <w:w w:val="100"/>
          <w:position w:val="0"/>
        </w:rPr>
        <w:t>单位：元</w:t>
      </w:r>
    </w:p>
    <w:tbl>
      <w:tblPr>
        <w:tblOverlap w:val="never"/>
        <w:jc w:val="center"/>
        <w:tblLayout w:type="fixed"/>
      </w:tblPr>
      <w:tblGrid>
        <w:gridCol w:w="869"/>
        <w:gridCol w:w="1373"/>
        <w:gridCol w:w="1277"/>
        <w:gridCol w:w="1277"/>
        <w:gridCol w:w="1277"/>
        <w:gridCol w:w="1416"/>
        <w:gridCol w:w="1133"/>
        <w:gridCol w:w="1258"/>
        <w:gridCol w:w="1416"/>
        <w:gridCol w:w="1138"/>
        <w:gridCol w:w="1282"/>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在被投资单 位持股比例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本期现金红利</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嘉和美康 (北京)</w:t>
            </w:r>
          </w:p>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深圳市天 极光电实 业股份有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深圳市中 委农业投 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27,938,510.30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27,938,510.30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27,938,510.30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27,938,510.30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深圳市华 宝进出口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深圳泰丰 宽带技术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5,359,794.05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5,359,794.05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5,359,794.05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5,359,794.05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深圳市泰 丰通讯电 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37,007,471.37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37,007,471.37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37,007,471.37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37,007,471.37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90,605,775.72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61,750,000.00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42,417,265.42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109,938,510.30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90,605,775.72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42,417,265.42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48,188,510.30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5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29"/>
        </w:numPr>
        <w:shd w:val="clear" w:color="auto" w:fill="auto"/>
        <w:bidi w:val="0"/>
        <w:spacing w:before="0" w:after="30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报告期内可供出售金融资产减值的变动情况</w:t>
      </w:r>
      <w:bookmarkEnd w:id="1066"/>
      <w:bookmarkEnd w:id="1067"/>
      <w:bookmarkEnd w:id="1069"/>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25"/>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90,605,775.72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42,417,265.42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48,188,510.30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32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070"/>
      <w:bookmarkEnd w:id="1071"/>
      <w:bookmarkEnd w:id="10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797"/>
        <w:gridCol w:w="1330"/>
        <w:gridCol w:w="802"/>
        <w:gridCol w:w="1325"/>
        <w:gridCol w:w="797"/>
        <w:gridCol w:w="802"/>
        <w:gridCol w:w="1238"/>
        <w:gridCol w:w="797"/>
        <w:gridCol w:w="1186"/>
        <w:gridCol w:w="1277"/>
        <w:gridCol w:w="1003"/>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 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成都神州数码索贝 科技有限公司（注</w:t>
            </w:r>
          </w:p>
          <w:p>
            <w:pPr>
              <w:pStyle w:val="Style2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left"/>
            </w:pPr>
            <w:r>
              <w:rPr>
                <w:color w:val="000000"/>
                <w:spacing w:val="0"/>
                <w:w w:val="100"/>
                <w:position w:val="0"/>
              </w:rPr>
              <w:t xml:space="preserve">北京神州数码置业 发展有限公司（注 </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-5,143,981.79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19,856,018.21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-5,143,981.79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19,856,018.21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北京卓越信通电子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2,303,412.67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-952,950.00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35,221,058.60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36,571,521.27</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exact"/>
              <w:ind w:left="0" w:right="0" w:firstLine="0"/>
              <w:jc w:val="left"/>
            </w:pPr>
            <w:r>
              <w:rPr>
                <w:color w:val="000000"/>
                <w:spacing w:val="0"/>
                <w:w w:val="100"/>
                <w:position w:val="0"/>
              </w:rPr>
              <w:t>海口神州数码投资 咨询有限公司（注</w:t>
            </w:r>
          </w:p>
          <w:p>
            <w:pPr>
              <w:pStyle w:val="Style2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2,303,412.67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-952,950.00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35,221,058.60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36,571,521.27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-2,840,569.12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-952,950.00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35,221,058.60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56,427,539.48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5"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5" w:lineRule="exact"/>
        <w:ind w:left="0" w:right="0" w:firstLine="0"/>
        <w:jc w:val="left"/>
      </w:pPr>
      <w:r>
        <w:rPr>
          <w:color w:val="000000"/>
          <w:spacing w:val="0"/>
          <w:w w:val="100"/>
          <w:position w:val="0"/>
        </w:rPr>
        <w:t>公司报告期内收购神州控股下属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分销业务公司，合并增加了成都神州数码索贝科技有限公司、北京神州数码置业发展有限公司、北京卓越信通电子股份有限公司、海口神州数 码投资咨询有限公司四家公司。上述本期增减变动</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为合并时点长期股权投资账面价值。</w:t>
      </w:r>
    </w:p>
    <w:p>
      <w:pPr>
        <w:widowControl w:val="0"/>
        <w:spacing w:after="199" w:line="1" w:lineRule="exact"/>
      </w:pPr>
    </w:p>
    <w:p>
      <w:pPr>
        <w:pStyle w:val="Style3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：上市公司之子公司北京神州数码有限公司投资的成都神州数码索贝科技有限公司因</w:t>
      </w:r>
      <w:r>
        <w:rPr>
          <w:rFonts w:ascii="Times New Roman" w:eastAsia="Times New Roman" w:hAnsi="Times New Roman" w:cs="Times New Roman"/>
          <w:color w:val="000000"/>
          <w:spacing w:val="0"/>
          <w:w w:val="100"/>
          <w:position w:val="0"/>
        </w:rPr>
        <w:t>2015</w:t>
      </w:r>
      <w:r>
        <w:rPr>
          <w:color w:val="000000"/>
          <w:spacing w:val="0"/>
          <w:w w:val="100"/>
          <w:position w:val="0"/>
        </w:rPr>
        <w:t>年巨额亏损，导致净资产为负，公司按照权益法计算的投资成本减记为零。</w:t>
      </w:r>
    </w:p>
    <w:p>
      <w:pPr>
        <w:pStyle w:val="Style3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：北京神州数码置业发展有限公司成立于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日，由神州数码（中国）有限公司、神州数码软件有限公司共同组建的有限责任公司，注册资本</w:t>
      </w:r>
      <w:r>
        <w:rPr>
          <w:rFonts w:ascii="Times New Roman" w:eastAsia="Times New Roman" w:hAnsi="Times New Roman" w:cs="Times New Roman"/>
          <w:color w:val="000000"/>
          <w:spacing w:val="0"/>
          <w:w w:val="100"/>
          <w:position w:val="0"/>
        </w:rPr>
        <w:t>1</w:t>
      </w:r>
      <w:r>
        <w:rPr>
          <w:color w:val="000000"/>
          <w:spacing w:val="0"/>
          <w:w w:val="100"/>
          <w:position w:val="0"/>
        </w:rPr>
        <w:t>亿元，神州数码 （中国）有限公司、神州数码软件有限公司各持股</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月，神州数码（中国）有限公司、神州数码软件有限公司与北京万科企业有限公司签订了《北京市</w:t>
      </w:r>
      <w:r>
        <w:rPr>
          <w:rFonts w:ascii="Times New Roman" w:eastAsia="Times New Roman" w:hAnsi="Times New Roman" w:cs="Times New Roman"/>
          <w:color w:val="000000"/>
          <w:spacing w:val="0"/>
          <w:w w:val="100"/>
          <w:position w:val="0"/>
        </w:rPr>
        <w:t>“</w:t>
      </w:r>
      <w:r>
        <w:rPr>
          <w:color w:val="000000"/>
          <w:spacing w:val="0"/>
          <w:w w:val="100"/>
          <w:position w:val="0"/>
        </w:rPr>
        <w:t>海淀北部地 区整体开发</w:t>
      </w:r>
      <w:r>
        <w:rPr>
          <w:rFonts w:ascii="Times New Roman" w:eastAsia="Times New Roman" w:hAnsi="Times New Roman" w:cs="Times New Roman"/>
          <w:color w:val="000000"/>
          <w:spacing w:val="0"/>
          <w:w w:val="100"/>
          <w:position w:val="0"/>
        </w:rPr>
        <w:t>"HD-0303-0031</w:t>
      </w:r>
      <w:r>
        <w:rPr>
          <w:color w:val="000000"/>
          <w:spacing w:val="0"/>
          <w:w w:val="100"/>
          <w:position w:val="0"/>
        </w:rPr>
        <w:t>地块股权合作协议》，北京神州数码置业发展有限公司的股权比例变更为神州数码（中国）有限公司、神州数码软件有限公司各持股</w:t>
      </w:r>
      <w:r>
        <w:rPr>
          <w:rFonts w:ascii="Times New Roman" w:eastAsia="Times New Roman" w:hAnsi="Times New Roman" w:cs="Times New Roman"/>
          <w:color w:val="000000"/>
          <w:spacing w:val="0"/>
          <w:w w:val="100"/>
          <w:position w:val="0"/>
        </w:rPr>
        <w:t>25%</w:t>
      </w:r>
      <w:r>
        <w:rPr>
          <w:color w:val="000000"/>
          <w:spacing w:val="0"/>
          <w:w w:val="100"/>
          <w:position w:val="0"/>
        </w:rPr>
        <w:t>，北京万科企 业有限公司持股</w:t>
      </w:r>
      <w:r>
        <w:rPr>
          <w:rFonts w:ascii="Times New Roman" w:eastAsia="Times New Roman" w:hAnsi="Times New Roman" w:cs="Times New Roman"/>
          <w:color w:val="000000"/>
          <w:spacing w:val="0"/>
          <w:w w:val="100"/>
          <w:position w:val="0"/>
        </w:rPr>
        <w:t>50%</w:t>
      </w:r>
      <w:r>
        <w:rPr>
          <w:color w:val="000000"/>
          <w:spacing w:val="0"/>
          <w:w w:val="100"/>
          <w:position w:val="0"/>
        </w:rPr>
        <w:t>。根据北京神州数码置业发展有限公司章程规定，股东会为公司的权力机构，股东会决议须经全体股东同意生效。截至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日，神州数码（中国） 有限公司尚对北京神州数码置业发展有限公司实际出资</w:t>
      </w:r>
      <w:r>
        <w:rPr>
          <w:rFonts w:ascii="Times New Roman" w:eastAsia="Times New Roman" w:hAnsi="Times New Roman" w:cs="Times New Roman"/>
          <w:color w:val="000000"/>
          <w:spacing w:val="0"/>
          <w:w w:val="100"/>
          <w:position w:val="0"/>
        </w:rPr>
        <w:t>2500</w:t>
      </w:r>
      <w:r>
        <w:rPr>
          <w:color w:val="000000"/>
          <w:spacing w:val="0"/>
          <w:w w:val="100"/>
          <w:position w:val="0"/>
        </w:rPr>
        <w:t>万。</w:t>
      </w:r>
    </w:p>
    <w:p>
      <w:pPr>
        <w:pStyle w:val="Style32"/>
        <w:keepNext w:val="0"/>
        <w:keepLines w:val="0"/>
        <w:widowControl w:val="0"/>
        <w:shd w:val="clear" w:color="auto" w:fill="auto"/>
        <w:bidi w:val="0"/>
        <w:spacing w:before="0" w:line="235" w:lineRule="exact"/>
        <w:ind w:left="0" w:right="0" w:firstLine="380"/>
        <w:jc w:val="left"/>
        <w:sectPr>
          <w:headerReference w:type="default" r:id="rId31"/>
          <w:footerReference w:type="default" r:id="rId32"/>
          <w:footnotePr>
            <w:pos w:val="pageBottom"/>
            <w:numFmt w:val="decimal"/>
            <w:numRestart w:val="continuous"/>
          </w:footnotePr>
          <w:pgSz w:w="16840" w:h="11900" w:orient="landscape"/>
          <w:pgMar w:top="1138" w:right="1412" w:bottom="1354" w:left="1431"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：海口神州数码投资咨询有限公司成立于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日，系由神州数码（中国）有限公司、永华实业开发有限公司、洋浦佳庆实业有限公司共同组建的有限责任公司， 注册资本</w:t>
      </w:r>
      <w:r>
        <w:rPr>
          <w:rFonts w:ascii="Times New Roman" w:eastAsia="Times New Roman" w:hAnsi="Times New Roman" w:cs="Times New Roman"/>
          <w:color w:val="000000"/>
          <w:spacing w:val="0"/>
          <w:w w:val="100"/>
          <w:position w:val="0"/>
        </w:rPr>
        <w:t>10</w:t>
      </w:r>
      <w:r>
        <w:rPr>
          <w:color w:val="000000"/>
          <w:spacing w:val="0"/>
          <w:w w:val="100"/>
          <w:position w:val="0"/>
        </w:rPr>
        <w:t>万元，其中神州数码（中国）有限公司认缴</w:t>
      </w:r>
      <w:r>
        <w:rPr>
          <w:rFonts w:ascii="Times New Roman" w:eastAsia="Times New Roman" w:hAnsi="Times New Roman" w:cs="Times New Roman"/>
          <w:color w:val="000000"/>
          <w:spacing w:val="0"/>
          <w:w w:val="100"/>
          <w:position w:val="0"/>
        </w:rPr>
        <w:t>4</w:t>
      </w:r>
      <w:r>
        <w:rPr>
          <w:color w:val="000000"/>
          <w:spacing w:val="0"/>
          <w:w w:val="100"/>
          <w:position w:val="0"/>
        </w:rPr>
        <w:t>万元，永华实业开发有限公司、洋浦佳庆实业有限公司分别认缴</w:t>
      </w:r>
      <w:r>
        <w:rPr>
          <w:rFonts w:ascii="Times New Roman" w:eastAsia="Times New Roman" w:hAnsi="Times New Roman" w:cs="Times New Roman"/>
          <w:color w:val="000000"/>
          <w:spacing w:val="0"/>
          <w:w w:val="100"/>
          <w:position w:val="0"/>
        </w:rPr>
        <w:t>3</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日，海口神州数码投资咨询有 限公司未开展经营业务，神州数码（中国）有限公司尚未对海口神州数码投资咨询有限公司实际出资。</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月，该公司已注销。</w:t>
      </w:r>
    </w:p>
    <w:p>
      <w:pPr>
        <w:pStyle w:val="Style36"/>
        <w:keepNext/>
        <w:keepLines/>
        <w:widowControl w:val="0"/>
        <w:shd w:val="clear" w:color="auto" w:fill="auto"/>
        <w:bidi w:val="0"/>
        <w:spacing w:before="500" w:after="32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074"/>
      <w:bookmarkEnd w:id="1075"/>
      <w:bookmarkEnd w:id="1077"/>
    </w:p>
    <w:p>
      <w:pPr>
        <w:pStyle w:val="Style36"/>
        <w:keepNext/>
        <w:keepLines/>
        <w:widowControl w:val="0"/>
        <w:shd w:val="clear" w:color="auto" w:fill="auto"/>
        <w:bidi w:val="0"/>
        <w:spacing w:before="0" w:after="320" w:line="240" w:lineRule="auto"/>
        <w:ind w:left="0" w:right="0" w:firstLine="0"/>
        <w:jc w:val="left"/>
      </w:pPr>
      <w:bookmarkStart w:id="1074" w:name="bookmark1074"/>
      <w:bookmarkStart w:id="1075" w:name="bookmark1075"/>
      <w:bookmarkStart w:id="1078" w:name="bookmark1078"/>
      <w:r>
        <w:rPr>
          <w:color w:val="000000"/>
          <w:spacing w:val="0"/>
          <w:w w:val="100"/>
          <w:position w:val="0"/>
        </w:rPr>
        <w:t>采用成本计量模式的投资性房地产</w:t>
      </w:r>
      <w:bookmarkEnd w:id="1074"/>
      <w:bookmarkEnd w:id="1075"/>
      <w:bookmarkEnd w:id="1078"/>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30,706,681.29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30,706,681.29</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188,730,109.61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188,730,109.61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 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188,730,109.61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188,730,109.61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30,706,681.29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30,706,681.29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）处置子公司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30,706,681.29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30,706,681.29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188,730,109.61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188,730,109.61</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17,996,233.42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17,996,233.42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4,472,183.00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4,472,183.00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4,472,183.00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4,472,183.00</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18,239,435.74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18,239,435.74</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）处置子公司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18,239,435.74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18,239,435.74</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4,228,980.68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4,228,980.68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184,501,128.93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184,501,128.93</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12,710,447.87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12,710,447.87</w:t>
            </w:r>
          </w:p>
        </w:tc>
      </w:tr>
    </w:tbl>
    <w:p>
      <w:pPr>
        <w:spacing w:lineRule="exact" w:line="1"/>
        <w:rPr>
          <w:sz w:val="2"/>
          <w:szCs w:val="2"/>
        </w:rPr>
      </w:pPr>
      <w:r>
        <w:br w:type="page"/>
      </w:r>
    </w:p>
    <w:p>
      <w:pPr>
        <w:pStyle w:val="Style36"/>
        <w:keepNext/>
        <w:keepLines/>
        <w:widowControl w:val="0"/>
        <w:shd w:val="clear" w:color="auto" w:fill="auto"/>
        <w:bidi w:val="0"/>
        <w:spacing w:before="0" w:after="320" w:line="240" w:lineRule="auto"/>
        <w:ind w:left="0" w:right="0" w:firstLine="28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079"/>
      <w:bookmarkEnd w:id="1080"/>
      <w:bookmarkEnd w:id="1082"/>
    </w:p>
    <w:p>
      <w:pPr>
        <w:pStyle w:val="Style36"/>
        <w:keepNext/>
        <w:keepLines/>
        <w:widowControl w:val="0"/>
        <w:shd w:val="clear" w:color="auto" w:fill="auto"/>
        <w:bidi w:val="0"/>
        <w:spacing w:before="0" w:after="320" w:line="240" w:lineRule="auto"/>
        <w:ind w:left="0" w:right="0" w:firstLine="280"/>
        <w:jc w:val="left"/>
      </w:pPr>
      <w:bookmarkStart w:id="1079" w:name="bookmark1079"/>
      <w:bookmarkStart w:id="1080" w:name="bookmark1080"/>
      <w:bookmarkStart w:id="1083" w:name="bookmark1083"/>
      <w:r>
        <w:rPr>
          <w:color w:val="000000"/>
          <w:spacing w:val="0"/>
          <w:w w:val="100"/>
          <w:position w:val="0"/>
        </w:rPr>
        <w:t>固定资产情况</w:t>
      </w:r>
      <w:bookmarkEnd w:id="1079"/>
      <w:bookmarkEnd w:id="1080"/>
      <w:bookmarkEnd w:id="10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bl>
      <w:tblPr>
        <w:tblOverlap w:val="never"/>
        <w:jc w:val="center"/>
        <w:tblLayout w:type="fixed"/>
      </w:tblPr>
      <w:tblGrid>
        <w:gridCol w:w="2237"/>
        <w:gridCol w:w="1915"/>
        <w:gridCol w:w="1632"/>
        <w:gridCol w:w="1555"/>
        <w:gridCol w:w="1925"/>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房屋及土地使用权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58,343,597.36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39,657,331.20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5,932,368.85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103,933,297.41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124,788,578.49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120,878,231.47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10,574,699.53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256,241,509.49</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38,678,628.31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1,421,417.79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40,100,046.10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85,986,466.00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120,373,690.40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9,129,873.67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215,490,030.07</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123,484.18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504,541.07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651,433.32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60,486,613.67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39,657,331.20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6,484,406.20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106,628,351.07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1,821,294.56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1,429,874.35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3,251,168.91</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58,665,319.11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39,657,331.20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5,054,531.85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103,377,182.16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122,645,562.18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120,878,231.47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10,022,662.18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253,546,455.83</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30,098,549.31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11,389,638.32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1,698,876.30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43,187,063.93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30,003,071.29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7,860,486.81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4,351,321.63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42,214,879.73</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29,889,554.65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7,812,240.07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4,337,627.91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42,039,422.63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113,516.64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175,457.10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32,137,561.04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11,592,345.12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2,265,529.75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45,995,435.91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613,181.49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572,866.97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1,186,048.46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31,524,379.55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11,592,345.12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1,692,662.78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44,809,387.45</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27,964,059.56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7,657,780.01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3,784,668.18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39,406,507.75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4,954,917.40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4,954,917.40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4,954,917.40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4,954,917.40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4,954,917.40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4,954,917.40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94,681,502.62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113,220,451.46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6,237,994.00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214,139,948.08</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23,290,130.65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28,267,692.88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4,233,492.55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55,791,316.08</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28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084"/>
      <w:bookmarkEnd w:id="1085"/>
      <w:bookmarkEnd w:id="1087"/>
    </w:p>
    <w:p>
      <w:pPr>
        <w:pStyle w:val="Style36"/>
        <w:keepNext/>
        <w:keepLines/>
        <w:widowControl w:val="0"/>
        <w:shd w:val="clear" w:color="auto" w:fill="auto"/>
        <w:bidi w:val="0"/>
        <w:spacing w:before="0" w:after="320" w:line="240" w:lineRule="auto"/>
        <w:ind w:left="0" w:right="0" w:firstLine="280"/>
        <w:jc w:val="left"/>
      </w:pPr>
      <w:bookmarkStart w:id="1084" w:name="bookmark1084"/>
      <w:bookmarkStart w:id="1085" w:name="bookmark1085"/>
      <w:bookmarkStart w:id="1088" w:name="bookmark1088"/>
      <w:r>
        <w:rPr>
          <w:color w:val="000000"/>
          <w:spacing w:val="0"/>
          <w:w w:val="100"/>
          <w:position w:val="0"/>
        </w:rPr>
        <w:t>在建工程情况</w:t>
      </w:r>
      <w:bookmarkEnd w:id="1084"/>
      <w:bookmarkEnd w:id="1085"/>
      <w:bookmarkEnd w:id="1088"/>
    </w:p>
    <w:p>
      <w:pPr>
        <w:pStyle w:val="Style32"/>
        <w:keepNext w:val="0"/>
        <w:keepLines w:val="0"/>
        <w:widowControl w:val="0"/>
        <w:shd w:val="clear" w:color="auto" w:fill="auto"/>
        <w:bidi w:val="0"/>
        <w:spacing w:before="0" w:after="320" w:line="240" w:lineRule="auto"/>
        <w:ind w:left="0" w:right="660" w:firstLine="0"/>
        <w:jc w:val="right"/>
      </w:pPr>
      <w:r>
        <w:rPr>
          <w:color w:val="000000"/>
          <w:spacing w:val="0"/>
          <w:w w:val="100"/>
          <w:position w:val="0"/>
        </w:rPr>
        <w:t>单位:</w:t>
      </w:r>
      <w:r>
        <w:br w:type="page"/>
      </w:r>
    </w:p>
    <w:tbl>
      <w:tblPr>
        <w:tblOverlap w:val="never"/>
        <w:jc w:val="center"/>
        <w:tblLayout w:type="fixed"/>
      </w:tblPr>
      <w:tblGrid>
        <w:gridCol w:w="1373"/>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办公区翻新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69,417.48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69,417.48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69,417.48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40" w:line="240" w:lineRule="auto"/>
        <w:ind w:left="0" w:right="0" w:firstLine="28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089"/>
      <w:bookmarkEnd w:id="1090"/>
      <w:bookmarkEnd w:id="1092"/>
    </w:p>
    <w:p>
      <w:pPr>
        <w:pStyle w:val="Style36"/>
        <w:keepNext/>
        <w:keepLines/>
        <w:widowControl w:val="0"/>
        <w:shd w:val="clear" w:color="auto" w:fill="auto"/>
        <w:bidi w:val="0"/>
        <w:spacing w:before="0" w:after="300" w:line="240" w:lineRule="auto"/>
        <w:ind w:left="0" w:right="0" w:firstLine="280"/>
        <w:jc w:val="left"/>
      </w:pPr>
      <w:bookmarkStart w:id="1089" w:name="bookmark1089"/>
      <w:bookmarkStart w:id="1090" w:name="bookmark1090"/>
      <w:bookmarkStart w:id="1093" w:name="bookmark1093"/>
      <w:r>
        <w:rPr>
          <w:color w:val="000000"/>
          <w:spacing w:val="0"/>
          <w:w w:val="100"/>
          <w:position w:val="0"/>
        </w:rPr>
        <w:t>无形资产情况</w:t>
      </w:r>
      <w:bookmarkEnd w:id="1089"/>
      <w:bookmarkEnd w:id="1090"/>
      <w:bookmarkEnd w:id="10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61"/>
        <w:gridCol w:w="1066"/>
        <w:gridCol w:w="1061"/>
        <w:gridCol w:w="1104"/>
        <w:gridCol w:w="1061"/>
        <w:gridCol w:w="1205"/>
        <w:gridCol w:w="1138"/>
        <w:gridCol w:w="1214"/>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高频数字无 绳电话技术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right"/>
            </w:pPr>
            <w:r>
              <w:rPr>
                <w:color w:val="000000"/>
                <w:spacing w:val="0"/>
                <w:w w:val="100"/>
                <w:position w:val="0"/>
              </w:rPr>
              <w:t>泰丰</w:t>
            </w:r>
            <w:r>
              <w:rPr>
                <w:rFonts w:ascii="Times New Roman" w:eastAsia="Times New Roman" w:hAnsi="Times New Roman" w:cs="Times New Roman"/>
                <w:color w:val="000000"/>
                <w:spacing w:val="0"/>
                <w:w w:val="100"/>
                <w:position w:val="0"/>
              </w:rPr>
              <w:t>888</w:t>
            </w:r>
            <w:r>
              <w:rPr>
                <w:color w:val="000000"/>
                <w:spacing w:val="0"/>
                <w:w w:val="100"/>
                <w:position w:val="0"/>
              </w:rPr>
              <w:t>商 标权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商标、软件 著作权、专</w:t>
            </w:r>
          </w:p>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利、域名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4,544,566.00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37,181,066.00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4,333,586.32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405,660.37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56,739,246.69</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405,660.37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405,660.37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4,333,586.32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56,333,586.32</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4,544,566.00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37,181,066.00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4,544,566.00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37,181,066.00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4,333,586.32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405,660.37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56,739,246.69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369,246.07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196,350.00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75,353.01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18,230,949.08</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37,871.40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216,679.32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18,159.66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3,899,999.98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4,190,560.36</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37,871.40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216,679.32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18,159.66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3,899,999.98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4,190,560.36</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407,117.47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214,200.00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86,751.65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18,298,069.12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 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407,117.47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214,200.00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86,751.65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18,298,069.12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216,679.32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3,899,999.98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4,123,440.32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14,410,000.00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1061"/>
        <w:gridCol w:w="1066"/>
        <w:gridCol w:w="1061"/>
        <w:gridCol w:w="1104"/>
        <w:gridCol w:w="1061"/>
        <w:gridCol w:w="1205"/>
        <w:gridCol w:w="1138"/>
        <w:gridCol w:w="1214"/>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高频数字无 绳电话技术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泰丰</w:t>
            </w:r>
            <w:r>
              <w:rPr>
                <w:rFonts w:ascii="Times New Roman" w:eastAsia="Times New Roman" w:hAnsi="Times New Roman" w:cs="Times New Roman"/>
                <w:color w:val="000000"/>
                <w:spacing w:val="0"/>
                <w:w w:val="100"/>
                <w:position w:val="0"/>
              </w:rPr>
              <w:t>888</w:t>
            </w:r>
            <w:r>
              <w:rPr>
                <w:color w:val="000000"/>
                <w:spacing w:val="0"/>
                <w:w w:val="100"/>
                <w:position w:val="0"/>
              </w:rPr>
              <w:t>商 标权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商标、软件 著作权、专</w:t>
            </w:r>
          </w:p>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利、域名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14,410,000.00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14,410,000.00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4,116,907.00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398,899.35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48,100,000.02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52,615,806.37</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4,175,319.93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4,540,116.92</w:t>
            </w:r>
          </w:p>
        </w:tc>
      </w:tr>
    </w:tbl>
    <w:p>
      <w:pPr>
        <w:pStyle w:val="Style30"/>
        <w:keepNext w:val="0"/>
        <w:keepLines w:val="0"/>
        <w:widowControl w:val="0"/>
        <w:shd w:val="clear" w:color="auto" w:fill="auto"/>
        <w:bidi w:val="0"/>
        <w:spacing w:before="0" w:after="0" w:line="240" w:lineRule="auto"/>
        <w:ind w:left="269"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094"/>
      <w:bookmarkEnd w:id="1095"/>
      <w:bookmarkEnd w:id="1096"/>
    </w:p>
    <w:p>
      <w:pPr>
        <w:pStyle w:val="Style36"/>
        <w:keepNext/>
        <w:keepLines/>
        <w:widowControl w:val="0"/>
        <w:shd w:val="clear" w:color="auto" w:fill="auto"/>
        <w:bidi w:val="0"/>
        <w:spacing w:before="0" w:after="300" w:line="240" w:lineRule="auto"/>
        <w:ind w:left="0" w:right="0" w:firstLine="260"/>
        <w:jc w:val="left"/>
      </w:pPr>
      <w:bookmarkStart w:id="1094" w:name="bookmark1094"/>
      <w:bookmarkStart w:id="1095" w:name="bookmark1095"/>
      <w:bookmarkStart w:id="1097" w:name="bookmark1097"/>
      <w:r>
        <w:rPr>
          <w:color w:val="000000"/>
          <w:spacing w:val="0"/>
          <w:w w:val="100"/>
          <w:position w:val="0"/>
        </w:rPr>
        <w:t>商誉账面原值</w:t>
      </w:r>
      <w:bookmarkEnd w:id="1094"/>
      <w:bookmarkEnd w:id="1095"/>
      <w:bookmarkEnd w:id="10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79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被投资单位名称 或形成商誉的事 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收购神州控股下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分销业务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611,728,930.98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611,728,930.98</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611,728,930.98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611,728,930.98</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bookmarkEnd w:id="110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098"/>
      <w:bookmarkEnd w:id="1099"/>
      <w:bookmarkEnd w:id="11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1,417,010.89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11,105,837.64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3,022,358.44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1,317,898.71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8,182,591.38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3,333,051.29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872,638.13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293,307.98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2,167,105.18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919,162.46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897,493.85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2,336,173.35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14,438,888.93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3,916,665.18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2,508,700.54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10,349,696.56</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注：本年其他减少主要为处置子公司减少的长期待摊费用。</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2"/>
      <w:bookmarkEnd w:id="1103"/>
      <w:bookmarkEnd w:id="1105"/>
    </w:p>
    <w:p>
      <w:pPr>
        <w:pStyle w:val="Style36"/>
        <w:keepNext/>
        <w:keepLines/>
        <w:widowControl w:val="0"/>
        <w:shd w:val="clear" w:color="auto" w:fill="auto"/>
        <w:bidi w:val="0"/>
        <w:spacing w:before="0" w:after="300" w:line="240" w:lineRule="auto"/>
        <w:ind w:left="0" w:right="0" w:firstLine="260"/>
        <w:jc w:val="left"/>
      </w:pPr>
      <w:bookmarkStart w:id="1102" w:name="bookmark1102"/>
      <w:bookmarkStart w:id="1103" w:name="bookmark1103"/>
      <w:bookmarkStart w:id="1106" w:name="bookmark11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02"/>
      <w:bookmarkEnd w:id="1103"/>
      <w:bookmarkEnd w:id="11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426,378,068.14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104,784,286.64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27,697,401.30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6,924,350.33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预提销售折扣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568,544,729.14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141,271,348.24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1,064,420,198.58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263,429,985.21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1060" w:line="240" w:lineRule="auto"/>
        <w:ind w:left="0" w:right="0" w:firstLine="400"/>
        <w:jc w:val="left"/>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07"/>
      <w:bookmarkEnd w:id="1108"/>
      <w:bookmarkEnd w:id="11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预计应收采购折扣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228,974,925.94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57,243,731.49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194,718,383.40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48,679,595.86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预扣税金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190,781,411.99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47,695,353.00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141,692,346.00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35,423,086.50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756,167,067.33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189,041,766.85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31"/>
        </w:numPr>
        <w:shd w:val="clear" w:color="auto" w:fill="auto"/>
        <w:bidi w:val="0"/>
        <w:spacing w:before="0" w:after="300" w:line="240" w:lineRule="auto"/>
        <w:ind w:left="0" w:right="0" w:firstLine="40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以抵销后净额列示的递延所得税资产或负债</w:t>
      </w:r>
      <w:bookmarkEnd w:id="1110"/>
      <w:bookmarkEnd w:id="1111"/>
      <w:bookmarkEnd w:id="11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抵销后递延所得税资产 或负债期初余额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57,243,731.49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206,186,253.72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57,243,731.49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131,798,035.36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31"/>
        </w:numPr>
        <w:shd w:val="clear" w:color="auto" w:fill="auto"/>
        <w:bidi w:val="0"/>
        <w:spacing w:before="0" w:after="300" w:line="240" w:lineRule="auto"/>
        <w:ind w:left="0" w:right="0" w:firstLine="40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未确认递延所得税资产明细</w:t>
      </w:r>
      <w:bookmarkEnd w:id="1114"/>
      <w:bookmarkEnd w:id="1115"/>
      <w:bookmarkEnd w:id="11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281,584,237.82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3,782,138.63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164,056,671.78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51,180,869.75</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445,640,909.60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54,963,008.38</w:t>
            </w:r>
          </w:p>
        </w:tc>
      </w:tr>
    </w:tbl>
    <w:p>
      <w:pPr>
        <w:widowControl w:val="0"/>
        <w:spacing w:after="299" w:line="1" w:lineRule="exact"/>
      </w:pPr>
    </w:p>
    <w:p>
      <w:pPr>
        <w:pStyle w:val="Style36"/>
        <w:keepNext/>
        <w:keepLines/>
        <w:widowControl w:val="0"/>
        <w:numPr>
          <w:ilvl w:val="0"/>
          <w:numId w:val="31"/>
        </w:numPr>
        <w:shd w:val="clear" w:color="auto" w:fill="auto"/>
        <w:bidi w:val="0"/>
        <w:spacing w:before="0" w:after="300" w:line="240" w:lineRule="auto"/>
        <w:ind w:left="0" w:right="0" w:firstLine="40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未确认递延所得税资产的可抵扣亏损将于以下年度到期</w:t>
      </w:r>
      <w:bookmarkEnd w:id="1118"/>
      <w:bookmarkEnd w:id="1119"/>
      <w:bookmarkEnd w:id="11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6,054,555.42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191,848.48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6,496,161.34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5,208,130.52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20,279,211.95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3,503,861.07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13,319,247.46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3"/>
          <w:footerReference w:type="default" r:id="rId34"/>
          <w:footnotePr>
            <w:pos w:val="pageBottom"/>
            <w:numFmt w:val="decimal"/>
            <w:numRestart w:val="continuous"/>
          </w:footnotePr>
          <w:pgSz w:w="11900" w:h="16840"/>
          <w:pgMar w:top="1398" w:right="709" w:bottom="1512" w:left="861" w:header="0" w:footer="3" w:gutter="0"/>
          <w:cols w:space="720"/>
          <w:noEndnote/>
          <w:rtlGutter w:val="0"/>
          <w:docGrid w:linePitch="360"/>
        </w:sectPr>
      </w:pPr>
    </w:p>
    <w:tbl>
      <w:tblPr>
        <w:tblOverlap w:val="never"/>
        <w:jc w:val="center"/>
        <w:tblLayout w:type="fixed"/>
      </w:tblPr>
      <w:tblGrid>
        <w:gridCol w:w="2390"/>
        <w:gridCol w:w="2395"/>
        <w:gridCol w:w="2395"/>
        <w:gridCol w:w="240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15,174,107.50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5,031,693.58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139,978,724.21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164,056,671.78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51,180,869.75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：政府补贴为广州市萝岗开发区财政国库</w:t>
      </w:r>
      <w:r>
        <w:rPr>
          <w:rFonts w:ascii="Times New Roman" w:eastAsia="Times New Roman" w:hAnsi="Times New Roman" w:cs="Times New Roman"/>
          <w:color w:val="000000"/>
          <w:spacing w:val="0"/>
          <w:w w:val="100"/>
          <w:position w:val="0"/>
        </w:rPr>
        <w:t>-</w:t>
      </w:r>
      <w:r>
        <w:rPr>
          <w:color w:val="000000"/>
          <w:spacing w:val="0"/>
          <w:w w:val="100"/>
          <w:position w:val="0"/>
        </w:rPr>
        <w:t>华南地区总部项目补贴收入确认的递延收益对应确认的递延所得税资产。</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122"/>
      <w:bookmarkEnd w:id="1123"/>
      <w:bookmarkEnd w:id="11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深圳饲料厂固定资产及土地使用权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8,783,666.91</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8,783,666.91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126"/>
      <w:bookmarkEnd w:id="1127"/>
      <w:bookmarkEnd w:id="1129"/>
    </w:p>
    <w:p>
      <w:pPr>
        <w:pStyle w:val="Style36"/>
        <w:keepNext/>
        <w:keepLines/>
        <w:widowControl w:val="0"/>
        <w:shd w:val="clear" w:color="auto" w:fill="auto"/>
        <w:bidi w:val="0"/>
        <w:spacing w:before="0" w:after="300" w:line="240" w:lineRule="auto"/>
        <w:ind w:left="0" w:right="0" w:firstLine="260"/>
        <w:jc w:val="left"/>
      </w:pPr>
      <w:bookmarkStart w:id="1126" w:name="bookmark1126"/>
      <w:bookmarkStart w:id="1127" w:name="bookmark1127"/>
      <w:bookmarkStart w:id="1130" w:name="bookmark11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26"/>
      <w:bookmarkEnd w:id="1127"/>
      <w:bookmarkEnd w:id="113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4,370,926,586.94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4,370,926,586.94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131"/>
      <w:bookmarkEnd w:id="1132"/>
      <w:bookmarkEnd w:id="11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157,159,544.83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2,272,104,728.70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2,429,264,273.53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135"/>
      <w:bookmarkEnd w:id="1136"/>
      <w:bookmarkEnd w:id="1138"/>
    </w:p>
    <w:p>
      <w:pPr>
        <w:pStyle w:val="Style36"/>
        <w:keepNext/>
        <w:keepLines/>
        <w:widowControl w:val="0"/>
        <w:shd w:val="clear" w:color="auto" w:fill="auto"/>
        <w:bidi w:val="0"/>
        <w:spacing w:before="0" w:after="300" w:line="240" w:lineRule="auto"/>
        <w:ind w:left="0" w:right="0" w:firstLine="260"/>
        <w:jc w:val="left"/>
      </w:pPr>
      <w:bookmarkStart w:id="1135" w:name="bookmark1135"/>
      <w:bookmarkStart w:id="1136" w:name="bookmark1136"/>
      <w:bookmarkStart w:id="1139" w:name="bookmark11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35"/>
      <w:bookmarkEnd w:id="1136"/>
      <w:bookmarkEnd w:id="11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3,770,597,215.81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30,225,580.20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3,770,597,215.81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30,225,580.20</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40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40"/>
      <w:bookmarkEnd w:id="1141"/>
      <w:bookmarkEnd w:id="1142"/>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55,252,828.75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17,902,686.84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73,155,515.59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143"/>
      <w:bookmarkEnd w:id="1144"/>
      <w:bookmarkEnd w:id="1146"/>
    </w:p>
    <w:p>
      <w:pPr>
        <w:pStyle w:val="Style36"/>
        <w:keepNext/>
        <w:keepLines/>
        <w:widowControl w:val="0"/>
        <w:shd w:val="clear" w:color="auto" w:fill="auto"/>
        <w:bidi w:val="0"/>
        <w:spacing w:before="0" w:after="300" w:line="240" w:lineRule="auto"/>
        <w:ind w:left="0" w:right="0" w:firstLine="260"/>
        <w:jc w:val="both"/>
      </w:pPr>
      <w:bookmarkStart w:id="1143" w:name="bookmark1143"/>
      <w:bookmarkStart w:id="1144" w:name="bookmark1144"/>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43"/>
      <w:bookmarkEnd w:id="1144"/>
      <w:bookmarkEnd w:id="11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942,515,953.31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193,391,843.67</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942,515,953.31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193,391,843.67</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148"/>
      <w:bookmarkEnd w:id="1149"/>
      <w:bookmarkEnd w:id="1151"/>
    </w:p>
    <w:p>
      <w:pPr>
        <w:pStyle w:val="Style36"/>
        <w:keepNext/>
        <w:keepLines/>
        <w:widowControl w:val="0"/>
        <w:shd w:val="clear" w:color="auto" w:fill="auto"/>
        <w:bidi w:val="0"/>
        <w:spacing w:before="0" w:after="300" w:line="240" w:lineRule="auto"/>
        <w:ind w:left="0" w:right="0" w:firstLine="260"/>
        <w:jc w:val="both"/>
      </w:pPr>
      <w:bookmarkStart w:id="1148" w:name="bookmark1148"/>
      <w:bookmarkStart w:id="1149" w:name="bookmark1149"/>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48"/>
      <w:bookmarkEnd w:id="1149"/>
      <w:bookmarkEnd w:id="11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7,331,856.12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927,424,214.67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586,282,499.92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348,473,570.87</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57,419,302.30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53,025,889.92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4,393,412.38</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7,057,447.00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7,057,447.00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7,331,856.12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991,900,963.97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646,365,836.84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352,866,983.25</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40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53"/>
      <w:bookmarkEnd w:id="1154"/>
      <w:bookmarkEnd w:id="11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5,661,898.34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839,039,699.69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499,381,145.08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345,320,452.95</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13,371,029.37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13,371,029.37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31,073,831.19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28,003,249.01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3,070,582.18</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28,176,613.77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25,258,792.01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2,917,821.76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810,315.34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788,329.32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21,986.02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2,086,902.08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1,956,127.68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130,774.40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113,459.15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34,254,218.21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34,571,408.78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-203,731.42</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1,556,498.63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9,685,436.21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10,955,667.68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286,267.16</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7,331,856.12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927,424,214.67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586,282,499.92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348,473,570.87</w:t>
            </w:r>
          </w:p>
        </w:tc>
      </w:tr>
    </w:tbl>
    <w:p>
      <w:pPr>
        <w:widowControl w:val="0"/>
        <w:spacing w:after="299" w:line="1" w:lineRule="exact"/>
      </w:pPr>
    </w:p>
    <w:p>
      <w:pPr>
        <w:pStyle w:val="Style36"/>
        <w:keepNext/>
        <w:keepLines/>
        <w:widowControl w:val="0"/>
        <w:numPr>
          <w:ilvl w:val="0"/>
          <w:numId w:val="33"/>
        </w:numPr>
        <w:shd w:val="clear" w:color="auto" w:fill="auto"/>
        <w:bidi w:val="0"/>
        <w:spacing w:before="0" w:after="300" w:line="240" w:lineRule="auto"/>
        <w:ind w:left="0" w:right="0" w:firstLine="40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设定提存计划列示</w:t>
      </w:r>
      <w:bookmarkEnd w:id="1156"/>
      <w:bookmarkEnd w:id="1157"/>
      <w:bookmarkEnd w:id="1159"/>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54,990,519.62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50,757,215.04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4,233,304.58</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2,428,782.68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2,268,674.88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160,107.80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57,419,302.30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53,025,889.92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4,393,412.38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bookmarkEnd w:id="1162"/>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160"/>
      <w:bookmarkEnd w:id="1161"/>
      <w:bookmarkEnd w:id="11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106,544,256.54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1,676,920.13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149,961,615.09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2,253,997.64</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5,377,337.67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252,404.47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7,518,364.95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278,017.50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2,191,426.94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3,222,156.41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121,041.15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2,198,326.71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80,694.10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11,936,874.56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88,560.40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29,123.50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211,078.32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286,970,010.25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7,013,386.03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8</w:t>
      </w:r>
      <w:r>
        <w:rPr>
          <w:color w:val="000000"/>
          <w:spacing w:val="0"/>
          <w:w w:val="100"/>
          <w:position w:val="0"/>
        </w:rPr>
        <w:t>、应付利息</w:t>
      </w:r>
      <w:bookmarkEnd w:id="1164"/>
      <w:bookmarkEnd w:id="1165"/>
      <w:bookmarkEnd w:id="11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2,388,194.44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3,784.27</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6,095,995.85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8,484,190.29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3,784.27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6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168"/>
      <w:bookmarkEnd w:id="1169"/>
      <w:bookmarkEnd w:id="1171"/>
    </w:p>
    <w:p>
      <w:pPr>
        <w:pStyle w:val="Style36"/>
        <w:keepNext/>
        <w:keepLines/>
        <w:widowControl w:val="0"/>
        <w:shd w:val="clear" w:color="auto" w:fill="auto"/>
        <w:bidi w:val="0"/>
        <w:spacing w:before="0" w:after="300" w:line="240" w:lineRule="auto"/>
        <w:ind w:left="0" w:right="0" w:firstLine="260"/>
        <w:jc w:val="left"/>
      </w:pPr>
      <w:bookmarkStart w:id="1168" w:name="bookmark1168"/>
      <w:bookmarkStart w:id="1169" w:name="bookmark1169"/>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68"/>
      <w:bookmarkEnd w:id="1169"/>
      <w:bookmarkEnd w:id="11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rPr>
              <w:t>/</w:t>
            </w: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4,820,774.87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待支付的合同款项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53,705,554.18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待支付的渠道推广费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54,468,027.85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待支付员工报销款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12,256,823.74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待支付中介机构款项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18,502,769.40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6,636,850.00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22,658,651.12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50,186,805.00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12,703,932.11</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216,599,406.16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19,340,782.11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140"/>
        <w:jc w:val="left"/>
      </w:pPr>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73"/>
      <w:bookmarkEnd w:id="1174"/>
      <w:bookmarkEnd w:id="1175"/>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0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176"/>
      <w:bookmarkEnd w:id="1177"/>
      <w:bookmarkEnd w:id="1179"/>
    </w:p>
    <w:p>
      <w:pPr>
        <w:pStyle w:val="Style30"/>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2,033,503.71</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2,033,503.71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3</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180"/>
      <w:bookmarkEnd w:id="1181"/>
      <w:bookmarkEnd w:id="1183"/>
    </w:p>
    <w:p>
      <w:pPr>
        <w:pStyle w:val="Style30"/>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预收停车场收入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1,522,094.05</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33,473,705.67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33,473,705.67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1,522,094.05</w:t>
            </w:r>
          </w:p>
        </w:tc>
      </w:tr>
    </w:tbl>
    <w:p>
      <w:pPr>
        <w:widowControl w:val="0"/>
        <w:spacing w:after="45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政府补贴的增减变动:</w:t>
      </w:r>
    </w:p>
    <w:tbl>
      <w:tblPr>
        <w:tblOverlap w:val="never"/>
        <w:jc w:val="center"/>
        <w:tblLayout w:type="fixed"/>
      </w:tblPr>
      <w:tblGrid>
        <w:gridCol w:w="1416"/>
        <w:gridCol w:w="634"/>
        <w:gridCol w:w="1354"/>
        <w:gridCol w:w="1272"/>
        <w:gridCol w:w="1277"/>
        <w:gridCol w:w="1277"/>
        <w:gridCol w:w="1349"/>
        <w:gridCol w:w="1426"/>
      </w:tblGrid>
      <w:tr>
        <w:trPr>
          <w:trHeight w:val="110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期初 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本期合并增 加补贴金额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新增补贴金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220" w:right="0" w:firstLine="20"/>
              <w:jc w:val="left"/>
            </w:pPr>
            <w:r>
              <w:rPr>
                <w:color w:val="000000"/>
                <w:spacing w:val="0"/>
                <w:w w:val="100"/>
                <w:position w:val="0"/>
              </w:rPr>
              <w:t>计入营业外 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与资产相关/ 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200"/>
              <w:jc w:val="left"/>
            </w:pPr>
            <w:r>
              <w:rPr>
                <w:color w:val="000000"/>
                <w:spacing w:val="0"/>
                <w:w w:val="100"/>
                <w:position w:val="0"/>
              </w:rPr>
              <w:t>广州市萝岗开 发区财政国库</w:t>
            </w:r>
            <w:r>
              <w:rPr>
                <w:color w:val="000000"/>
                <w:spacing w:val="0"/>
                <w:w w:val="100"/>
                <w:position w:val="0"/>
              </w:rPr>
              <w:t xml:space="preserve">- </w:t>
            </w:r>
            <w:r>
              <w:rPr>
                <w:color w:val="000000"/>
                <w:spacing w:val="0"/>
                <w:w w:val="100"/>
                <w:position w:val="0"/>
              </w:rPr>
              <w:t>华南地区总部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200"/>
              <w:jc w:val="left"/>
            </w:pPr>
            <w:r>
              <w:rPr>
                <w:color w:val="000000"/>
                <w:spacing w:val="0"/>
                <w:w w:val="100"/>
                <w:position w:val="0"/>
              </w:rPr>
              <w:t>下一代</w:t>
            </w:r>
            <w:r>
              <w:rPr>
                <w:color w:val="000000"/>
                <w:spacing w:val="0"/>
                <w:w w:val="100"/>
                <w:position w:val="0"/>
                <w:sz w:val="17"/>
                <w:szCs w:val="17"/>
              </w:rPr>
              <w:t>SDN</w:t>
            </w:r>
            <w:r>
              <w:rPr>
                <w:color w:val="000000"/>
                <w:spacing w:val="0"/>
                <w:w w:val="100"/>
                <w:position w:val="0"/>
              </w:rPr>
              <w:t>高 性能路由交换 设备研制及产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9,928,890.00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10,071,110.00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3,253,055.12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16,746,944.88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200"/>
              <w:jc w:val="left"/>
            </w:pPr>
            <w:r>
              <w:rPr>
                <w:color w:val="000000"/>
                <w:spacing w:val="0"/>
                <w:w w:val="100"/>
                <w:position w:val="0"/>
              </w:rPr>
              <w:t>广州市商务委 员会</w:t>
            </w:r>
            <w:r>
              <w:rPr>
                <w:color w:val="000000"/>
                <w:spacing w:val="0"/>
                <w:w w:val="100"/>
                <w:position w:val="0"/>
                <w:sz w:val="17"/>
                <w:szCs w:val="17"/>
              </w:rPr>
              <w:t>2015</w:t>
            </w:r>
            <w:r>
              <w:rPr>
                <w:color w:val="000000"/>
                <w:spacing w:val="0"/>
                <w:w w:val="100"/>
                <w:position w:val="0"/>
              </w:rPr>
              <w:t>年总 部企业落户奖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5,906,800.00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5,906,800.00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200"/>
              <w:jc w:val="left"/>
            </w:pPr>
            <w:r>
              <w:rPr>
                <w:color w:val="000000"/>
                <w:spacing w:val="0"/>
                <w:w w:val="100"/>
                <w:position w:val="0"/>
              </w:rPr>
              <w:t>神州数码城市 公共安全多维 数据融合智能 云平台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bl>
    <w:p>
      <w:pPr>
        <w:sectPr>
          <w:headerReference w:type="default" r:id="rId35"/>
          <w:footerReference w:type="default" r:id="rId36"/>
          <w:headerReference w:type="first" r:id="rId37"/>
          <w:footerReference w:type="first" r:id="rId38"/>
          <w:footnotePr>
            <w:pos w:val="pageBottom"/>
            <w:numFmt w:val="decimal"/>
            <w:numRestart w:val="continuous"/>
          </w:footnotePr>
          <w:pgSz w:w="11900" w:h="16840"/>
          <w:pgMar w:top="1398" w:right="709" w:bottom="1512" w:left="861" w:header="0" w:footer="3" w:gutter="0"/>
          <w:cols w:space="720"/>
          <w:noEndnote/>
          <w:titlePg/>
          <w:rtlGutter w:val="0"/>
          <w:docGrid w:linePitch="360"/>
        </w:sectPr>
      </w:pPr>
    </w:p>
    <w:tbl>
      <w:tblPr>
        <w:tblOverlap w:val="never"/>
        <w:jc w:val="center"/>
        <w:tblLayout w:type="fixed"/>
      </w:tblPr>
      <w:tblGrid>
        <w:gridCol w:w="1416"/>
        <w:gridCol w:w="634"/>
        <w:gridCol w:w="1354"/>
        <w:gridCol w:w="1272"/>
        <w:gridCol w:w="1277"/>
        <w:gridCol w:w="1277"/>
        <w:gridCol w:w="1349"/>
        <w:gridCol w:w="1426"/>
      </w:tblGrid>
      <w:tr>
        <w:trPr>
          <w:trHeight w:val="110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期初 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本期合并增 加补贴金额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新增补贴金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220" w:right="0" w:firstLine="20"/>
              <w:jc w:val="left"/>
            </w:pPr>
            <w:r>
              <w:rPr>
                <w:color w:val="000000"/>
                <w:spacing w:val="0"/>
                <w:w w:val="100"/>
                <w:position w:val="0"/>
              </w:rPr>
              <w:t>计入营业外 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与资产相关/ 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200"/>
              <w:jc w:val="left"/>
            </w:pPr>
            <w:r>
              <w:rPr>
                <w:color w:val="000000"/>
                <w:spacing w:val="0"/>
                <w:w w:val="100"/>
                <w:position w:val="0"/>
              </w:rPr>
              <w:t>广州市商务委 员会</w:t>
            </w:r>
            <w:r>
              <w:rPr>
                <w:color w:val="000000"/>
                <w:spacing w:val="0"/>
                <w:w w:val="100"/>
                <w:position w:val="0"/>
                <w:sz w:val="17"/>
                <w:szCs w:val="17"/>
              </w:rPr>
              <w:t>2013</w:t>
            </w:r>
            <w:r>
              <w:rPr>
                <w:color w:val="000000"/>
                <w:spacing w:val="0"/>
                <w:w w:val="100"/>
                <w:position w:val="0"/>
              </w:rPr>
              <w:t>年总 部企业落户奖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200"/>
              <w:jc w:val="left"/>
            </w:pPr>
            <w:r>
              <w:rPr>
                <w:color w:val="000000"/>
                <w:spacing w:val="0"/>
                <w:w w:val="100"/>
                <w:position w:val="0"/>
              </w:rPr>
              <w:t>上海市长宁财 政局奖励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5,860,000.00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5,860,000.00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200"/>
              <w:jc w:val="left"/>
            </w:pPr>
            <w:r>
              <w:rPr>
                <w:color w:val="000000"/>
                <w:spacing w:val="0"/>
                <w:w w:val="100"/>
                <w:position w:val="0"/>
              </w:rPr>
              <w:t>国家产业技术 研究开发资金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200"/>
              <w:jc w:val="left"/>
            </w:pPr>
            <w:r>
              <w:rPr>
                <w:color w:val="000000"/>
                <w:spacing w:val="0"/>
                <w:w w:val="100"/>
                <w:position w:val="0"/>
              </w:rPr>
              <w:t>北京市海淀区 财政局奖励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50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3,838,119.05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1,427,454.58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2,410,664.47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50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10,584,355.07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3,679,970.00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2,936,288.75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4,716,096.32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514" w:hRule="exact"/>
        </w:trPr>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总计</w:t>
            </w:r>
          </w:p>
        </w:tc>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42,320,045.07</w:t>
            </w:r>
          </w:p>
        </w:tc>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31,117,229.05</w:t>
            </w:r>
          </w:p>
        </w:tc>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37,027,279.70</w:t>
            </w:r>
          </w:p>
        </w:tc>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2,936,288.75</w:t>
            </w:r>
          </w:p>
        </w:tc>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33,473,705.67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519" w:line="1" w:lineRule="exact"/>
      </w:pPr>
    </w:p>
    <w:p>
      <w:pPr>
        <w:pStyle w:val="Style36"/>
        <w:keepNext/>
        <w:keepLines/>
        <w:widowControl w:val="0"/>
        <w:shd w:val="clear" w:color="auto" w:fill="auto"/>
        <w:bidi w:val="0"/>
        <w:spacing w:before="0" w:after="32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184"/>
      <w:bookmarkEnd w:id="1185"/>
      <w:bookmarkEnd w:id="1187"/>
    </w:p>
    <w:p>
      <w:pPr>
        <w:pStyle w:val="Style36"/>
        <w:keepNext/>
        <w:keepLines/>
        <w:widowControl w:val="0"/>
        <w:shd w:val="clear" w:color="auto" w:fill="auto"/>
        <w:bidi w:val="0"/>
        <w:spacing w:before="0" w:after="320" w:line="240" w:lineRule="auto"/>
        <w:ind w:left="0" w:right="0" w:firstLine="0"/>
        <w:jc w:val="left"/>
      </w:pPr>
      <w:bookmarkStart w:id="1184" w:name="bookmark1184"/>
      <w:bookmarkStart w:id="1185" w:name="bookmark1185"/>
      <w:bookmarkStart w:id="1188" w:name="bookmark1188"/>
      <w:r>
        <w:rPr>
          <w:color w:val="000000"/>
          <w:spacing w:val="0"/>
          <w:w w:val="100"/>
          <w:position w:val="0"/>
        </w:rPr>
        <w:t>长期借款分类</w:t>
      </w:r>
      <w:bookmarkEnd w:id="1184"/>
      <w:bookmarkEnd w:id="1185"/>
      <w:bookmarkEnd w:id="11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widowControl w:val="0"/>
        <w:spacing w:after="99" w:line="1" w:lineRule="exact"/>
      </w:pPr>
    </w:p>
    <w:p>
      <w:pPr>
        <w:pStyle w:val="Style32"/>
        <w:keepNext w:val="0"/>
        <w:keepLines w:val="0"/>
        <w:widowControl w:val="0"/>
        <w:shd w:val="clear" w:color="auto" w:fill="auto"/>
        <w:bidi w:val="0"/>
        <w:spacing w:before="0" w:after="100" w:line="238" w:lineRule="exact"/>
        <w:ind w:left="0" w:right="0" w:firstLine="460"/>
        <w:jc w:val="left"/>
      </w:pPr>
      <w:r>
        <w:rPr>
          <w:color w:val="000000"/>
          <w:spacing w:val="0"/>
          <w:w w:val="100"/>
          <w:position w:val="0"/>
        </w:rPr>
        <w:t>本公司年末长期借款利率为</w:t>
      </w:r>
      <w:r>
        <w:rPr>
          <w:rFonts w:ascii="Times New Roman" w:eastAsia="Times New Roman" w:hAnsi="Times New Roman" w:cs="Times New Roman"/>
          <w:color w:val="000000"/>
          <w:spacing w:val="0"/>
          <w:w w:val="100"/>
          <w:position w:val="0"/>
        </w:rPr>
        <w:t>4.75%</w:t>
      </w:r>
      <w:r>
        <w:rPr>
          <w:color w:val="000000"/>
          <w:spacing w:val="0"/>
          <w:w w:val="100"/>
          <w:position w:val="0"/>
        </w:rPr>
        <w:t>，为本公司为购买神州控股下属</w:t>
      </w:r>
      <w:r>
        <w:rPr>
          <w:color w:val="000000"/>
          <w:spacing w:val="0"/>
          <w:w w:val="100"/>
          <w:position w:val="0"/>
          <w:sz w:val="17"/>
          <w:szCs w:val="17"/>
        </w:rPr>
        <w:t>IT</w:t>
      </w:r>
      <w:r>
        <w:rPr>
          <w:color w:val="000000"/>
          <w:spacing w:val="0"/>
          <w:w w:val="100"/>
          <w:position w:val="0"/>
        </w:rPr>
        <w:t>分销业务该排名高手自北京银行股份有限公司中 关村科技园支行借入的</w:t>
      </w:r>
      <w:r>
        <w:rPr>
          <w:rFonts w:ascii="Times New Roman" w:eastAsia="Times New Roman" w:hAnsi="Times New Roman" w:cs="Times New Roman"/>
          <w:color w:val="000000"/>
          <w:spacing w:val="0"/>
          <w:w w:val="100"/>
          <w:position w:val="0"/>
        </w:rPr>
        <w:t>5</w:t>
      </w:r>
      <w:r>
        <w:rPr>
          <w:color w:val="000000"/>
          <w:spacing w:val="0"/>
          <w:w w:val="100"/>
          <w:position w:val="0"/>
        </w:rPr>
        <w:t>年期长期借款，本公司以持有的神州控股下属</w:t>
      </w:r>
      <w:r>
        <w:rPr>
          <w:color w:val="000000"/>
          <w:spacing w:val="0"/>
          <w:w w:val="100"/>
          <w:position w:val="0"/>
          <w:sz w:val="17"/>
          <w:szCs w:val="17"/>
        </w:rPr>
        <w:t>IT</w:t>
      </w:r>
      <w:r>
        <w:rPr>
          <w:color w:val="000000"/>
          <w:spacing w:val="0"/>
          <w:w w:val="100"/>
          <w:position w:val="0"/>
        </w:rPr>
        <w:t>分销业务公司</w:t>
      </w:r>
      <w:r>
        <w:rPr>
          <w:rFonts w:ascii="Times New Roman" w:eastAsia="Times New Roman" w:hAnsi="Times New Roman" w:cs="Times New Roman"/>
          <w:color w:val="000000"/>
          <w:spacing w:val="0"/>
          <w:w w:val="100"/>
          <w:position w:val="0"/>
        </w:rPr>
        <w:t>100%</w:t>
      </w:r>
      <w:r>
        <w:rPr>
          <w:color w:val="000000"/>
          <w:spacing w:val="0"/>
          <w:w w:val="100"/>
          <w:position w:val="0"/>
        </w:rPr>
        <w:t>股权进行质押。并由本公司实际 控制人郭为先生提供保证，截至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日，该笔担保已经解除。</w:t>
      </w:r>
    </w:p>
    <w:p>
      <w:pPr>
        <w:pStyle w:val="Style32"/>
        <w:keepNext w:val="0"/>
        <w:keepLines w:val="0"/>
        <w:widowControl w:val="0"/>
        <w:shd w:val="clear" w:color="auto" w:fill="auto"/>
        <w:bidi w:val="0"/>
        <w:spacing w:before="0" w:after="520" w:line="238" w:lineRule="exact"/>
        <w:ind w:left="0" w:right="0" w:firstLine="460"/>
        <w:jc w:val="left"/>
      </w:pPr>
      <w:r>
        <w:rPr>
          <w:color w:val="000000"/>
          <w:spacing w:val="0"/>
          <w:w w:val="100"/>
          <w:position w:val="0"/>
        </w:rPr>
        <w:t>年末按照还款计划预计于未来一年内到期的款项结转至</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列示。</w:t>
      </w:r>
    </w:p>
    <w:p>
      <w:pPr>
        <w:pStyle w:val="Style36"/>
        <w:keepNext/>
        <w:keepLines/>
        <w:widowControl w:val="0"/>
        <w:shd w:val="clear" w:color="auto" w:fill="auto"/>
        <w:bidi w:val="0"/>
        <w:spacing w:before="0" w:after="32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、长期应付款</w:t>
      </w:r>
      <w:bookmarkEnd w:id="1189"/>
      <w:bookmarkEnd w:id="1190"/>
      <w:bookmarkEnd w:id="1192"/>
    </w:p>
    <w:p>
      <w:pPr>
        <w:pStyle w:val="Style36"/>
        <w:keepNext/>
        <w:keepLines/>
        <w:widowControl w:val="0"/>
        <w:shd w:val="clear" w:color="auto" w:fill="auto"/>
        <w:bidi w:val="0"/>
        <w:spacing w:before="0" w:after="320" w:line="240" w:lineRule="auto"/>
        <w:ind w:left="0" w:right="0" w:firstLine="0"/>
        <w:jc w:val="left"/>
      </w:pPr>
      <w:bookmarkStart w:id="1189" w:name="bookmark1189"/>
      <w:bookmarkStart w:id="1190" w:name="bookmark1190"/>
      <w:bookmarkStart w:id="1193" w:name="bookmark1193"/>
      <w:r>
        <w:rPr>
          <w:color w:val="000000"/>
          <w:spacing w:val="0"/>
          <w:w w:val="100"/>
          <w:position w:val="0"/>
        </w:rPr>
        <w:t>按款项性质列示长期应付款</w:t>
      </w:r>
      <w:bookmarkEnd w:id="1189"/>
      <w:bookmarkEnd w:id="1190"/>
      <w:bookmarkEnd w:id="11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物业公司本体维修金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145,609.62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sectPr>
          <w:headerReference w:type="default" r:id="rId39"/>
          <w:footerReference w:type="default" r:id="rId40"/>
          <w:footnotePr>
            <w:pos w:val="pageBottom"/>
            <w:numFmt w:val="decimal"/>
            <w:numRestart w:val="continuous"/>
          </w:footnotePr>
          <w:pgSz w:w="11900" w:h="16840"/>
          <w:pgMar w:top="1441" w:right="770" w:bottom="1964" w:left="1104" w:header="0" w:footer="3" w:gutter="0"/>
          <w:cols w:space="720"/>
          <w:noEndnote/>
          <w:rtlGutter w:val="0"/>
          <w:docGrid w:linePitch="360"/>
        </w:sectPr>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194"/>
      <w:bookmarkEnd w:id="1195"/>
      <w:bookmarkEnd w:id="1197"/>
    </w:p>
    <w:tbl>
      <w:tblPr>
        <w:tblOverlap w:val="never"/>
        <w:jc w:val="center"/>
        <w:tblLayout w:type="fixed"/>
      </w:tblPr>
      <w:tblGrid>
        <w:gridCol w:w="1598"/>
        <w:gridCol w:w="1594"/>
        <w:gridCol w:w="1594"/>
        <w:gridCol w:w="1594"/>
        <w:gridCol w:w="1594"/>
        <w:gridCol w:w="160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关于给予神州数码 有限公司华南地区 总部扶持的函</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39,600,000.00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33,000,000.00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73"/>
        <w:gridCol w:w="1363"/>
        <w:gridCol w:w="1368"/>
        <w:gridCol w:w="1368"/>
        <w:gridCol w:w="1368"/>
        <w:gridCol w:w="1378"/>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广州市萝岗开 发区财政国库</w:t>
            </w:r>
            <w:r>
              <w:rPr>
                <w:rFonts w:ascii="Times New Roman" w:eastAsia="Times New Roman" w:hAnsi="Times New Roman" w:cs="Times New Roman"/>
                <w:color w:val="000000"/>
                <w:spacing w:val="0"/>
                <w:w w:val="100"/>
                <w:position w:val="0"/>
              </w:rPr>
              <w:t xml:space="preserve">- </w:t>
            </w:r>
            <w:r>
              <w:rPr>
                <w:color w:val="000000"/>
                <w:spacing w:val="0"/>
                <w:w w:val="100"/>
                <w:position w:val="0"/>
              </w:rPr>
              <w:t>华南地区总部项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39,600,000.00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33,000,000.00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其他变动系预计在一年内结转收入的政府补助金额，结转至</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198"/>
      <w:bookmarkEnd w:id="1199"/>
      <w:bookmarkEnd w:id="12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357,973,531.00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296,096,903.00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296,096,903.00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654,070,434.00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202"/>
      <w:bookmarkEnd w:id="1203"/>
      <w:bookmarkEnd w:id="12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247,877,838.42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1,883,703,086.29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2,131,580,924.71</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392,848,967.19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143,802,275.55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249,046,691.64</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640,726,805.61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1,883,703,086.29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143,802,275.55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2,380,627,616.35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32"/>
        <w:keepNext w:val="0"/>
        <w:keepLines w:val="0"/>
        <w:widowControl w:val="0"/>
        <w:shd w:val="clear" w:color="auto" w:fill="auto"/>
        <w:bidi w:val="0"/>
        <w:spacing w:before="0" w:after="200" w:line="235" w:lineRule="exact"/>
        <w:ind w:left="0" w:right="0" w:firstLine="340"/>
        <w:jc w:val="both"/>
      </w:pPr>
      <w:r>
        <w:rPr>
          <w:color w:val="000000"/>
          <w:spacing w:val="0"/>
          <w:w w:val="100"/>
          <w:position w:val="0"/>
        </w:rPr>
        <w:t>资本公积本年增加系本公司本年为购买神州控股下属</w:t>
      </w:r>
      <w:r>
        <w:rPr>
          <w:color w:val="000000"/>
          <w:spacing w:val="0"/>
          <w:w w:val="100"/>
          <w:position w:val="0"/>
          <w:sz w:val="17"/>
          <w:szCs w:val="17"/>
        </w:rPr>
        <w:t>IT</w:t>
      </w:r>
      <w:r>
        <w:rPr>
          <w:color w:val="000000"/>
          <w:spacing w:val="0"/>
          <w:w w:val="100"/>
          <w:position w:val="0"/>
        </w:rPr>
        <w:t>分销业务标的公司</w:t>
      </w:r>
      <w:r>
        <w:rPr>
          <w:rFonts w:ascii="Times New Roman" w:eastAsia="Times New Roman" w:hAnsi="Times New Roman" w:cs="Times New Roman"/>
          <w:color w:val="000000"/>
          <w:spacing w:val="0"/>
          <w:w w:val="100"/>
          <w:position w:val="0"/>
        </w:rPr>
        <w:t>100%</w:t>
      </w:r>
      <w:r>
        <w:rPr>
          <w:color w:val="000000"/>
          <w:spacing w:val="0"/>
          <w:w w:val="100"/>
          <w:position w:val="0"/>
        </w:rPr>
        <w:t>股权，非公开发行股份</w:t>
      </w:r>
      <w:r>
        <w:rPr>
          <w:rFonts w:ascii="Times New Roman" w:eastAsia="Times New Roman" w:hAnsi="Times New Roman" w:cs="Times New Roman"/>
          <w:color w:val="000000"/>
          <w:spacing w:val="0"/>
          <w:w w:val="100"/>
          <w:position w:val="0"/>
        </w:rPr>
        <w:t>296,096,903</w:t>
      </w:r>
      <w:r>
        <w:rPr>
          <w:color w:val="000000"/>
          <w:spacing w:val="0"/>
          <w:w w:val="100"/>
          <w:position w:val="0"/>
        </w:rPr>
        <w:t>股， 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元，增发价格为人民币</w:t>
      </w:r>
      <w:r>
        <w:rPr>
          <w:rFonts w:ascii="Times New Roman" w:eastAsia="Times New Roman" w:hAnsi="Times New Roman" w:cs="Times New Roman"/>
          <w:color w:val="000000"/>
          <w:spacing w:val="0"/>
          <w:w w:val="100"/>
          <w:position w:val="0"/>
        </w:rPr>
        <w:t>7.43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2,199,999,989.29</w:t>
      </w:r>
      <w:r>
        <w:rPr>
          <w:color w:val="000000"/>
          <w:spacing w:val="0"/>
          <w:w w:val="100"/>
          <w:position w:val="0"/>
        </w:rPr>
        <w:t>元，扣除发行费用后募集资 金净额为人民币</w:t>
      </w:r>
      <w:r>
        <w:rPr>
          <w:rFonts w:ascii="Times New Roman" w:eastAsia="Times New Roman" w:hAnsi="Times New Roman" w:cs="Times New Roman"/>
          <w:color w:val="000000"/>
          <w:spacing w:val="0"/>
          <w:w w:val="100"/>
          <w:position w:val="0"/>
        </w:rPr>
        <w:t>2,179,799,989.29</w:t>
      </w:r>
      <w:r>
        <w:rPr>
          <w:color w:val="000000"/>
          <w:spacing w:val="0"/>
          <w:w w:val="100"/>
          <w:position w:val="0"/>
        </w:rPr>
        <w:t>元，形成资本公积</w:t>
      </w:r>
      <w:r>
        <w:rPr>
          <w:rFonts w:ascii="Times New Roman" w:eastAsia="Times New Roman" w:hAnsi="Times New Roman" w:cs="Times New Roman"/>
          <w:color w:val="000000"/>
          <w:spacing w:val="0"/>
          <w:w w:val="100"/>
          <w:position w:val="0"/>
        </w:rPr>
        <w:t>1,883,703,086.29</w:t>
      </w:r>
      <w:r>
        <w:rPr>
          <w:color w:val="000000"/>
          <w:spacing w:val="0"/>
          <w:w w:val="100"/>
          <w:position w:val="0"/>
        </w:rPr>
        <w:t>元。</w:t>
      </w:r>
    </w:p>
    <w:p>
      <w:pPr>
        <w:pStyle w:val="Style32"/>
        <w:keepNext w:val="0"/>
        <w:keepLines w:val="0"/>
        <w:widowControl w:val="0"/>
        <w:shd w:val="clear" w:color="auto" w:fill="auto"/>
        <w:bidi w:val="0"/>
        <w:spacing w:before="0" w:after="620" w:line="235" w:lineRule="exact"/>
        <w:ind w:left="0" w:right="0" w:firstLine="340"/>
        <w:jc w:val="both"/>
      </w:pPr>
      <w:r>
        <w:rPr>
          <w:color w:val="000000"/>
          <w:spacing w:val="0"/>
          <w:w w:val="100"/>
          <w:position w:val="0"/>
        </w:rPr>
        <w:t>资本公积本年减少系本公司本年出售子公司股权，相应减少子公司及与子公司相关的资本公积</w:t>
      </w:r>
    </w:p>
    <w:p>
      <w:pPr>
        <w:pStyle w:val="Style36"/>
        <w:keepNext/>
        <w:keepLines/>
        <w:widowControl w:val="0"/>
        <w:shd w:val="clear" w:color="auto" w:fill="auto"/>
        <w:bidi w:val="0"/>
        <w:spacing w:before="0" w:after="30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06"/>
      <w:bookmarkEnd w:id="1207"/>
      <w:bookmarkEnd w:id="12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20"/>
        <w:gridCol w:w="571"/>
        <w:gridCol w:w="1195"/>
        <w:gridCol w:w="1152"/>
        <w:gridCol w:w="936"/>
        <w:gridCol w:w="1176"/>
        <w:gridCol w:w="931"/>
        <w:gridCol w:w="1200"/>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期初 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78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30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一、以后不能重分类进损益的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520"/>
        <w:gridCol w:w="571"/>
        <w:gridCol w:w="1195"/>
        <w:gridCol w:w="1152"/>
        <w:gridCol w:w="936"/>
        <w:gridCol w:w="1176"/>
        <w:gridCol w:w="931"/>
        <w:gridCol w:w="1200"/>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期初 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其中：重新计算设定受益计划 净负债和净资产的变动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560"/>
              <w:jc w:val="left"/>
            </w:pPr>
            <w:r>
              <w:rPr>
                <w:color w:val="000000"/>
                <w:spacing w:val="0"/>
                <w:w w:val="100"/>
                <w:position w:val="0"/>
              </w:rPr>
              <w:t>权益法下在被投资单位 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23,177,178.74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23,177,178.74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23,177,178.74</w:t>
            </w:r>
          </w:p>
        </w:tc>
      </w:tr>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其中：权益法下在被投资单位 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560"/>
              <w:jc w:val="both"/>
            </w:pP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1,883,103.83</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560"/>
              <w:jc w:val="both"/>
            </w:pP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560"/>
              <w:jc w:val="both"/>
            </w:pP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21,294,074.91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21,294,074.91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21,294,074.91</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23,177,178.74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23,177,178.74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23,177,178.74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210"/>
      <w:bookmarkEnd w:id="1211"/>
      <w:bookmarkEnd w:id="12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65,738,593.50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65,738,593.50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65,738,593.50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65,738,593.50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214"/>
      <w:bookmarkEnd w:id="1215"/>
      <w:bookmarkEnd w:id="12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-877,439,071.22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-898,802,315.24</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403,795,179.08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21,363,244.02</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1,806,524.86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-475,450,417.00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-877,439,071.22</w:t>
            </w:r>
          </w:p>
        </w:tc>
      </w:tr>
    </w:tbl>
    <w:p>
      <w:pPr>
        <w:spacing w:lineRule="exact" w:line="1"/>
        <w:rPr>
          <w:sz w:val="2"/>
          <w:szCs w:val="2"/>
        </w:rPr>
      </w:pPr>
      <w:r>
        <w:br w:type="page"/>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40" w:line="240" w:lineRule="auto"/>
        <w:ind w:left="0" w:right="0" w:firstLine="0"/>
        <w:jc w:val="left"/>
      </w:pPr>
      <w:bookmarkStart w:id="1218" w:name="bookmark1218"/>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40" w:line="240" w:lineRule="auto"/>
        <w:ind w:left="0" w:right="0" w:firstLine="0"/>
        <w:jc w:val="left"/>
      </w:pPr>
      <w:bookmarkStart w:id="1219" w:name="bookmark1219"/>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40" w:line="240" w:lineRule="auto"/>
        <w:ind w:left="0" w:right="0" w:firstLine="0"/>
        <w:jc w:val="left"/>
      </w:pPr>
      <w:bookmarkStart w:id="1220" w:name="bookmark1220"/>
      <w:r>
        <w:rPr>
          <w:rFonts w:ascii="Times New Roman" w:eastAsia="Times New Roman" w:hAnsi="Times New Roman" w:cs="Times New Roman"/>
          <w:color w:val="000000"/>
          <w:spacing w:val="0"/>
          <w:w w:val="100"/>
          <w:position w:val="0"/>
        </w:rPr>
        <w:t>3</w:t>
      </w:r>
      <w:bookmarkEnd w:id="122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40" w:line="240" w:lineRule="auto"/>
        <w:ind w:left="0" w:right="0" w:firstLine="0"/>
        <w:jc w:val="left"/>
      </w:pPr>
      <w:bookmarkStart w:id="1221" w:name="bookmark1221"/>
      <w:r>
        <w:rPr>
          <w:rFonts w:ascii="Times New Roman" w:eastAsia="Times New Roman" w:hAnsi="Times New Roman" w:cs="Times New Roman"/>
          <w:color w:val="000000"/>
          <w:spacing w:val="0"/>
          <w:w w:val="100"/>
          <w:position w:val="0"/>
        </w:rPr>
        <w:t>4</w:t>
      </w:r>
      <w:bookmarkEnd w:id="122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320" w:line="240" w:lineRule="auto"/>
        <w:ind w:left="0" w:right="0" w:firstLine="0"/>
        <w:jc w:val="left"/>
      </w:pPr>
      <w:bookmarkStart w:id="1222" w:name="bookmark1222"/>
      <w:r>
        <w:rPr>
          <w:rFonts w:ascii="Times New Roman" w:eastAsia="Times New Roman" w:hAnsi="Times New Roman" w:cs="Times New Roman"/>
          <w:color w:val="000000"/>
          <w:spacing w:val="0"/>
          <w:w w:val="100"/>
          <w:position w:val="0"/>
        </w:rPr>
        <w:t>5</w:t>
      </w:r>
      <w:bookmarkEnd w:id="122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after="32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4</w:t>
      </w:r>
      <w:bookmarkEnd w:id="1225"/>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223"/>
      <w:bookmarkEnd w:id="1224"/>
      <w:bookmarkEnd w:id="12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40,399,860,780.70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38,437,972,641.23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455,584,992.51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408,261,246.71</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131,262,720.23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116,268,687.96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2,478,361.09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801,679.09</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40,531,123,500.93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38,554,241,329.19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458,063,353.60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409,062,925.80</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27"/>
      <w:bookmarkEnd w:id="1228"/>
      <w:bookmarkEnd w:id="123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19,445,082.26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660,413.58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8,342,889.41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282,909.80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1,551,027.16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32,632,606.71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地方教育费用附加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5,487,103.61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188,606.54</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318,426.02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813,888.84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119,799.49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67,896,934.66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1,945,818.76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4</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231"/>
      <w:bookmarkEnd w:id="1232"/>
      <w:bookmarkEnd w:id="12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498,641,324.00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8,266,547.50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186,396,298.79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2,291,887.85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市场及其推广费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173,549,344.44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4,494,547.00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99,075,106.91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72,034,252.13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2,839,004.55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56,633,271.40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1,676,655.21</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海关申报费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15,299,720.46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14,322,232.71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运营费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12,936,248.37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9,307,197.90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办公室供应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9,022,111.23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1,238,328.33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法律及业务咨询费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6,677,849.29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23,869,811.07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646,451.23</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1,177,764,768.70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21,453,421.67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4</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235"/>
      <w:bookmarkEnd w:id="1236"/>
      <w:bookmarkEnd w:id="12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149,656,316.64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18,031,963.40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33,373,056.53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2,239,693.98</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市场及其推广费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26,860,684.88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12,970,521.08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5,953,149.23</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12,635,645.88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787,028.03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10,468,447.38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3,639,297.03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运营费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8,904,016.39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法律及业务咨询费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8,815,203.68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19,486.92</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4,369,841.23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办公室供应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2,844,992.36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2,041,684.98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19,651,653.37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14,908,949.55</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292,592,064.40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45,579,568.14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4</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239"/>
      <w:bookmarkEnd w:id="1240"/>
      <w:bookmarkEnd w:id="12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226,284,567.37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294,359.39</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13,943,551.82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247,188.09</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加：汇兑损失（收益以列示）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174,188,496.77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-480,312.27</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30,234,712.70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222,015.45</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416,764,225.02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-211,125.52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4</w:t>
      </w:r>
      <w:bookmarkEnd w:id="1245"/>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243"/>
      <w:bookmarkEnd w:id="1244"/>
      <w:bookmarkEnd w:id="12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-68,076,573.63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1,216,678.64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-106,202,970.77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1,086,150.39</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-174,279,544.40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2,302,829.03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6"/>
        <w:keepNext/>
        <w:keepLines/>
        <w:widowControl w:val="0"/>
        <w:shd w:val="clear" w:color="auto" w:fill="auto"/>
        <w:bidi w:val="0"/>
        <w:spacing w:before="0" w:after="30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4</w:t>
      </w:r>
      <w:bookmarkEnd w:id="1249"/>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247"/>
      <w:bookmarkEnd w:id="1248"/>
      <w:bookmarkEnd w:id="12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以公允价值计量的且其变动计入当期损 益的金融负债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10,827,141.79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4</w:t>
      </w:r>
      <w:bookmarkEnd w:id="1253"/>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251"/>
      <w:bookmarkEnd w:id="1252"/>
      <w:bookmarkEnd w:id="12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1"/>
        <w:gridCol w:w="3192"/>
        <w:gridCol w:w="292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2,233,972.30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200,312,868.75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43,125,984.76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6,889,834.64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15,001,000.24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1,422,478.80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253,985,139.25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15,001,000.24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4</w:t>
      </w:r>
      <w:bookmarkEnd w:id="1257"/>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255"/>
      <w:bookmarkEnd w:id="1256"/>
      <w:bookmarkEnd w:id="12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1,193,975.14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1,193,975.14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1,193,975.14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1,193,975.14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53,953,736.92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40,879,234.50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诚意金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32,077,120.00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3,308,333.52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300,071.85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3,308,333.52</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58,456,045.58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32,397,191.85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45,381,543.16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1"/>
        <w:gridCol w:w="1066"/>
        <w:gridCol w:w="1061"/>
        <w:gridCol w:w="1066"/>
        <w:gridCol w:w="1272"/>
        <w:gridCol w:w="1066"/>
        <w:gridCol w:w="1070"/>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2" w:lineRule="exact"/>
              <w:ind w:left="0" w:right="0" w:firstLine="0"/>
              <w:jc w:val="left"/>
            </w:pPr>
            <w:r>
              <w:rPr>
                <w:color w:val="000000"/>
                <w:spacing w:val="0"/>
                <w:w w:val="100"/>
                <w:position w:val="0"/>
              </w:rPr>
              <w:t>神州数码城 市公共安全 多维数据融 合智能云平 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上海市长宁 区科学技术 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 鼓励和扶持 特定行业、 产业而获得 的补助（按 国家级政策 规定依法取 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广州市商务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广州市财政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272"/>
        <w:gridCol w:w="1066"/>
        <w:gridCol w:w="1070"/>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98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委员会总部 企业落户奖 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局国库支付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北京市海淀 区国家税务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 鼓励和扶持 特定行业、 产业而获得 的补助（按 国家级政策 规定依法取 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7,214,502.42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广州市萝岗 开发区财政 国库</w:t>
            </w:r>
            <w:r>
              <w:rPr>
                <w:rFonts w:ascii="Times New Roman" w:eastAsia="Times New Roman" w:hAnsi="Times New Roman" w:cs="Times New Roman"/>
                <w:color w:val="000000"/>
                <w:spacing w:val="0"/>
                <w:w w:val="100"/>
                <w:position w:val="0"/>
              </w:rPr>
              <w:t>-</w:t>
            </w:r>
            <w:r>
              <w:rPr>
                <w:color w:val="000000"/>
                <w:spacing w:val="0"/>
                <w:w w:val="100"/>
                <w:position w:val="0"/>
              </w:rPr>
              <w:t>华南地 区总部项目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广州市萝岗 开发区财政 国库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上海市长宁 财政局奖励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上海市长宁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中关村中小 企业公共服 务平台建设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北京市经济 和信息化委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 鼓励和扶持 特定行业、 产业而获得 的补助（按 国家级政策 规定依法取 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0"/>
              <w:jc w:val="both"/>
            </w:pPr>
            <w:r>
              <w:rPr>
                <w:color w:val="000000"/>
                <w:spacing w:val="0"/>
                <w:w w:val="100"/>
                <w:position w:val="0"/>
              </w:rPr>
              <w:t>下一代</w:t>
            </w:r>
            <w:r>
              <w:rPr>
                <w:rFonts w:ascii="Times New Roman" w:eastAsia="Times New Roman" w:hAnsi="Times New Roman" w:cs="Times New Roman"/>
                <w:color w:val="000000"/>
                <w:spacing w:val="0"/>
                <w:w w:val="100"/>
                <w:position w:val="0"/>
              </w:rPr>
              <w:t xml:space="preserve">SDN </w:t>
            </w:r>
            <w:r>
              <w:rPr>
                <w:color w:val="000000"/>
                <w:spacing w:val="0"/>
                <w:w w:val="100"/>
                <w:position w:val="0"/>
              </w:rPr>
              <w:t>高性能路由 交换设备研 制及产业化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上海市长宁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 鼓励和扶持 特定行业、 产业而获得 的补助（按 国家级政策 规定依法取 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3,253,055.12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总部企业奖 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北京市海淀 区商务委员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人力资源社 会保障部或 财政部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1,144,678.11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5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IPV6</w:t>
            </w:r>
            <w:r>
              <w:rPr>
                <w:color w:val="000000"/>
                <w:spacing w:val="0"/>
                <w:w w:val="100"/>
                <w:position w:val="0"/>
              </w:rPr>
              <w:t>无线传 感网组网设 备研制及产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北京市海淀 区财政局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因从事国家 鼓励和扶持 特定行业、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272"/>
        <w:gridCol w:w="1066"/>
        <w:gridCol w:w="1070"/>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21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产业而获得 的补助（按 国家级政策 规定依法取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物联网发展 专项补贴收 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北京市经济 和信息化委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 鼓励和扶持 特定行业、 产业而获得 的补助（按 国家级政策 规定依法取 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国家产业技 术研究开发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上海市长宁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4,471,901.27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53,953,736.92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4</w:t>
      </w:r>
      <w:bookmarkEnd w:id="1261"/>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259"/>
      <w:bookmarkEnd w:id="1260"/>
      <w:bookmarkEnd w:id="126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1,963,574.72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252,908.25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1,963,574.72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1,963,574.72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252,908.25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1,963,574.72</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1,700,000.00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核销资产损失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16,698,971.00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291,338.00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16,698,971.00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615,871.74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218,536.89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615,871.74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407,614.88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407,614.88</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21,686,032.34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782,786.23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21,686,032.34</w:t>
            </w:r>
          </w:p>
        </w:tc>
      </w:tr>
    </w:tbl>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其他说明：核销资产损失为本公司之子公司北京神州核销对深圳雅图数字视频技术有限公司的预付款项，北京神州向北京 市海淀区人民法院提起诉讼，要求深圳雅图数字视频技术有限公司支付货款</w:t>
      </w:r>
      <w:r>
        <w:rPr>
          <w:rFonts w:ascii="Times New Roman" w:eastAsia="Times New Roman" w:hAnsi="Times New Roman" w:cs="Times New Roman"/>
          <w:color w:val="000000"/>
          <w:spacing w:val="0"/>
          <w:w w:val="100"/>
          <w:position w:val="0"/>
        </w:rPr>
        <w:t>17,500,000</w:t>
      </w:r>
      <w:r>
        <w:rPr>
          <w:color w:val="000000"/>
          <w:spacing w:val="0"/>
          <w:w w:val="100"/>
          <w:position w:val="0"/>
        </w:rPr>
        <w:t>元以及违约金</w:t>
      </w:r>
      <w:r>
        <w:rPr>
          <w:rFonts w:ascii="Times New Roman" w:eastAsia="Times New Roman" w:hAnsi="Times New Roman" w:cs="Times New Roman"/>
          <w:color w:val="000000"/>
          <w:spacing w:val="0"/>
          <w:w w:val="100"/>
          <w:position w:val="0"/>
        </w:rPr>
        <w:t>1,750,000</w:t>
      </w:r>
      <w:r>
        <w:rPr>
          <w:color w:val="000000"/>
          <w:spacing w:val="0"/>
          <w:w w:val="100"/>
          <w:position w:val="0"/>
        </w:rPr>
        <w:t>元，北京市 海淀区人民法院一审作出（</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0108</w:t>
      </w:r>
      <w:r>
        <w:rPr>
          <w:color w:val="000000"/>
          <w:spacing w:val="0"/>
          <w:w w:val="100"/>
          <w:position w:val="0"/>
        </w:rPr>
        <w:t>民初</w:t>
      </w:r>
      <w:r>
        <w:rPr>
          <w:rFonts w:ascii="Times New Roman" w:eastAsia="Times New Roman" w:hAnsi="Times New Roman" w:cs="Times New Roman"/>
          <w:color w:val="000000"/>
          <w:spacing w:val="0"/>
          <w:w w:val="100"/>
          <w:position w:val="0"/>
        </w:rPr>
        <w:t>15561</w:t>
      </w:r>
      <w:r>
        <w:rPr>
          <w:color w:val="000000"/>
          <w:spacing w:val="0"/>
          <w:w w:val="100"/>
          <w:position w:val="0"/>
        </w:rPr>
        <w:t>号《北京市海淀区人民法院民事判决书》支持北京神州诉讼主张，深 圳雅图数字视频技术有限公司不服提起上诉，目前等待法院二审。预计客户无可执行财产，本集团将该预付款项核销计入 营业外支出。</w:t>
      </w:r>
      <w:r>
        <w:br w:type="page"/>
      </w:r>
    </w:p>
    <w:p>
      <w:pPr>
        <w:pStyle w:val="Style36"/>
        <w:keepNext/>
        <w:keepLines/>
        <w:widowControl w:val="0"/>
        <w:shd w:val="clear" w:color="auto" w:fill="auto"/>
        <w:bidi w:val="0"/>
        <w:spacing w:before="0" w:after="32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5</w:t>
      </w:r>
      <w:bookmarkEnd w:id="1265"/>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263"/>
      <w:bookmarkEnd w:id="1264"/>
      <w:bookmarkEnd w:id="1266"/>
    </w:p>
    <w:p>
      <w:pPr>
        <w:pStyle w:val="Style36"/>
        <w:keepNext/>
        <w:keepLines/>
        <w:widowControl w:val="0"/>
        <w:shd w:val="clear" w:color="auto" w:fill="auto"/>
        <w:bidi w:val="0"/>
        <w:spacing w:before="0" w:after="320" w:line="240" w:lineRule="auto"/>
        <w:ind w:left="0" w:right="0" w:firstLine="0"/>
        <w:jc w:val="left"/>
      </w:pPr>
      <w:bookmarkStart w:id="1263" w:name="bookmark1263"/>
      <w:bookmarkStart w:id="1264" w:name="bookmark1264"/>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63"/>
      <w:bookmarkEnd w:id="1264"/>
      <w:bookmarkEnd w:id="12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115,394,283.20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3,182,077.56</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-20,452,003.81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94,942,279.39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3,182,077.56</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68"/>
      <w:bookmarkEnd w:id="1269"/>
      <w:bookmarkEnd w:id="12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497,726,017.64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124,431,504.41</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-1,231,495.68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-27,714,433.54</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-49,716,664.57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-3,287,089.43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18,297,049.58</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34,163,408.62</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94,942,279.39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6"/>
        <w:keepNext/>
        <w:keepLines/>
        <w:widowControl w:val="0"/>
        <w:shd w:val="clear" w:color="auto" w:fill="auto"/>
        <w:tabs>
          <w:tab w:pos="483" w:val="left"/>
        </w:tabs>
        <w:bidi w:val="0"/>
        <w:spacing w:before="0" w:after="32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5</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271"/>
      <w:bookmarkEnd w:id="1272"/>
      <w:bookmarkEnd w:id="1274"/>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37</w:t>
      </w:r>
      <w:r>
        <w:rPr>
          <w:color w:val="000000"/>
          <w:spacing w:val="0"/>
          <w:w w:val="100"/>
          <w:position w:val="0"/>
        </w:rPr>
        <w:t>。</w:t>
      </w:r>
    </w:p>
    <w:p>
      <w:pPr>
        <w:pStyle w:val="Style36"/>
        <w:keepNext/>
        <w:keepLines/>
        <w:widowControl w:val="0"/>
        <w:shd w:val="clear" w:color="auto" w:fill="auto"/>
        <w:tabs>
          <w:tab w:pos="483" w:val="left"/>
        </w:tabs>
        <w:bidi w:val="0"/>
        <w:spacing w:before="0" w:after="32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5</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275"/>
      <w:bookmarkEnd w:id="1276"/>
      <w:bookmarkEnd w:id="1278"/>
    </w:p>
    <w:p>
      <w:pPr>
        <w:pStyle w:val="Style36"/>
        <w:keepNext/>
        <w:keepLines/>
        <w:widowControl w:val="0"/>
        <w:shd w:val="clear" w:color="auto" w:fill="auto"/>
        <w:bidi w:val="0"/>
        <w:spacing w:before="0" w:after="320" w:line="240" w:lineRule="auto"/>
        <w:ind w:left="0" w:right="0" w:firstLine="0"/>
        <w:jc w:val="left"/>
      </w:pPr>
      <w:bookmarkStart w:id="1275" w:name="bookmark1275"/>
      <w:bookmarkStart w:id="1276" w:name="bookmark1276"/>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75"/>
      <w:bookmarkEnd w:id="1276"/>
      <w:bookmarkEnd w:id="12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29,543,829.01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10,267,322.55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252,125.10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4,226,050.49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3,674,374.93</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本体维修金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402,964.33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22,662.17</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44,086,665.57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4,372,126.53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收到的其他与经营活动有关的现金说明：无</w:t>
      </w:r>
      <w:r>
        <w:br w:type="page"/>
      </w:r>
    </w:p>
    <w:p>
      <w:pPr>
        <w:pStyle w:val="Style36"/>
        <w:keepNext/>
        <w:keepLines/>
        <w:widowControl w:val="0"/>
        <w:shd w:val="clear" w:color="auto" w:fill="auto"/>
        <w:bidi w:val="0"/>
        <w:spacing w:before="0" w:after="30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80"/>
      <w:bookmarkEnd w:id="1281"/>
      <w:bookmarkEnd w:id="128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1,065,149,860.54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28,774,431.24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4,929,917.15</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本体维修金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498,176.40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17,198,806.72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20,003.09</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1,082,348,667.26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34,222,527.88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83"/>
      <w:bookmarkEnd w:id="1284"/>
      <w:bookmarkEnd w:id="12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136,460,000.00</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136,460,000.00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87"/>
      <w:bookmarkEnd w:id="1288"/>
      <w:bookmarkEnd w:id="12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48,000,000.00</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48,000,000.00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支付的其他与投资活动有关的现金说明：无</w:t>
      </w:r>
    </w:p>
    <w:p>
      <w:pPr>
        <w:widowControl w:val="0"/>
        <w:spacing w:after="299" w:line="1" w:lineRule="exact"/>
      </w:pPr>
    </w:p>
    <w:p>
      <w:pPr>
        <w:pStyle w:val="Style36"/>
        <w:keepNext/>
        <w:keepLines/>
        <w:widowControl w:val="0"/>
        <w:shd w:val="clear" w:color="auto" w:fill="auto"/>
        <w:tabs>
          <w:tab w:pos="493" w:val="left"/>
        </w:tabs>
        <w:bidi w:val="0"/>
        <w:spacing w:before="0" w:after="30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291"/>
      <w:bookmarkEnd w:id="1292"/>
      <w:bookmarkEnd w:id="1294"/>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30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295"/>
      <w:bookmarkEnd w:id="1296"/>
      <w:bookmarkEnd w:id="12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发行权益性证券间接相关费用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296,096.90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296,096.90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支付的其他与筹资活动有关的现金说明：无</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5</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299"/>
      <w:bookmarkEnd w:id="1300"/>
      <w:bookmarkEnd w:id="1302"/>
    </w:p>
    <w:p>
      <w:pPr>
        <w:pStyle w:val="Style36"/>
        <w:keepNext/>
        <w:keepLines/>
        <w:widowControl w:val="0"/>
        <w:shd w:val="clear" w:color="auto" w:fill="auto"/>
        <w:bidi w:val="0"/>
        <w:spacing w:before="0" w:after="300" w:line="240" w:lineRule="auto"/>
        <w:ind w:left="0" w:right="0" w:firstLine="0"/>
        <w:jc w:val="left"/>
      </w:pPr>
      <w:bookmarkStart w:id="1299" w:name="bookmark1299"/>
      <w:bookmarkStart w:id="1300" w:name="bookmark1300"/>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99"/>
      <w:bookmarkEnd w:id="1300"/>
      <w:bookmarkEnd w:id="13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402,783,738.25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21,363,244.02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-174,279,544.40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2,302,829.03</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46,511,605.63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6,608,396.33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4,190,560.36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200,082.13</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3,916,665.18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1,019,605.96</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-1,193,975.14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252,559.75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1,963,574.72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-10,827,141.79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400,473,064.14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294,359.39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-253,985,139.25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-15,001,000.24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52,950,036.63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-73,402,040.44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369,394,547.81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-3,342,641.66</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-1,857,793,947.70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6,769,855.44</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1,435,180,112.26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-33,969,995.20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345,882,116.26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-13,502,356.55</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1,072,914,859.16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114,346,440.09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114,346,440.09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29,203,413.68</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958,568,419.07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85,143,026.41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04"/>
      <w:bookmarkEnd w:id="1305"/>
      <w:bookmarkEnd w:id="13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4,015,471,500.00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4,010,000,000.00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北京神州云科信息服务有限公司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5,471,500.00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2,059,775,381.27</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2,055,393,019.42</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北京神州云科信息服务有限公司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4,382,361.85</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1,955,696,118.73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6"/>
        <w:keepNext/>
        <w:keepLines/>
        <w:widowControl w:val="0"/>
        <w:shd w:val="clear" w:color="auto" w:fill="auto"/>
        <w:bidi w:val="0"/>
        <w:spacing w:before="0" w:after="320" w:line="240" w:lineRule="auto"/>
        <w:ind w:left="0" w:right="0" w:firstLine="14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307"/>
      <w:bookmarkEnd w:id="1308"/>
      <w:bookmarkEnd w:id="13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160,800,900.00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106,614,907.58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54,185,992.42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311"/>
      <w:bookmarkEnd w:id="1312"/>
      <w:bookmarkEnd w:id="13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1,072,914,859.16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114,346,440.09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1,549,846.42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1,072,854,195.56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112,795,443.00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1,150.67</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1,072,914,859.16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114,346,440.09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6"/>
        <w:keepNext/>
        <w:keepLines/>
        <w:widowControl w:val="0"/>
        <w:shd w:val="clear" w:color="auto" w:fill="auto"/>
        <w:tabs>
          <w:tab w:pos="483" w:val="left"/>
        </w:tabs>
        <w:bidi w:val="0"/>
        <w:spacing w:before="0" w:after="1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5</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w:t>
        <w:tab/>
        <w:t>所有者权益变动表项目注释</w:t>
      </w:r>
      <w:bookmarkEnd w:id="1315"/>
      <w:bookmarkEnd w:id="1316"/>
      <w:bookmarkEnd w:id="1318"/>
    </w:p>
    <w:p>
      <w:pPr>
        <w:pStyle w:val="Style32"/>
        <w:keepNext w:val="0"/>
        <w:keepLines w:val="0"/>
        <w:widowControl w:val="0"/>
        <w:shd w:val="clear" w:color="auto" w:fill="auto"/>
        <w:bidi w:val="0"/>
        <w:spacing w:before="0" w:after="320" w:line="302"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 无</w:t>
      </w:r>
    </w:p>
    <w:p>
      <w:pPr>
        <w:pStyle w:val="Style36"/>
        <w:keepNext/>
        <w:keepLines/>
        <w:widowControl w:val="0"/>
        <w:shd w:val="clear" w:color="auto" w:fill="auto"/>
        <w:tabs>
          <w:tab w:pos="483" w:val="left"/>
        </w:tabs>
        <w:bidi w:val="0"/>
        <w:spacing w:before="0" w:after="32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5</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w:t>
        <w:tab/>
        <w:t>所有权或使用权受到限制的资产</w:t>
      </w:r>
      <w:bookmarkEnd w:id="1319"/>
      <w:bookmarkEnd w:id="1320"/>
      <w:bookmarkEnd w:id="13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70,340,866.77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未决诉讼被冻结的资金及保函保证金</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70,340,866.77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其他说明：本公司为购买神州控股下属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分销业务公司，自北京银行股份有限公司中关村科技园支行借入的</w:t>
      </w:r>
      <w:r>
        <w:rPr>
          <w:rFonts w:ascii="Times New Roman" w:eastAsia="Times New Roman" w:hAnsi="Times New Roman" w:cs="Times New Roman"/>
          <w:color w:val="000000"/>
          <w:spacing w:val="0"/>
          <w:w w:val="100"/>
          <w:position w:val="0"/>
        </w:rPr>
        <w:t>5</w:t>
      </w:r>
      <w:r>
        <w:rPr>
          <w:color w:val="000000"/>
          <w:spacing w:val="0"/>
          <w:w w:val="100"/>
          <w:position w:val="0"/>
        </w:rPr>
        <w:t>年期长期 借款，本公司将持有的神码中国</w:t>
      </w:r>
      <w:r>
        <w:rPr>
          <w:rFonts w:ascii="Times New Roman" w:eastAsia="Times New Roman" w:hAnsi="Times New Roman" w:cs="Times New Roman"/>
          <w:color w:val="000000"/>
          <w:spacing w:val="0"/>
          <w:w w:val="100"/>
          <w:position w:val="0"/>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rPr>
        <w:t>100%</w:t>
      </w:r>
      <w:r>
        <w:rPr>
          <w:color w:val="000000"/>
          <w:spacing w:val="0"/>
          <w:w w:val="100"/>
          <w:position w:val="0"/>
        </w:rPr>
        <w:t>股权、神码广州</w:t>
      </w:r>
      <w:r>
        <w:rPr>
          <w:rFonts w:ascii="Times New Roman" w:eastAsia="Times New Roman" w:hAnsi="Times New Roman" w:cs="Times New Roman"/>
          <w:color w:val="000000"/>
          <w:spacing w:val="0"/>
          <w:w w:val="100"/>
          <w:position w:val="0"/>
        </w:rPr>
        <w:t>100%</w:t>
      </w:r>
      <w:r>
        <w:rPr>
          <w:color w:val="000000"/>
          <w:spacing w:val="0"/>
          <w:w w:val="100"/>
          <w:position w:val="0"/>
        </w:rPr>
        <w:t>股权进行质押。</w:t>
      </w:r>
    </w:p>
    <w:p>
      <w:pPr>
        <w:widowControl w:val="0"/>
        <w:spacing w:after="579" w:line="1" w:lineRule="exact"/>
      </w:pPr>
    </w:p>
    <w:p>
      <w:pPr>
        <w:pStyle w:val="Style36"/>
        <w:keepNext/>
        <w:keepLines/>
        <w:widowControl w:val="0"/>
        <w:shd w:val="clear" w:color="auto" w:fill="auto"/>
        <w:bidi w:val="0"/>
        <w:spacing w:before="0" w:after="32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5</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323"/>
      <w:bookmarkEnd w:id="1324"/>
      <w:bookmarkEnd w:id="1326"/>
    </w:p>
    <w:p>
      <w:pPr>
        <w:pStyle w:val="Style36"/>
        <w:keepNext/>
        <w:keepLines/>
        <w:widowControl w:val="0"/>
        <w:shd w:val="clear" w:color="auto" w:fill="auto"/>
        <w:bidi w:val="0"/>
        <w:spacing w:before="0" w:after="320" w:line="240" w:lineRule="auto"/>
        <w:ind w:left="0" w:right="0" w:firstLine="0"/>
        <w:jc w:val="left"/>
      </w:pPr>
      <w:bookmarkStart w:id="1323" w:name="bookmark1323"/>
      <w:bookmarkStart w:id="1324" w:name="bookmark1324"/>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23"/>
      <w:bookmarkEnd w:id="1324"/>
      <w:bookmarkEnd w:id="13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9,094,946.20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63,209,876.06</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261,625.88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1,909,868.92</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28,690,641.53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0.89447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25,662,918.13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236,086.45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0.86604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204,460.31</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21,414,883.76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148,833,442.13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46,623,321.60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0.89447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41,703,162.47</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3,891,075.90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27,042,977.51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0.86604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1,680.12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423,202,455.42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2,941,257,065.17</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0.89447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209,305,980.00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131,022,349.20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910,605,326.94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666,830.50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4,867,862.65</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36,256,147.65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0.89447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32,430,036.39</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21,252,541.48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147,705,163.29</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423,206.00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2,941,281.70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4,096,241.47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0.89447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3,663,965.11</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278,712.20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0.86604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241,375.91</w:t>
            </w:r>
          </w:p>
        </w:tc>
      </w:tr>
    </w:tbl>
    <w:p>
      <w:pPr>
        <w:pStyle w:val="Style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88" w:lineRule="exact"/>
        <w:ind w:left="260" w:right="0" w:firstLine="20"/>
        <w:jc w:val="left"/>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28"/>
      <w:bookmarkEnd w:id="1329"/>
      <w:bookmarkEnd w:id="1330"/>
    </w:p>
    <w:p>
      <w:pPr>
        <w:pStyle w:val="Style32"/>
        <w:keepNext w:val="0"/>
        <w:keepLines w:val="0"/>
        <w:widowControl w:val="0"/>
        <w:shd w:val="clear" w:color="auto" w:fill="auto"/>
        <w:bidi w:val="0"/>
        <w:spacing w:before="0" w:after="30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260"/>
        <w:jc w:val="left"/>
      </w:pPr>
      <w:bookmarkStart w:id="1331" w:name="bookmark1331"/>
      <w:bookmarkStart w:id="1332" w:name="bookmark1332"/>
      <w:bookmarkStart w:id="1333" w:name="bookmark1333"/>
      <w:bookmarkStart w:id="1334" w:name="bookmark1334"/>
      <w:r>
        <w:rPr>
          <w:color w:val="000000"/>
          <w:spacing w:val="0"/>
          <w:w w:val="100"/>
          <w:position w:val="0"/>
        </w:rPr>
        <w:t>八</w:t>
      </w:r>
      <w:bookmarkEnd w:id="1333"/>
      <w:r>
        <w:rPr>
          <w:color w:val="000000"/>
          <w:spacing w:val="0"/>
          <w:w w:val="100"/>
          <w:position w:val="0"/>
        </w:rPr>
        <w:t>、合并范围的变更</w:t>
      </w:r>
      <w:bookmarkEnd w:id="1331"/>
      <w:bookmarkEnd w:id="1332"/>
      <w:bookmarkEnd w:id="1334"/>
    </w:p>
    <w:p>
      <w:pPr>
        <w:pStyle w:val="Style36"/>
        <w:keepNext/>
        <w:keepLines/>
        <w:widowControl w:val="0"/>
        <w:shd w:val="clear" w:color="auto" w:fill="auto"/>
        <w:bidi w:val="0"/>
        <w:spacing w:before="0" w:after="300" w:line="288" w:lineRule="exact"/>
        <w:ind w:left="0" w:right="0" w:firstLine="26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35"/>
      <w:bookmarkEnd w:id="1336"/>
      <w:bookmarkEnd w:id="1337"/>
    </w:p>
    <w:p>
      <w:pPr>
        <w:pStyle w:val="Style36"/>
        <w:keepNext/>
        <w:keepLines/>
        <w:widowControl w:val="0"/>
        <w:shd w:val="clear" w:color="auto" w:fill="auto"/>
        <w:bidi w:val="0"/>
        <w:spacing w:before="0" w:after="300" w:line="288" w:lineRule="exact"/>
        <w:ind w:left="0" w:right="0" w:firstLine="260"/>
        <w:jc w:val="left"/>
      </w:pPr>
      <w:bookmarkStart w:id="1335" w:name="bookmark1335"/>
      <w:bookmarkStart w:id="1336" w:name="bookmark1336"/>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35"/>
      <w:bookmarkEnd w:id="1336"/>
      <w:bookmarkEnd w:id="1338"/>
    </w:p>
    <w:p>
      <w:pPr>
        <w:pStyle w:val="Style30"/>
        <w:keepNext w:val="0"/>
        <w:keepLines w:val="0"/>
        <w:widowControl w:val="0"/>
        <w:shd w:val="clear" w:color="auto" w:fill="auto"/>
        <w:bidi w:val="0"/>
        <w:spacing w:before="0" w:after="0" w:line="240" w:lineRule="auto"/>
        <w:ind w:left="9101" w:right="0" w:firstLine="0"/>
        <w:jc w:val="left"/>
      </w:pPr>
      <w:r>
        <w:rPr>
          <w:color w:val="000000"/>
          <w:spacing w:val="0"/>
          <w:w w:val="100"/>
          <w:position w:val="0"/>
        </w:rPr>
        <w:t>单位：元</w:t>
      </w:r>
    </w:p>
    <w:tbl>
      <w:tblPr>
        <w:tblOverlap w:val="never"/>
        <w:jc w:val="center"/>
        <w:tblLayout w:type="fixed"/>
      </w:tblPr>
      <w:tblGrid>
        <w:gridCol w:w="1066"/>
        <w:gridCol w:w="922"/>
        <w:gridCol w:w="1421"/>
        <w:gridCol w:w="706"/>
        <w:gridCol w:w="816"/>
        <w:gridCol w:w="1066"/>
        <w:gridCol w:w="955"/>
        <w:gridCol w:w="1454"/>
        <w:gridCol w:w="1531"/>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right"/>
            </w:pPr>
            <w:r>
              <w:rPr>
                <w:color w:val="000000"/>
                <w:spacing w:val="0"/>
                <w:w w:val="100"/>
                <w:position w:val="0"/>
              </w:rPr>
              <w:t>股权取 得比例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购买日至期末被购 买方的净利润</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神州控股下 属</w:t>
            </w:r>
            <w:r>
              <w:rPr>
                <w:rFonts w:ascii="Times New Roman" w:eastAsia="Times New Roman" w:hAnsi="Times New Roman" w:cs="Times New Roman"/>
                <w:color w:val="000000"/>
                <w:spacing w:val="0"/>
                <w:w w:val="100"/>
                <w:position w:val="0"/>
              </w:rPr>
              <w:t>IT</w:t>
            </w:r>
            <w:r>
              <w:rPr>
                <w:color w:val="000000"/>
                <w:spacing w:val="0"/>
                <w:w w:val="100"/>
                <w:position w:val="0"/>
              </w:rPr>
              <w:t>分销业 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40,401,136,208.62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343,525,139.58</w:t>
            </w:r>
          </w:p>
        </w:tc>
      </w:tr>
      <w:tr>
        <w:trPr>
          <w:trHeight w:val="52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北京神州云 科信息服务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5,471,500.00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完成工商变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5,680,400.80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-1,901,655.46</w:t>
            </w:r>
          </w:p>
        </w:tc>
      </w:tr>
    </w:tbl>
    <w:p>
      <w:pPr>
        <w:spacing w:lineRule="exact" w:line="1"/>
        <w:rPr>
          <w:sz w:val="2"/>
          <w:szCs w:val="2"/>
        </w:rPr>
      </w:pPr>
      <w:r>
        <w:br w:type="page"/>
      </w:r>
    </w:p>
    <w:tbl>
      <w:tblPr>
        <w:tblOverlap w:val="never"/>
        <w:jc w:val="center"/>
        <w:tblLayout w:type="fixed"/>
      </w:tblPr>
      <w:tblGrid>
        <w:gridCol w:w="1066"/>
        <w:gridCol w:w="922"/>
        <w:gridCol w:w="1421"/>
        <w:gridCol w:w="706"/>
        <w:gridCol w:w="816"/>
        <w:gridCol w:w="1066"/>
        <w:gridCol w:w="955"/>
        <w:gridCol w:w="1454"/>
        <w:gridCol w:w="1531"/>
      </w:tblGrid>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74" w:lineRule="exact"/>
        <w:ind w:left="0" w:right="0" w:firstLine="400"/>
        <w:jc w:val="both"/>
      </w:pPr>
      <w:r>
        <w:rPr>
          <w:color w:val="000000"/>
          <w:spacing w:val="0"/>
          <w:w w:val="100"/>
          <w:position w:val="0"/>
        </w:rPr>
        <w:t>其他说明：</w:t>
      </w:r>
    </w:p>
    <w:p>
      <w:pPr>
        <w:pStyle w:val="Style32"/>
        <w:keepNext w:val="0"/>
        <w:keepLines w:val="0"/>
        <w:widowControl w:val="0"/>
        <w:shd w:val="clear" w:color="auto" w:fill="auto"/>
        <w:bidi w:val="0"/>
        <w:spacing w:before="0" w:after="320" w:line="274" w:lineRule="exact"/>
        <w:ind w:left="4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日完成工商变更登记手续，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日完成交易对价的支付，并于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日召开股东大 会审议通过了变更法定代表人、改选董事等议案，因此本公司以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日为购买日。</w:t>
      </w:r>
    </w:p>
    <w:p>
      <w:pPr>
        <w:pStyle w:val="Style36"/>
        <w:keepNext/>
        <w:keepLines/>
        <w:widowControl w:val="0"/>
        <w:shd w:val="clear" w:color="auto" w:fill="auto"/>
        <w:bidi w:val="0"/>
        <w:spacing w:before="0" w:after="320" w:line="240" w:lineRule="auto"/>
        <w:ind w:left="0" w:right="0" w:firstLine="400"/>
        <w:jc w:val="left"/>
      </w:pPr>
      <w:bookmarkStart w:id="1339" w:name="bookmark1339"/>
      <w:bookmarkStart w:id="1340" w:name="bookmark1340"/>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39"/>
      <w:bookmarkEnd w:id="1340"/>
      <w:bookmarkEnd w:id="13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神码中国</w:t>
            </w:r>
            <w:r>
              <w:rPr>
                <w:rFonts w:ascii="Times New Roman" w:eastAsia="Times New Roman" w:hAnsi="Times New Roman" w:cs="Times New Roman"/>
                <w:color w:val="000000"/>
                <w:spacing w:val="0"/>
                <w:w w:val="100"/>
                <w:position w:val="0"/>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rPr>
              <w:t>100%</w:t>
            </w:r>
            <w:r>
              <w:rPr>
                <w:color w:val="000000"/>
                <w:spacing w:val="0"/>
                <w:w w:val="100"/>
                <w:position w:val="0"/>
              </w:rPr>
              <w:t>股 权、神码广州</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北京神州云科信息服务有限公司</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5,471,500.00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4,010,000,000.00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5,471,500.00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3,398,271,069.02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5,471,500.00</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611,728,930.98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2"/>
        <w:keepNext w:val="0"/>
        <w:keepLines w:val="0"/>
        <w:widowControl w:val="0"/>
        <w:shd w:val="clear" w:color="auto" w:fill="auto"/>
        <w:bidi w:val="0"/>
        <w:spacing w:before="0" w:after="40" w:line="216" w:lineRule="exact"/>
        <w:ind w:left="400" w:right="0" w:firstLine="0"/>
        <w:jc w:val="left"/>
      </w:pPr>
      <w:r>
        <w:rPr>
          <w:color w:val="000000"/>
          <w:spacing w:val="0"/>
          <w:w w:val="100"/>
          <w:position w:val="0"/>
        </w:rPr>
        <w:t>合并成本公允价值的确定方法、或有对价及其变动的说明：依据北京中同华资产评估有限公司出具的中同华评报字 （</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403</w:t>
      </w:r>
      <w:r>
        <w:rPr>
          <w:color w:val="000000"/>
          <w:spacing w:val="0"/>
          <w:w w:val="100"/>
          <w:position w:val="0"/>
        </w:rPr>
        <w:t>号《神州数码集团股份有限公司合并对价分摊项目资产评估报告书》。</w:t>
      </w:r>
    </w:p>
    <w:p>
      <w:pPr>
        <w:pStyle w:val="Style32"/>
        <w:keepNext w:val="0"/>
        <w:keepLines w:val="0"/>
        <w:widowControl w:val="0"/>
        <w:shd w:val="clear" w:color="auto" w:fill="auto"/>
        <w:bidi w:val="0"/>
        <w:spacing w:before="0" w:after="40" w:line="228" w:lineRule="exact"/>
        <w:ind w:left="400" w:right="0" w:firstLine="0"/>
        <w:jc w:val="left"/>
      </w:pPr>
      <w:r>
        <w:rPr>
          <w:color w:val="000000"/>
          <w:spacing w:val="0"/>
          <w:w w:val="100"/>
          <w:position w:val="0"/>
        </w:rPr>
        <w:t>大额商誉形成的主要原因：本公司于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月非同一控制收神码中国</w:t>
      </w:r>
      <w:r>
        <w:rPr>
          <w:rFonts w:ascii="Times New Roman" w:eastAsia="Times New Roman" w:hAnsi="Times New Roman" w:cs="Times New Roman"/>
          <w:color w:val="000000"/>
          <w:spacing w:val="0"/>
          <w:w w:val="100"/>
          <w:position w:val="0"/>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rPr>
        <w:t>100%</w:t>
      </w:r>
      <w:r>
        <w:rPr>
          <w:color w:val="000000"/>
          <w:spacing w:val="0"/>
          <w:w w:val="100"/>
          <w:position w:val="0"/>
        </w:rPr>
        <w:t>股权、神码广州</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股权产生，合并对价</w:t>
      </w:r>
      <w:r>
        <w:rPr>
          <w:rFonts w:ascii="Times New Roman" w:eastAsia="Times New Roman" w:hAnsi="Times New Roman" w:cs="Times New Roman"/>
          <w:color w:val="000000"/>
          <w:spacing w:val="0"/>
          <w:w w:val="100"/>
          <w:position w:val="0"/>
        </w:rPr>
        <w:t>4,010,000,000.00</w:t>
      </w:r>
      <w:r>
        <w:rPr>
          <w:color w:val="000000"/>
          <w:spacing w:val="0"/>
          <w:w w:val="100"/>
          <w:position w:val="0"/>
        </w:rPr>
        <w:t xml:space="preserve">元，合并日本公司应享有的神码中国、神码上海、神码上海可辨认净资产公允价值为 </w:t>
      </w:r>
      <w:r>
        <w:rPr>
          <w:rFonts w:ascii="Times New Roman" w:eastAsia="Times New Roman" w:hAnsi="Times New Roman" w:cs="Times New Roman"/>
          <w:color w:val="000000"/>
          <w:spacing w:val="0"/>
          <w:w w:val="100"/>
          <w:position w:val="0"/>
        </w:rPr>
        <w:t xml:space="preserve">3,398,271,069.02 </w:t>
      </w:r>
      <w:r>
        <w:rPr>
          <w:color w:val="000000"/>
          <w:spacing w:val="0"/>
          <w:w w:val="100"/>
          <w:position w:val="0"/>
        </w:rPr>
        <w:t xml:space="preserve">元，差额 </w:t>
      </w:r>
      <w:r>
        <w:rPr>
          <w:rFonts w:ascii="Times New Roman" w:eastAsia="Times New Roman" w:hAnsi="Times New Roman" w:cs="Times New Roman"/>
          <w:color w:val="000000"/>
          <w:spacing w:val="0"/>
          <w:w w:val="100"/>
          <w:position w:val="0"/>
        </w:rPr>
        <w:t xml:space="preserve">611,728,930.98 </w:t>
      </w:r>
      <w:r>
        <w:rPr>
          <w:color w:val="000000"/>
          <w:spacing w:val="0"/>
          <w:w w:val="100"/>
          <w:position w:val="0"/>
        </w:rPr>
        <w:t>元计入商誉。</w:t>
      </w:r>
    </w:p>
    <w:p>
      <w:pPr>
        <w:pStyle w:val="Style32"/>
        <w:keepNext w:val="0"/>
        <w:keepLines w:val="0"/>
        <w:widowControl w:val="0"/>
        <w:shd w:val="clear" w:color="auto" w:fill="auto"/>
        <w:bidi w:val="0"/>
        <w:spacing w:before="0" w:after="320" w:line="228" w:lineRule="exact"/>
        <w:ind w:left="0" w:right="0" w:firstLine="400"/>
        <w:jc w:val="left"/>
      </w:pPr>
      <w:r>
        <w:rPr>
          <w:color w:val="000000"/>
          <w:spacing w:val="0"/>
          <w:w w:val="100"/>
          <w:position w:val="0"/>
        </w:rPr>
        <w:t>其他说明：无</w:t>
      </w:r>
    </w:p>
    <w:p>
      <w:pPr>
        <w:pStyle w:val="Style36"/>
        <w:keepNext/>
        <w:keepLines/>
        <w:widowControl w:val="0"/>
        <w:shd w:val="clear" w:color="auto" w:fill="auto"/>
        <w:bidi w:val="0"/>
        <w:spacing w:before="0" w:after="320" w:line="240" w:lineRule="auto"/>
        <w:ind w:left="0" w:right="0" w:firstLine="40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42"/>
      <w:bookmarkEnd w:id="1343"/>
      <w:bookmarkEnd w:id="13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56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神码中国</w:t>
            </w:r>
            <w:r>
              <w:rPr>
                <w:rFonts w:ascii="Times New Roman" w:eastAsia="Times New Roman" w:hAnsi="Times New Roman" w:cs="Times New Roman"/>
                <w:color w:val="000000"/>
                <w:spacing w:val="0"/>
                <w:w w:val="100"/>
                <w:position w:val="0"/>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rPr>
              <w:t>100%</w:t>
            </w:r>
            <w:r>
              <w:rPr>
                <w:color w:val="000000"/>
                <w:spacing w:val="0"/>
                <w:w w:val="100"/>
                <w:position w:val="0"/>
              </w:rPr>
              <w:t>股权、神 码广州</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北京神州云科信息服务有限公司</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2,120,393,019.42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2,120,393,019.42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4,382,361.85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4,382,361.85</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5,504,119,980.61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5,504,119,980.61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196,744.75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196,744.75</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4,854,847,987.12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4,854,847,987.12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90,021.60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90,021.60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404,220,139.67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302,888,038.60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205,297.99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205,297.99</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4,333,586.32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1,714,894,520.61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1,714,894,520.61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377,095.58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377,095.58</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606,319,658.85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606,319,658.85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64,221,471.42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64,221,471.42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35,221,058.59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35,221,058.59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6,644,452.75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6,644,452.75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259,136,290.35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259,136,290.35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5,703,845,288.09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5,703,845,288.09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5,482,290,560.74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5,482,290,560.74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822,090.52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822,090.52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204,116,679.23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165,783,653.95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1,083,396.58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746,074,937.24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746,074,937.24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436,198.53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436,198.53</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87,420,045.07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87,420,045.07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57,196.69</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3,398,271,069.02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3,283,271,993.23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7,186,225.77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3,936,036.03</w:t>
            </w:r>
          </w:p>
        </w:tc>
      </w:tr>
    </w:tbl>
    <w:tbl>
      <w:tblPr>
        <w:tblOverlap w:val="never"/>
        <w:jc w:val="center"/>
        <w:tblLayout w:type="fixed"/>
      </w:tblPr>
      <w:tblGrid>
        <w:gridCol w:w="1915"/>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3,521,250.63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1,928,657.65</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3,398,271,069.02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3,283,271,993.23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3,664,975.14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2,007,378.38</w:t>
            </w:r>
          </w:p>
        </w:tc>
      </w:tr>
    </w:tbl>
    <w:p>
      <w:pPr>
        <w:widowControl w:val="0"/>
        <w:spacing w:after="39" w:line="1" w:lineRule="exact"/>
      </w:pPr>
    </w:p>
    <w:p>
      <w:pPr>
        <w:pStyle w:val="Style32"/>
        <w:keepNext w:val="0"/>
        <w:keepLines w:val="0"/>
        <w:widowControl w:val="0"/>
        <w:shd w:val="clear" w:color="auto" w:fill="auto"/>
        <w:bidi w:val="0"/>
        <w:spacing w:before="0" w:after="40" w:line="230" w:lineRule="exact"/>
        <w:ind w:left="400" w:right="0" w:firstLine="0"/>
        <w:jc w:val="left"/>
      </w:pPr>
      <w:r>
        <w:rPr>
          <w:color w:val="000000"/>
          <w:spacing w:val="0"/>
          <w:w w:val="100"/>
          <w:position w:val="0"/>
        </w:rPr>
        <w:t>可辨认资产、负债公允价值的确定方法：购买神码中国</w:t>
      </w:r>
      <w:r>
        <w:rPr>
          <w:rFonts w:ascii="Times New Roman" w:eastAsia="Times New Roman" w:hAnsi="Times New Roman" w:cs="Times New Roman"/>
          <w:color w:val="000000"/>
          <w:spacing w:val="0"/>
          <w:w w:val="100"/>
          <w:position w:val="0"/>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rPr>
        <w:t>100%</w:t>
      </w:r>
      <w:r>
        <w:rPr>
          <w:color w:val="000000"/>
          <w:spacing w:val="0"/>
          <w:w w:val="100"/>
          <w:position w:val="0"/>
        </w:rPr>
        <w:t>股权、神码广州</w:t>
      </w:r>
      <w:r>
        <w:rPr>
          <w:rFonts w:ascii="Times New Roman" w:eastAsia="Times New Roman" w:hAnsi="Times New Roman" w:cs="Times New Roman"/>
          <w:color w:val="000000"/>
          <w:spacing w:val="0"/>
          <w:w w:val="100"/>
          <w:position w:val="0"/>
        </w:rPr>
        <w:t>100%</w:t>
      </w:r>
      <w:r>
        <w:rPr>
          <w:color w:val="000000"/>
          <w:spacing w:val="0"/>
          <w:w w:val="100"/>
          <w:position w:val="0"/>
        </w:rPr>
        <w:t>股权，依据北京 中同华资产评估有限公司出具的中同华评报字(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403</w:t>
      </w:r>
      <w:r>
        <w:rPr>
          <w:color w:val="000000"/>
          <w:spacing w:val="0"/>
          <w:w w:val="100"/>
          <w:position w:val="0"/>
        </w:rPr>
        <w:t>号《神州数码集团股份有限公司合并对价分摊项目资产评估 报告书》。</w:t>
      </w:r>
    </w:p>
    <w:p>
      <w:pPr>
        <w:pStyle w:val="Style32"/>
        <w:keepNext w:val="0"/>
        <w:keepLines w:val="0"/>
        <w:widowControl w:val="0"/>
        <w:shd w:val="clear" w:color="auto" w:fill="auto"/>
        <w:bidi w:val="0"/>
        <w:spacing w:before="0" w:after="40" w:line="226" w:lineRule="exact"/>
        <w:ind w:left="400" w:right="0" w:firstLine="0"/>
        <w:jc w:val="left"/>
      </w:pPr>
      <w:r>
        <w:rPr>
          <w:color w:val="000000"/>
          <w:spacing w:val="0"/>
          <w:w w:val="100"/>
          <w:position w:val="0"/>
        </w:rPr>
        <w:t>购买北京神州云科信息服务有限公司，依据北京联首资产评估事务所有限公司出具的联首评字第(</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009</w:t>
      </w:r>
      <w:r>
        <w:rPr>
          <w:color w:val="000000"/>
          <w:spacing w:val="0"/>
          <w:w w:val="100"/>
          <w:position w:val="0"/>
        </w:rPr>
        <w:t>号《北京 神州云科信息技术有限公司拟进行股权转让涉及的北京神州云科信息服务有限公司股东全部权益价值资产评估报告》。</w:t>
      </w:r>
    </w:p>
    <w:p>
      <w:pPr>
        <w:pStyle w:val="Style32"/>
        <w:keepNext w:val="0"/>
        <w:keepLines w:val="0"/>
        <w:widowControl w:val="0"/>
        <w:shd w:val="clear" w:color="auto" w:fill="auto"/>
        <w:bidi w:val="0"/>
        <w:spacing w:before="0" w:after="40" w:line="230" w:lineRule="exact"/>
        <w:ind w:left="0" w:right="0" w:firstLine="400"/>
        <w:jc w:val="left"/>
      </w:pPr>
      <w:r>
        <w:rPr>
          <w:color w:val="000000"/>
          <w:spacing w:val="0"/>
          <w:w w:val="100"/>
          <w:position w:val="0"/>
        </w:rPr>
        <w:t>企业合并中承担的被购买方的或有负债：无</w:t>
      </w:r>
    </w:p>
    <w:p>
      <w:pPr>
        <w:pStyle w:val="Style32"/>
        <w:keepNext w:val="0"/>
        <w:keepLines w:val="0"/>
        <w:widowControl w:val="0"/>
        <w:shd w:val="clear" w:color="auto" w:fill="auto"/>
        <w:bidi w:val="0"/>
        <w:spacing w:before="0" w:after="0" w:line="230" w:lineRule="exact"/>
        <w:ind w:left="0" w:right="0" w:firstLine="400"/>
        <w:jc w:val="left"/>
      </w:pPr>
      <w:r>
        <w:rPr>
          <w:color w:val="000000"/>
          <w:spacing w:val="0"/>
          <w:w w:val="100"/>
          <w:position w:val="0"/>
        </w:rPr>
        <w:t>其他说明：</w:t>
      </w:r>
    </w:p>
    <w:p>
      <w:pPr>
        <w:pStyle w:val="Style32"/>
        <w:keepNext w:val="0"/>
        <w:keepLines w:val="0"/>
        <w:widowControl w:val="0"/>
        <w:shd w:val="clear" w:color="auto" w:fill="auto"/>
        <w:bidi w:val="0"/>
        <w:spacing w:before="0" w:after="360" w:line="276" w:lineRule="exact"/>
        <w:ind w:left="400" w:right="0"/>
        <w:jc w:val="left"/>
      </w:pPr>
      <w:r>
        <w:rPr>
          <w:color w:val="000000"/>
          <w:spacing w:val="0"/>
          <w:w w:val="100"/>
          <w:position w:val="0"/>
        </w:rPr>
        <w:t>本公司本年收购北京神州云科信息服务有限公司</w:t>
      </w:r>
      <w:r>
        <w:rPr>
          <w:rFonts w:ascii="Times New Roman" w:eastAsia="Times New Roman" w:hAnsi="Times New Roman" w:cs="Times New Roman"/>
          <w:color w:val="000000"/>
          <w:spacing w:val="0"/>
          <w:w w:val="100"/>
          <w:position w:val="0"/>
        </w:rPr>
        <w:t>51%</w:t>
      </w:r>
      <w:r>
        <w:rPr>
          <w:color w:val="000000"/>
          <w:spacing w:val="0"/>
          <w:w w:val="100"/>
          <w:position w:val="0"/>
        </w:rPr>
        <w:t>股权，购买日取得的净资产公允价值</w:t>
      </w:r>
      <w:r>
        <w:rPr>
          <w:rFonts w:ascii="Times New Roman" w:eastAsia="Times New Roman" w:hAnsi="Times New Roman" w:cs="Times New Roman"/>
          <w:color w:val="000000"/>
          <w:spacing w:val="0"/>
          <w:w w:val="100"/>
          <w:position w:val="0"/>
        </w:rPr>
        <w:t>3,664,975.14</w:t>
      </w:r>
      <w:r>
        <w:rPr>
          <w:color w:val="000000"/>
          <w:spacing w:val="0"/>
          <w:w w:val="100"/>
          <w:position w:val="0"/>
        </w:rPr>
        <w:t xml:space="preserve">元与购买成本 </w:t>
      </w:r>
      <w:r>
        <w:rPr>
          <w:rFonts w:ascii="Times New Roman" w:eastAsia="Times New Roman" w:hAnsi="Times New Roman" w:cs="Times New Roman"/>
          <w:color w:val="000000"/>
          <w:spacing w:val="0"/>
          <w:w w:val="100"/>
          <w:position w:val="0"/>
        </w:rPr>
        <w:t>5,471,500.00</w:t>
      </w:r>
      <w:r>
        <w:rPr>
          <w:color w:val="000000"/>
          <w:spacing w:val="0"/>
          <w:w w:val="100"/>
          <w:position w:val="0"/>
        </w:rPr>
        <w:t>元之间的差额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,806,524.86</w:t>
      </w:r>
      <w:r>
        <w:rPr>
          <w:color w:val="000000"/>
          <w:spacing w:val="0"/>
          <w:w w:val="100"/>
          <w:position w:val="0"/>
        </w:rPr>
        <w:t>元系评估基准日股权价值与购买日股权价值差额形成的。其他系本公司收购北京神州 云科信息服务有限公司</w:t>
      </w:r>
      <w:r>
        <w:rPr>
          <w:rFonts w:ascii="Times New Roman" w:eastAsia="Times New Roman" w:hAnsi="Times New Roman" w:cs="Times New Roman"/>
          <w:color w:val="000000"/>
          <w:spacing w:val="0"/>
          <w:w w:val="100"/>
          <w:position w:val="0"/>
        </w:rPr>
        <w:t>51%</w:t>
      </w:r>
      <w:r>
        <w:rPr>
          <w:color w:val="000000"/>
          <w:spacing w:val="0"/>
          <w:w w:val="100"/>
          <w:position w:val="0"/>
        </w:rPr>
        <w:t>股权时评估基准日股权价值与购买日股权价值差额形成的。</w:t>
      </w:r>
    </w:p>
    <w:p>
      <w:pPr>
        <w:pStyle w:val="Style36"/>
        <w:keepNext/>
        <w:keepLines/>
        <w:widowControl w:val="0"/>
        <w:numPr>
          <w:ilvl w:val="0"/>
          <w:numId w:val="35"/>
        </w:numPr>
        <w:shd w:val="clear" w:color="auto" w:fill="auto"/>
        <w:tabs>
          <w:tab w:pos="893" w:val="left"/>
        </w:tabs>
        <w:bidi w:val="0"/>
        <w:spacing w:before="0" w:after="300" w:line="240" w:lineRule="auto"/>
        <w:ind w:left="0" w:right="0" w:firstLine="40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购买日之前持有的股权按照公允价值重新计量产生的利得或损失</w:t>
      </w:r>
      <w:bookmarkEnd w:id="1346"/>
      <w:bookmarkEnd w:id="1347"/>
      <w:bookmarkEnd w:id="1349"/>
    </w:p>
    <w:p>
      <w:pPr>
        <w:pStyle w:val="Style32"/>
        <w:keepNext w:val="0"/>
        <w:keepLines w:val="0"/>
        <w:widowControl w:val="0"/>
        <w:shd w:val="clear" w:color="auto" w:fill="auto"/>
        <w:bidi w:val="0"/>
        <w:spacing w:before="0" w:after="40" w:line="230" w:lineRule="exact"/>
        <w:ind w:left="0" w:right="0" w:firstLine="400"/>
        <w:jc w:val="left"/>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after="300" w:line="266"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numPr>
          <w:ilvl w:val="0"/>
          <w:numId w:val="35"/>
        </w:numPr>
        <w:shd w:val="clear" w:color="auto" w:fill="auto"/>
        <w:tabs>
          <w:tab w:pos="893" w:val="left"/>
        </w:tabs>
        <w:bidi w:val="0"/>
        <w:spacing w:before="0" w:after="300" w:line="240" w:lineRule="auto"/>
        <w:ind w:left="0" w:right="0" w:firstLine="40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购买日或合并当期期末无法合理确定合并对价或被购买方可辨认资产、负债公允价值的相关说明</w:t>
      </w:r>
      <w:bookmarkEnd w:id="1350"/>
      <w:bookmarkEnd w:id="1351"/>
      <w:bookmarkEnd w:id="1353"/>
    </w:p>
    <w:p>
      <w:pPr>
        <w:pStyle w:val="Style32"/>
        <w:keepNext w:val="0"/>
        <w:keepLines w:val="0"/>
        <w:widowControl w:val="0"/>
        <w:shd w:val="clear" w:color="auto" w:fill="auto"/>
        <w:bidi w:val="0"/>
        <w:spacing w:before="0" w:after="300" w:line="230" w:lineRule="exact"/>
        <w:ind w:left="0" w:right="0" w:firstLine="400"/>
        <w:jc w:val="left"/>
      </w:pPr>
      <w:r>
        <w:rPr>
          <w:color w:val="000000"/>
          <w:spacing w:val="0"/>
          <w:w w:val="100"/>
          <w:position w:val="0"/>
        </w:rPr>
        <w:t>不适用</w:t>
      </w:r>
    </w:p>
    <w:p>
      <w:pPr>
        <w:pStyle w:val="Style36"/>
        <w:keepNext/>
        <w:keepLines/>
        <w:widowControl w:val="0"/>
        <w:numPr>
          <w:ilvl w:val="0"/>
          <w:numId w:val="35"/>
        </w:numPr>
        <w:shd w:val="clear" w:color="auto" w:fill="auto"/>
        <w:tabs>
          <w:tab w:pos="893" w:val="left"/>
        </w:tabs>
        <w:bidi w:val="0"/>
        <w:spacing w:before="0" w:after="300" w:line="240" w:lineRule="auto"/>
        <w:ind w:left="0" w:right="0" w:firstLine="40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其他说明</w:t>
      </w:r>
      <w:bookmarkEnd w:id="1354"/>
      <w:bookmarkEnd w:id="1355"/>
      <w:bookmarkEnd w:id="1357"/>
    </w:p>
    <w:p>
      <w:pPr>
        <w:pStyle w:val="Style32"/>
        <w:keepNext w:val="0"/>
        <w:keepLines w:val="0"/>
        <w:widowControl w:val="0"/>
        <w:shd w:val="clear" w:color="auto" w:fill="auto"/>
        <w:bidi w:val="0"/>
        <w:spacing w:before="0" w:after="360" w:line="230" w:lineRule="exact"/>
        <w:ind w:left="0" w:right="0" w:firstLine="400"/>
        <w:jc w:val="left"/>
      </w:pPr>
      <w:r>
        <w:rPr>
          <w:color w:val="000000"/>
          <w:spacing w:val="0"/>
          <w:w w:val="100"/>
          <w:position w:val="0"/>
        </w:rPr>
        <w:t>无</w:t>
      </w:r>
    </w:p>
    <w:p>
      <w:pPr>
        <w:pStyle w:val="Style36"/>
        <w:keepNext/>
        <w:keepLines/>
        <w:widowControl w:val="0"/>
        <w:shd w:val="clear" w:color="auto" w:fill="auto"/>
        <w:bidi w:val="0"/>
        <w:spacing w:before="0" w:after="300" w:line="240" w:lineRule="auto"/>
        <w:ind w:left="0" w:right="0" w:firstLine="40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358"/>
      <w:bookmarkEnd w:id="1359"/>
      <w:bookmarkEnd w:id="1360"/>
    </w:p>
    <w:p>
      <w:pPr>
        <w:pStyle w:val="Style32"/>
        <w:keepNext w:val="0"/>
        <w:keepLines w:val="0"/>
        <w:widowControl w:val="0"/>
        <w:shd w:val="clear" w:color="auto" w:fill="auto"/>
        <w:bidi w:val="0"/>
        <w:spacing w:before="0" w:after="40" w:line="264" w:lineRule="exact"/>
        <w:ind w:left="400" w:right="0" w:firstLine="0"/>
        <w:jc w:val="left"/>
      </w:pPr>
      <w:r>
        <w:rPr>
          <w:color w:val="000000"/>
          <w:spacing w:val="0"/>
          <w:w w:val="100"/>
          <w:position w:val="0"/>
        </w:rPr>
        <w:t xml:space="preserve">是否存在单次处置对子公司投资即丧失控制权的情形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1248"/>
        <w:gridCol w:w="739"/>
        <w:gridCol w:w="734"/>
        <w:gridCol w:w="734"/>
        <w:gridCol w:w="734"/>
        <w:gridCol w:w="1171"/>
        <w:gridCol w:w="734"/>
        <w:gridCol w:w="739"/>
        <w:gridCol w:w="734"/>
        <w:gridCol w:w="734"/>
        <w:gridCol w:w="739"/>
        <w:gridCol w:w="744"/>
      </w:tblGrid>
      <w:tr>
        <w:trPr>
          <w:trHeight w:val="21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股权处置价款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股权处 置比例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股权处 置方式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与原子 公司股 权投资 相关的 其他综 合收益 转入投 资损益 的金额</w:t>
            </w:r>
          </w:p>
        </w:tc>
      </w:tr>
      <w:tr>
        <w:trPr>
          <w:trHeight w:val="21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重大资 产出售 之标的 公司股 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160,800,900.00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日完成 工商变 更登 记，</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日收 到股权 转让款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56,510,592.20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21" w:lineRule="exact"/>
        <w:ind w:left="384" w:right="0" w:firstLine="0"/>
        <w:jc w:val="left"/>
      </w:pPr>
      <w:r>
        <w:rPr>
          <w:color w:val="000000"/>
          <w:spacing w:val="0"/>
          <w:w w:val="100"/>
          <w:position w:val="0"/>
        </w:rPr>
        <w:t>其他说明：股权处置比例为深圳市深信西部房地产有限公司、深圳市泰丰科技有限公司、深圳市华宝(集团)饲料有限公 司各自</w:t>
      </w:r>
      <w:r>
        <w:rPr>
          <w:rFonts w:ascii="Times New Roman" w:eastAsia="Times New Roman" w:hAnsi="Times New Roman" w:cs="Times New Roman"/>
          <w:color w:val="000000"/>
          <w:spacing w:val="0"/>
          <w:w w:val="100"/>
          <w:position w:val="0"/>
        </w:rPr>
        <w:t>100%</w:t>
      </w:r>
      <w:r>
        <w:rPr>
          <w:color w:val="000000"/>
          <w:spacing w:val="0"/>
          <w:w w:val="100"/>
          <w:position w:val="0"/>
        </w:rPr>
        <w:t>股权以及深圳市深信泰丰投资发展有限公司、深圳市龙岗区华宝经济发展有限公司各自</w:t>
      </w:r>
      <w:r>
        <w:rPr>
          <w:rFonts w:ascii="Times New Roman" w:eastAsia="Times New Roman" w:hAnsi="Times New Roman" w:cs="Times New Roman"/>
          <w:color w:val="000000"/>
          <w:spacing w:val="0"/>
          <w:w w:val="100"/>
          <w:position w:val="0"/>
        </w:rPr>
        <w:t>90%</w:t>
      </w:r>
      <w:r>
        <w:rPr>
          <w:color w:val="000000"/>
          <w:spacing w:val="0"/>
          <w:w w:val="100"/>
          <w:position w:val="0"/>
        </w:rPr>
        <w:t>股权</w:t>
      </w:r>
    </w:p>
    <w:p>
      <w:pPr>
        <w:widowControl w:val="0"/>
        <w:spacing w:after="39" w:line="1" w:lineRule="exact"/>
      </w:pPr>
    </w:p>
    <w:p>
      <w:pPr>
        <w:pStyle w:val="Style32"/>
        <w:keepNext w:val="0"/>
        <w:keepLines w:val="0"/>
        <w:widowControl w:val="0"/>
        <w:shd w:val="clear" w:color="auto" w:fill="auto"/>
        <w:bidi w:val="0"/>
        <w:spacing w:before="0" w:after="300" w:line="221" w:lineRule="exact"/>
        <w:ind w:left="0" w:right="0" w:firstLine="400"/>
        <w:jc w:val="left"/>
      </w:pPr>
      <w:r>
        <w:rPr>
          <w:color w:val="000000"/>
          <w:spacing w:val="0"/>
          <w:w w:val="100"/>
          <w:position w:val="0"/>
        </w:rPr>
        <w:t>是否存在通过多次交易分步处置对子公司投资且在本期丧失控制权的情形</w:t>
      </w:r>
      <w:r>
        <w:br w:type="page"/>
      </w:r>
    </w:p>
    <w:p>
      <w:pPr>
        <w:pStyle w:val="Style32"/>
        <w:keepNext w:val="0"/>
        <w:keepLines w:val="0"/>
        <w:widowControl w:val="0"/>
        <w:shd w:val="clear" w:color="auto" w:fill="auto"/>
        <w:bidi w:val="0"/>
        <w:spacing w:before="0" w:after="320" w:line="240" w:lineRule="auto"/>
        <w:ind w:left="0" w:right="0" w:firstLine="400"/>
        <w:jc w:val="both"/>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36"/>
        <w:keepNext/>
        <w:keepLines/>
        <w:widowControl w:val="0"/>
        <w:shd w:val="clear" w:color="auto" w:fill="auto"/>
        <w:bidi w:val="0"/>
        <w:spacing w:before="0" w:after="240" w:line="240" w:lineRule="auto"/>
        <w:ind w:left="0" w:right="0" w:firstLine="40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color w:val="000000"/>
          <w:spacing w:val="0"/>
          <w:w w:val="100"/>
          <w:position w:val="0"/>
        </w:rPr>
        <w:t>、其他原因的合并范围变动</w:t>
      </w:r>
      <w:bookmarkEnd w:id="1361"/>
      <w:bookmarkEnd w:id="1362"/>
      <w:bookmarkEnd w:id="1364"/>
    </w:p>
    <w:p>
      <w:pPr>
        <w:pStyle w:val="Style32"/>
        <w:keepNext w:val="0"/>
        <w:keepLines w:val="0"/>
        <w:widowControl w:val="0"/>
        <w:shd w:val="clear" w:color="auto" w:fill="auto"/>
        <w:bidi w:val="0"/>
        <w:spacing w:before="0" w:after="320" w:line="274" w:lineRule="exact"/>
        <w:ind w:left="400" w:right="0" w:firstLine="0"/>
        <w:jc w:val="both"/>
      </w:pPr>
      <w:r>
        <w:rPr>
          <w:color w:val="000000"/>
          <w:spacing w:val="0"/>
          <w:w w:val="100"/>
          <w:position w:val="0"/>
        </w:rPr>
        <w:t>说明其他原因导致的合并范围变动（如，新设子公司、清算子公司等）及其相关情况： 本合并财务报表范围在本年度因注销清算减少神州数码（上海）网络有限公司</w:t>
      </w:r>
      <w:r>
        <w:rPr>
          <w:rFonts w:ascii="Times New Roman" w:eastAsia="Times New Roman" w:hAnsi="Times New Roman" w:cs="Times New Roman"/>
          <w:color w:val="000000"/>
          <w:spacing w:val="0"/>
          <w:w w:val="100"/>
          <w:position w:val="0"/>
        </w:rPr>
        <w:t>1</w:t>
      </w:r>
      <w:r>
        <w:rPr>
          <w:color w:val="000000"/>
          <w:spacing w:val="0"/>
          <w:w w:val="100"/>
          <w:position w:val="0"/>
        </w:rPr>
        <w:t>家子公司。</w:t>
      </w:r>
    </w:p>
    <w:p>
      <w:pPr>
        <w:pStyle w:val="Style28"/>
        <w:keepNext/>
        <w:keepLines/>
        <w:widowControl w:val="0"/>
        <w:shd w:val="clear" w:color="auto" w:fill="auto"/>
        <w:bidi w:val="0"/>
        <w:spacing w:before="0" w:after="320" w:line="240" w:lineRule="auto"/>
        <w:ind w:left="0" w:right="0" w:firstLine="400"/>
        <w:jc w:val="both"/>
      </w:pPr>
      <w:bookmarkStart w:id="1365" w:name="bookmark1365"/>
      <w:bookmarkStart w:id="1366" w:name="bookmark1366"/>
      <w:bookmarkStart w:id="1367" w:name="bookmark1367"/>
      <w:bookmarkStart w:id="1368" w:name="bookmark1368"/>
      <w:r>
        <w:rPr>
          <w:color w:val="000000"/>
          <w:spacing w:val="0"/>
          <w:w w:val="100"/>
          <w:position w:val="0"/>
        </w:rPr>
        <w:t>九</w:t>
      </w:r>
      <w:bookmarkEnd w:id="1367"/>
      <w:r>
        <w:rPr>
          <w:color w:val="000000"/>
          <w:spacing w:val="0"/>
          <w:w w:val="100"/>
          <w:position w:val="0"/>
        </w:rPr>
        <w:t>、在其他主体中的权益</w:t>
      </w:r>
      <w:bookmarkEnd w:id="1365"/>
      <w:bookmarkEnd w:id="1366"/>
      <w:bookmarkEnd w:id="1368"/>
    </w:p>
    <w:p>
      <w:pPr>
        <w:pStyle w:val="Style36"/>
        <w:keepNext/>
        <w:keepLines/>
        <w:widowControl w:val="0"/>
        <w:shd w:val="clear" w:color="auto" w:fill="auto"/>
        <w:bidi w:val="0"/>
        <w:spacing w:before="0" w:after="320" w:line="240" w:lineRule="auto"/>
        <w:ind w:left="0" w:right="0" w:firstLine="400"/>
        <w:jc w:val="both"/>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69"/>
      <w:bookmarkEnd w:id="1370"/>
      <w:bookmarkEnd w:id="1371"/>
    </w:p>
    <w:p>
      <w:pPr>
        <w:pStyle w:val="Style36"/>
        <w:keepNext/>
        <w:keepLines/>
        <w:widowControl w:val="0"/>
        <w:shd w:val="clear" w:color="auto" w:fill="auto"/>
        <w:bidi w:val="0"/>
        <w:spacing w:before="0" w:after="320" w:line="240" w:lineRule="auto"/>
        <w:ind w:left="0" w:right="0" w:firstLine="520"/>
        <w:jc w:val="both"/>
      </w:pPr>
      <w:bookmarkStart w:id="1369" w:name="bookmark1369"/>
      <w:bookmarkStart w:id="1370" w:name="bookmark1370"/>
      <w:bookmarkStart w:id="1372" w:name="bookmark137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69"/>
      <w:bookmarkEnd w:id="1370"/>
      <w:bookmarkEnd w:id="1372"/>
    </w:p>
    <w:tbl>
      <w:tblPr>
        <w:tblOverlap w:val="never"/>
        <w:jc w:val="center"/>
        <w:tblLayout w:type="fixed"/>
      </w:tblPr>
      <w:tblGrid>
        <w:gridCol w:w="1373"/>
        <w:gridCol w:w="1368"/>
        <w:gridCol w:w="1368"/>
        <w:gridCol w:w="1368"/>
        <w:gridCol w:w="1157"/>
        <w:gridCol w:w="994"/>
        <w:gridCol w:w="1992"/>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广州神州数码有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神码沈阳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神码西安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神码长沙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神码成都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神码郑州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神码重庆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北京网络公司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 xml:space="preserve">IT </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 xml:space="preserve">IT </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DCMS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BVI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 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系统信息香港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tbl>
      <w:tblPr>
        <w:tblOverlap w:val="never"/>
        <w:jc w:val="center"/>
        <w:tblLayout w:type="fixed"/>
      </w:tblPr>
      <w:tblGrid>
        <w:gridCol w:w="1373"/>
        <w:gridCol w:w="1368"/>
        <w:gridCol w:w="1368"/>
        <w:gridCol w:w="1368"/>
        <w:gridCol w:w="1157"/>
        <w:gridCol w:w="994"/>
        <w:gridCol w:w="1992"/>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神码网络香港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北京智慧生活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神码电商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 xml:space="preserve">IT </w:t>
            </w:r>
            <w:r>
              <w:rPr>
                <w:color w:val="000000"/>
                <w:spacing w:val="0"/>
                <w:w w:val="100"/>
                <w:position w:val="0"/>
              </w:rPr>
              <w:t>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贵州云科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 xml:space="preserve">IT </w:t>
            </w:r>
            <w:r>
              <w:rPr>
                <w:color w:val="000000"/>
                <w:spacing w:val="0"/>
                <w:w w:val="100"/>
                <w:position w:val="0"/>
              </w:rPr>
              <w:t>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pStyle w:val="Style32"/>
        <w:keepNext w:val="0"/>
        <w:keepLines w:val="0"/>
        <w:widowControl w:val="0"/>
        <w:shd w:val="clear" w:color="auto" w:fill="auto"/>
        <w:bidi w:val="0"/>
        <w:spacing w:before="0" w:after="0" w:line="269" w:lineRule="exact"/>
        <w:ind w:left="400" w:right="0" w:firstLine="0"/>
        <w:jc w:val="left"/>
      </w:pPr>
      <w:r>
        <w:rPr>
          <w:color w:val="000000"/>
          <w:spacing w:val="0"/>
          <w:w w:val="100"/>
          <w:position w:val="0"/>
        </w:rPr>
        <w:t>在子公司的持股比例不同于表决权比例的说明：无</w:t>
      </w:r>
    </w:p>
    <w:p>
      <w:pPr>
        <w:pStyle w:val="Style32"/>
        <w:keepNext w:val="0"/>
        <w:keepLines w:val="0"/>
        <w:widowControl w:val="0"/>
        <w:shd w:val="clear" w:color="auto" w:fill="auto"/>
        <w:bidi w:val="0"/>
        <w:spacing w:before="0" w:after="0" w:line="269" w:lineRule="exact"/>
        <w:ind w:left="400" w:right="0" w:firstLine="0"/>
        <w:jc w:val="left"/>
      </w:pPr>
      <w:r>
        <w:rPr>
          <w:color w:val="000000"/>
          <w:spacing w:val="0"/>
          <w:w w:val="100"/>
          <w:position w:val="0"/>
        </w:rPr>
        <w:t>持有半数或以下表决权但仍控制被投资单位、以及持有半数以上表决权但不控制被投资单位的依据：无 对于纳入合并范围的重要的结构化主体，控制的依据：无</w:t>
      </w:r>
    </w:p>
    <w:p>
      <w:pPr>
        <w:pStyle w:val="Style32"/>
        <w:keepNext w:val="0"/>
        <w:keepLines w:val="0"/>
        <w:widowControl w:val="0"/>
        <w:shd w:val="clear" w:color="auto" w:fill="auto"/>
        <w:bidi w:val="0"/>
        <w:spacing w:before="0" w:after="0" w:line="269" w:lineRule="exact"/>
        <w:ind w:left="0" w:right="0" w:firstLine="400"/>
        <w:jc w:val="both"/>
      </w:pPr>
      <w:r>
        <w:rPr>
          <w:color w:val="000000"/>
          <w:spacing w:val="0"/>
          <w:w w:val="100"/>
          <w:position w:val="0"/>
        </w:rPr>
        <w:t>确定公司是代理人还是委托人的依据：无</w:t>
      </w:r>
    </w:p>
    <w:p>
      <w:pPr>
        <w:pStyle w:val="Style32"/>
        <w:keepNext w:val="0"/>
        <w:keepLines w:val="0"/>
        <w:widowControl w:val="0"/>
        <w:shd w:val="clear" w:color="auto" w:fill="auto"/>
        <w:bidi w:val="0"/>
        <w:spacing w:before="0" w:after="220" w:line="269" w:lineRule="exact"/>
        <w:ind w:left="0" w:right="0" w:firstLine="400"/>
        <w:jc w:val="both"/>
      </w:pPr>
      <w:r>
        <w:rPr>
          <w:color w:val="000000"/>
          <w:spacing w:val="0"/>
          <w:w w:val="100"/>
          <w:position w:val="0"/>
        </w:rPr>
        <w:t>其他说明：</w:t>
      </w:r>
    </w:p>
    <w:p>
      <w:pPr>
        <w:pStyle w:val="Style32"/>
        <w:keepNext w:val="0"/>
        <w:keepLines w:val="0"/>
        <w:widowControl w:val="0"/>
        <w:shd w:val="clear" w:color="auto" w:fill="auto"/>
        <w:bidi w:val="0"/>
        <w:spacing w:before="0" w:after="220" w:line="235"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神码中国系由神码有限于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日出资设立的台港澳法人独资有限责任公司，公司注册资本港币</w:t>
      </w:r>
      <w:r>
        <w:rPr>
          <w:rFonts w:ascii="Times New Roman" w:eastAsia="Times New Roman" w:hAnsi="Times New Roman" w:cs="Times New Roman"/>
          <w:color w:val="000000"/>
          <w:spacing w:val="0"/>
          <w:w w:val="100"/>
          <w:position w:val="0"/>
        </w:rPr>
        <w:t>100,000</w:t>
      </w:r>
      <w:r>
        <w:rPr>
          <w:color w:val="000000"/>
          <w:spacing w:val="0"/>
          <w:w w:val="100"/>
          <w:position w:val="0"/>
        </w:rPr>
        <w:t>万元。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日，神码有限将其持有的神码中国</w:t>
      </w:r>
      <w:r>
        <w:rPr>
          <w:rFonts w:ascii="Times New Roman" w:eastAsia="Times New Roman" w:hAnsi="Times New Roman" w:cs="Times New Roman"/>
          <w:color w:val="000000"/>
          <w:spacing w:val="0"/>
          <w:w w:val="100"/>
          <w:position w:val="0"/>
        </w:rPr>
        <w:t>100%</w:t>
      </w:r>
      <w:r>
        <w:rPr>
          <w:color w:val="000000"/>
          <w:spacing w:val="0"/>
          <w:w w:val="100"/>
          <w:position w:val="0"/>
        </w:rPr>
        <w:t>股权转让给本公司，转让后，神码中国成为本公司全资子公司，公司 类型由台港澳法人独资有限责任公司变更为法人独资有限责任公司，公司注册资本变更为人民币</w:t>
      </w:r>
      <w:r>
        <w:rPr>
          <w:rFonts w:ascii="Times New Roman" w:eastAsia="Times New Roman" w:hAnsi="Times New Roman" w:cs="Times New Roman"/>
          <w:color w:val="000000"/>
          <w:spacing w:val="0"/>
          <w:w w:val="100"/>
          <w:position w:val="0"/>
        </w:rPr>
        <w:t>104,272.225</w:t>
      </w:r>
      <w:r>
        <w:rPr>
          <w:color w:val="000000"/>
          <w:spacing w:val="0"/>
          <w:w w:val="100"/>
          <w:position w:val="0"/>
        </w:rPr>
        <w:t>万元。</w:t>
      </w:r>
    </w:p>
    <w:p>
      <w:pPr>
        <w:pStyle w:val="Style32"/>
        <w:keepNext w:val="0"/>
        <w:keepLines w:val="0"/>
        <w:widowControl w:val="0"/>
        <w:shd w:val="clear" w:color="auto" w:fill="auto"/>
        <w:bidi w:val="0"/>
        <w:spacing w:before="0" w:after="220" w:line="234"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神码上海系由神码有限于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日出资港币</w:t>
      </w:r>
      <w:r>
        <w:rPr>
          <w:rFonts w:ascii="Times New Roman" w:eastAsia="Times New Roman" w:hAnsi="Times New Roman" w:cs="Times New Roman"/>
          <w:color w:val="000000"/>
          <w:spacing w:val="0"/>
          <w:w w:val="100"/>
          <w:position w:val="0"/>
        </w:rPr>
        <w:t>1,000</w:t>
      </w:r>
      <w:r>
        <w:rPr>
          <w:color w:val="000000"/>
          <w:spacing w:val="0"/>
          <w:w w:val="100"/>
          <w:position w:val="0"/>
        </w:rPr>
        <w:t>万元设立的台港澳法人独资有限责任公司。于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日，神码有限对神码上海增资港币</w:t>
      </w:r>
      <w:r>
        <w:rPr>
          <w:rFonts w:ascii="Times New Roman" w:eastAsia="Times New Roman" w:hAnsi="Times New Roman" w:cs="Times New Roman"/>
          <w:color w:val="000000"/>
          <w:spacing w:val="0"/>
          <w:w w:val="100"/>
          <w:position w:val="0"/>
        </w:rPr>
        <w:t>2,000</w:t>
      </w:r>
      <w:r>
        <w:rPr>
          <w:color w:val="000000"/>
          <w:spacing w:val="0"/>
          <w:w w:val="100"/>
          <w:position w:val="0"/>
        </w:rPr>
        <w:t>万元，增资后，神码上海的注册资本及实收资本变更为港币</w:t>
      </w:r>
      <w:r>
        <w:rPr>
          <w:rFonts w:ascii="Times New Roman" w:eastAsia="Times New Roman" w:hAnsi="Times New Roman" w:cs="Times New Roman"/>
          <w:color w:val="000000"/>
          <w:spacing w:val="0"/>
          <w:w w:val="100"/>
          <w:position w:val="0"/>
        </w:rPr>
        <w:t>3,000</w:t>
      </w:r>
      <w:r>
        <w:rPr>
          <w:color w:val="000000"/>
          <w:spacing w:val="0"/>
          <w:w w:val="100"/>
          <w:position w:val="0"/>
        </w:rPr>
        <w:t>万元。于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日，神码有限对神码上海增资港币</w:t>
      </w:r>
      <w:r>
        <w:rPr>
          <w:rFonts w:ascii="Times New Roman" w:eastAsia="Times New Roman" w:hAnsi="Times New Roman" w:cs="Times New Roman"/>
          <w:color w:val="000000"/>
          <w:spacing w:val="0"/>
          <w:w w:val="100"/>
          <w:position w:val="0"/>
        </w:rPr>
        <w:t>25,500</w:t>
      </w:r>
      <w:r>
        <w:rPr>
          <w:color w:val="000000"/>
          <w:spacing w:val="0"/>
          <w:w w:val="100"/>
          <w:position w:val="0"/>
        </w:rPr>
        <w:t>万元，增资后，神码上海的注册资本及实收资本变更为港币</w:t>
      </w:r>
      <w:r>
        <w:rPr>
          <w:rFonts w:ascii="Times New Roman" w:eastAsia="Times New Roman" w:hAnsi="Times New Roman" w:cs="Times New Roman"/>
          <w:color w:val="000000"/>
          <w:spacing w:val="0"/>
          <w:w w:val="100"/>
          <w:position w:val="0"/>
        </w:rPr>
        <w:t>28,500</w:t>
      </w:r>
      <w:r>
        <w:rPr>
          <w:color w:val="000000"/>
          <w:spacing w:val="0"/>
          <w:w w:val="100"/>
          <w:position w:val="0"/>
        </w:rPr>
        <w:t>万元。于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日，神码有限将其持有的神码上海</w:t>
      </w:r>
      <w:r>
        <w:rPr>
          <w:rFonts w:ascii="Times New Roman" w:eastAsia="Times New Roman" w:hAnsi="Times New Roman" w:cs="Times New Roman"/>
          <w:color w:val="000000"/>
          <w:spacing w:val="0"/>
          <w:w w:val="100"/>
          <w:position w:val="0"/>
        </w:rPr>
        <w:t>100%</w:t>
      </w:r>
      <w:r>
        <w:rPr>
          <w:color w:val="000000"/>
          <w:spacing w:val="0"/>
          <w:w w:val="100"/>
          <w:position w:val="0"/>
        </w:rPr>
        <w:t>股权转让给本公司，转让后，神码上海成为本公司全资子公司，公司类型由 台港澳法人独资有限责任公司变更为法人独资有限责任公司，公司注册资本变更为人民币</w:t>
      </w:r>
      <w:r>
        <w:rPr>
          <w:rFonts w:ascii="Times New Roman" w:eastAsia="Times New Roman" w:hAnsi="Times New Roman" w:cs="Times New Roman"/>
          <w:color w:val="000000"/>
          <w:spacing w:val="0"/>
          <w:w w:val="100"/>
          <w:position w:val="0"/>
        </w:rPr>
        <w:t>23,105.115</w:t>
      </w:r>
      <w:r>
        <w:rPr>
          <w:color w:val="000000"/>
          <w:spacing w:val="0"/>
          <w:w w:val="100"/>
          <w:position w:val="0"/>
        </w:rPr>
        <w:t>万元。</w:t>
      </w:r>
    </w:p>
    <w:p>
      <w:pPr>
        <w:pStyle w:val="Style32"/>
        <w:keepNext w:val="0"/>
        <w:keepLines w:val="0"/>
        <w:widowControl w:val="0"/>
        <w:shd w:val="clear" w:color="auto" w:fill="auto"/>
        <w:bidi w:val="0"/>
        <w:spacing w:before="0" w:after="220" w:line="235"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广州神州数码有限公司由神码有限及北京神州数码有限公司于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日共同出资设立。于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日，神 码有限将其持有的广州神州数码有限公司</w:t>
      </w:r>
      <w:r>
        <w:rPr>
          <w:rFonts w:ascii="Times New Roman" w:eastAsia="Times New Roman" w:hAnsi="Times New Roman" w:cs="Times New Roman"/>
          <w:color w:val="000000"/>
          <w:spacing w:val="0"/>
          <w:w w:val="100"/>
          <w:position w:val="0"/>
        </w:rPr>
        <w:t>70%</w:t>
      </w:r>
      <w:r>
        <w:rPr>
          <w:color w:val="000000"/>
          <w:spacing w:val="0"/>
          <w:w w:val="100"/>
          <w:position w:val="0"/>
        </w:rPr>
        <w:t>股权转让给神码中国，注册资本由港币</w:t>
      </w:r>
      <w:r>
        <w:rPr>
          <w:rFonts w:ascii="Times New Roman" w:eastAsia="Times New Roman" w:hAnsi="Times New Roman" w:cs="Times New Roman"/>
          <w:color w:val="000000"/>
          <w:spacing w:val="0"/>
          <w:w w:val="100"/>
          <w:position w:val="0"/>
        </w:rPr>
        <w:t>1,200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274.04</w:t>
      </w:r>
      <w:r>
        <w:rPr>
          <w:color w:val="000000"/>
          <w:spacing w:val="0"/>
          <w:w w:val="100"/>
          <w:position w:val="0"/>
        </w:rPr>
        <w:t>万元， 转让后，神码中国持有广州神州数码有限公司</w:t>
      </w:r>
      <w:r>
        <w:rPr>
          <w:rFonts w:ascii="Times New Roman" w:eastAsia="Times New Roman" w:hAnsi="Times New Roman" w:cs="Times New Roman"/>
          <w:color w:val="000000"/>
          <w:spacing w:val="0"/>
          <w:w w:val="100"/>
          <w:position w:val="0"/>
        </w:rPr>
        <w:t>70%</w:t>
      </w:r>
      <w:r>
        <w:rPr>
          <w:color w:val="000000"/>
          <w:spacing w:val="0"/>
          <w:w w:val="100"/>
          <w:position w:val="0"/>
        </w:rPr>
        <w:t>股权，北京神州数码有限公司持有广州神州数码有限公司</w:t>
      </w:r>
      <w:r>
        <w:rPr>
          <w:rFonts w:ascii="Times New Roman" w:eastAsia="Times New Roman" w:hAnsi="Times New Roman" w:cs="Times New Roman"/>
          <w:color w:val="000000"/>
          <w:spacing w:val="0"/>
          <w:w w:val="100"/>
          <w:position w:val="0"/>
        </w:rPr>
        <w:t>30%</w:t>
      </w:r>
      <w:r>
        <w:rPr>
          <w:color w:val="000000"/>
          <w:spacing w:val="0"/>
          <w:w w:val="100"/>
          <w:position w:val="0"/>
        </w:rPr>
        <w:t>股权。</w:t>
      </w:r>
    </w:p>
    <w:p>
      <w:pPr>
        <w:pStyle w:val="Style32"/>
        <w:keepNext w:val="0"/>
        <w:keepLines w:val="0"/>
        <w:widowControl w:val="0"/>
        <w:shd w:val="clear" w:color="auto" w:fill="auto"/>
        <w:bidi w:val="0"/>
        <w:spacing w:before="0" w:after="220" w:line="235"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神码沈阳系于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日，神码有限将其持有的 神码沈阳</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股权转让给神码中国，转让后，神码沈阳成为神码中国全资子公司，公司类型由台港澳法人独资有限责任公 司变更为自然人投资或控股的法人独资有限责任公司，公司注册资本由港币</w:t>
      </w:r>
      <w:r>
        <w:rPr>
          <w:rFonts w:ascii="Times New Roman" w:eastAsia="Times New Roman" w:hAnsi="Times New Roman" w:cs="Times New Roman"/>
          <w:color w:val="000000"/>
          <w:spacing w:val="0"/>
          <w:w w:val="100"/>
          <w:position w:val="0"/>
        </w:rPr>
        <w:t>3,900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3,370</w:t>
      </w:r>
      <w:r>
        <w:rPr>
          <w:color w:val="000000"/>
          <w:spacing w:val="0"/>
          <w:w w:val="100"/>
          <w:position w:val="0"/>
        </w:rPr>
        <w:t>万元。</w:t>
      </w:r>
    </w:p>
    <w:p>
      <w:pPr>
        <w:pStyle w:val="Style32"/>
        <w:keepNext w:val="0"/>
        <w:keepLines w:val="0"/>
        <w:widowControl w:val="0"/>
        <w:shd w:val="clear" w:color="auto" w:fill="auto"/>
        <w:bidi w:val="0"/>
        <w:spacing w:before="0" w:after="220" w:line="234"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神码深圳系于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日，神码有限将其持 有的神码深圳</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股权转让给神码中国，转让后，神码深圳成为神码中国全资子公司，公司类型由台港澳法人独资有限责 任公司变更为法人独资有限责任公司，注册资本由港币</w:t>
      </w:r>
      <w:r>
        <w:rPr>
          <w:rFonts w:ascii="Times New Roman" w:eastAsia="Times New Roman" w:hAnsi="Times New Roman" w:cs="Times New Roman"/>
          <w:color w:val="000000"/>
          <w:spacing w:val="0"/>
          <w:w w:val="100"/>
          <w:position w:val="0"/>
        </w:rPr>
        <w:t>1,200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1,273</w:t>
      </w:r>
      <w:r>
        <w:rPr>
          <w:color w:val="000000"/>
          <w:spacing w:val="0"/>
          <w:w w:val="100"/>
          <w:position w:val="0"/>
        </w:rPr>
        <w:t>万元。</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12</w:t>
      </w:r>
      <w:r>
        <w:rPr>
          <w:color w:val="000000"/>
          <w:spacing w:val="0"/>
          <w:w w:val="100"/>
          <w:position w:val="0"/>
        </w:rPr>
        <w:t>日，神码中国对神码 深圳增资人民币</w:t>
      </w:r>
      <w:r>
        <w:rPr>
          <w:color w:val="000000"/>
          <w:spacing w:val="0"/>
          <w:w w:val="100"/>
          <w:position w:val="0"/>
          <w:sz w:val="17"/>
          <w:szCs w:val="17"/>
        </w:rPr>
        <w:t>8727</w:t>
      </w:r>
      <w:r>
        <w:rPr>
          <w:color w:val="000000"/>
          <w:spacing w:val="0"/>
          <w:w w:val="100"/>
          <w:position w:val="0"/>
        </w:rPr>
        <w:t>万元，增资后神码深圳的注册资本由人民币</w:t>
      </w:r>
      <w:r>
        <w:rPr>
          <w:color w:val="000000"/>
          <w:spacing w:val="0"/>
          <w:w w:val="100"/>
          <w:position w:val="0"/>
          <w:sz w:val="17"/>
          <w:szCs w:val="17"/>
        </w:rPr>
        <w:t>1273</w:t>
      </w:r>
      <w:r>
        <w:rPr>
          <w:color w:val="000000"/>
          <w:spacing w:val="0"/>
          <w:w w:val="100"/>
          <w:position w:val="0"/>
        </w:rPr>
        <w:t>万元变更为人民币</w:t>
      </w:r>
      <w:r>
        <w:rPr>
          <w:color w:val="000000"/>
          <w:spacing w:val="0"/>
          <w:w w:val="100"/>
          <w:position w:val="0"/>
          <w:sz w:val="17"/>
          <w:szCs w:val="17"/>
        </w:rPr>
        <w:t>1</w:t>
      </w:r>
      <w:r>
        <w:rPr>
          <w:color w:val="000000"/>
          <w:spacing w:val="0"/>
          <w:w w:val="100"/>
          <w:position w:val="0"/>
        </w:rPr>
        <w:t>亿元。</w:t>
      </w:r>
    </w:p>
    <w:p>
      <w:pPr>
        <w:pStyle w:val="Style32"/>
        <w:keepNext w:val="0"/>
        <w:keepLines w:val="0"/>
        <w:widowControl w:val="0"/>
        <w:shd w:val="clear" w:color="auto" w:fill="auto"/>
        <w:bidi w:val="0"/>
        <w:spacing w:before="0" w:after="220" w:line="235"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神码南京系于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日，神码有限将其持 有的神码南京</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股权转让给神码中国，转让后，神码南京成为神码中国全资子公司，公司类型由台港澳法人独资有限责 任公司变更为自然人投资或控股的法人独资有限责任公司，注册资本由港币</w:t>
      </w:r>
      <w:r>
        <w:rPr>
          <w:rFonts w:ascii="Times New Roman" w:eastAsia="Times New Roman" w:hAnsi="Times New Roman" w:cs="Times New Roman"/>
          <w:color w:val="000000"/>
          <w:spacing w:val="0"/>
          <w:w w:val="100"/>
          <w:position w:val="0"/>
        </w:rPr>
        <w:t>300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318.5</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32"/>
        <w:keepNext w:val="0"/>
        <w:keepLines w:val="0"/>
        <w:widowControl w:val="0"/>
        <w:shd w:val="clear" w:color="auto" w:fill="auto"/>
        <w:bidi w:val="0"/>
        <w:spacing w:before="0" w:after="220" w:line="238"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神码济南系于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日，神码有限将其持 有的神码济南</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股权转让给神码中国，转让后，神码济南成为神码中国全资子公司，公司类型由台港澳法人独资有限责 任公司变更为一人有限责任公司（私营法人独资），注册资本由港币</w:t>
      </w:r>
      <w:r>
        <w:rPr>
          <w:rFonts w:ascii="Times New Roman" w:eastAsia="Times New Roman" w:hAnsi="Times New Roman" w:cs="Times New Roman"/>
          <w:color w:val="000000"/>
          <w:spacing w:val="0"/>
          <w:w w:val="100"/>
          <w:position w:val="0"/>
        </w:rPr>
        <w:t>600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547</w:t>
      </w:r>
      <w:r>
        <w:rPr>
          <w:color w:val="000000"/>
          <w:spacing w:val="0"/>
          <w:w w:val="100"/>
          <w:position w:val="0"/>
        </w:rPr>
        <w:t>万元。</w:t>
      </w:r>
    </w:p>
    <w:p>
      <w:pPr>
        <w:pStyle w:val="Style32"/>
        <w:keepNext w:val="0"/>
        <w:keepLines w:val="0"/>
        <w:widowControl w:val="0"/>
        <w:shd w:val="clear" w:color="auto" w:fill="auto"/>
        <w:bidi w:val="0"/>
        <w:spacing w:before="0" w:after="220" w:line="235"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神码杭州系于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日，神码有限将其持 有的神码杭州</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股权转让给神码中国，转让后，神码济南成为神码中国全资子公司，公司类型由台港澳法人独资有限责 任公司变更为外商投资企业法人独资有限责任公司，注册资本由港币</w:t>
      </w:r>
      <w:r>
        <w:rPr>
          <w:rFonts w:ascii="Times New Roman" w:eastAsia="Times New Roman" w:hAnsi="Times New Roman" w:cs="Times New Roman"/>
          <w:color w:val="000000"/>
          <w:spacing w:val="0"/>
          <w:w w:val="100"/>
          <w:position w:val="0"/>
        </w:rPr>
        <w:t>300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318</w:t>
      </w:r>
      <w:r>
        <w:rPr>
          <w:color w:val="000000"/>
          <w:spacing w:val="0"/>
          <w:w w:val="100"/>
          <w:position w:val="0"/>
        </w:rPr>
        <w:t>万元。</w:t>
      </w:r>
    </w:p>
    <w:p>
      <w:pPr>
        <w:pStyle w:val="Style32"/>
        <w:keepNext w:val="0"/>
        <w:keepLines w:val="0"/>
        <w:widowControl w:val="0"/>
        <w:shd w:val="clear" w:color="auto" w:fill="auto"/>
        <w:bidi w:val="0"/>
        <w:spacing w:before="0" w:after="220" w:line="240"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神码合肥系于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日，神码有限将其持 有的神码合肥</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股权转让给神码中国，转让后，神码合肥成为神码中国全资子公司，公司类型由台港澳法人独资有限责</w:t>
      </w:r>
    </w:p>
    <w:p>
      <w:pPr>
        <w:pStyle w:val="Style32"/>
        <w:keepNext w:val="0"/>
        <w:keepLines w:val="0"/>
        <w:widowControl w:val="0"/>
        <w:shd w:val="clear" w:color="auto" w:fill="auto"/>
        <w:bidi w:val="0"/>
        <w:spacing w:before="0" w:after="220" w:line="236" w:lineRule="exact"/>
        <w:ind w:left="0" w:right="0" w:firstLine="400"/>
        <w:jc w:val="left"/>
      </w:pPr>
      <w:r>
        <w:rPr>
          <w:color w:val="000000"/>
          <w:spacing w:val="0"/>
          <w:w w:val="100"/>
          <w:position w:val="0"/>
        </w:rPr>
        <w:t>任公司变更为自然人投资或控股的法人独资有限责任公司，注册资本由港币</w:t>
      </w:r>
      <w:r>
        <w:rPr>
          <w:rFonts w:ascii="Times New Roman" w:eastAsia="Times New Roman" w:hAnsi="Times New Roman" w:cs="Times New Roman"/>
          <w:color w:val="000000"/>
          <w:spacing w:val="0"/>
          <w:w w:val="100"/>
          <w:position w:val="0"/>
        </w:rPr>
        <w:t>1,000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,030.8</w:t>
      </w:r>
      <w:r>
        <w:rPr>
          <w:color w:val="000000"/>
          <w:spacing w:val="0"/>
          <w:w w:val="100"/>
          <w:position w:val="0"/>
        </w:rPr>
        <w:t>万元。</w:t>
      </w:r>
    </w:p>
    <w:p>
      <w:pPr>
        <w:pStyle w:val="Style32"/>
        <w:keepNext w:val="0"/>
        <w:keepLines w:val="0"/>
        <w:widowControl w:val="0"/>
        <w:shd w:val="clear" w:color="auto" w:fill="auto"/>
        <w:bidi w:val="0"/>
        <w:spacing w:before="0" w:after="220" w:line="235"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神码西安系于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日，神码有限将其持 有的神码西安</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股权转让给神码中国，转让后，神码西安成为神码中国全资子公司，注册资本人民币</w:t>
      </w:r>
      <w:r>
        <w:rPr>
          <w:rFonts w:ascii="Times New Roman" w:eastAsia="Times New Roman" w:hAnsi="Times New Roman" w:cs="Times New Roman"/>
          <w:color w:val="000000"/>
          <w:spacing w:val="0"/>
          <w:w w:val="100"/>
          <w:position w:val="0"/>
        </w:rPr>
        <w:t>973.65</w:t>
      </w:r>
      <w:r>
        <w:rPr>
          <w:color w:val="000000"/>
          <w:spacing w:val="0"/>
          <w:w w:val="100"/>
          <w:position w:val="0"/>
        </w:rPr>
        <w:t>万元。</w:t>
      </w:r>
    </w:p>
    <w:p>
      <w:pPr>
        <w:pStyle w:val="Style32"/>
        <w:keepNext w:val="0"/>
        <w:keepLines w:val="0"/>
        <w:widowControl w:val="0"/>
        <w:shd w:val="clear" w:color="auto" w:fill="auto"/>
        <w:bidi w:val="0"/>
        <w:spacing w:before="0" w:after="220" w:line="233"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神码长沙系于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日，神码有限将其持 有的神码长沙</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股权转让给神码中国，转让后，神码长沙成为神码中国全资子公司，公司类型由台港澳法人独资有限责 任公司变更为非自然人投资或控股的法人独资有限责任公司，注册资本由港币</w:t>
      </w:r>
      <w:r>
        <w:rPr>
          <w:rFonts w:ascii="Times New Roman" w:eastAsia="Times New Roman" w:hAnsi="Times New Roman" w:cs="Times New Roman"/>
          <w:color w:val="000000"/>
          <w:spacing w:val="0"/>
          <w:w w:val="100"/>
          <w:position w:val="0"/>
        </w:rPr>
        <w:t>2,000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1,974.6230</w:t>
      </w:r>
      <w:r>
        <w:rPr>
          <w:color w:val="000000"/>
          <w:spacing w:val="0"/>
          <w:w w:val="100"/>
          <w:position w:val="0"/>
        </w:rPr>
        <w:t>万元。</w:t>
      </w:r>
    </w:p>
    <w:p>
      <w:pPr>
        <w:pStyle w:val="Style32"/>
        <w:keepNext w:val="0"/>
        <w:keepLines w:val="0"/>
        <w:widowControl w:val="0"/>
        <w:shd w:val="clear" w:color="auto" w:fill="auto"/>
        <w:bidi w:val="0"/>
        <w:spacing w:before="0" w:after="220" w:line="238"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神码福州系于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日，神码有限将其 持有的神码福州</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股权转让给神码中国，转让后，神码福州成为神码中国全资子公司，公司类型由台港澳法人独资有限 责任公司变更为自然人投资或控股的法人独资有限责任公司，注册资本由港币</w:t>
      </w:r>
      <w:r>
        <w:rPr>
          <w:rFonts w:ascii="Times New Roman" w:eastAsia="Times New Roman" w:hAnsi="Times New Roman" w:cs="Times New Roman"/>
          <w:color w:val="000000"/>
          <w:spacing w:val="0"/>
          <w:w w:val="100"/>
          <w:position w:val="0"/>
        </w:rPr>
        <w:t>1,000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991.387</w:t>
      </w:r>
      <w:r>
        <w:rPr>
          <w:color w:val="000000"/>
          <w:spacing w:val="0"/>
          <w:w w:val="100"/>
          <w:position w:val="0"/>
        </w:rPr>
        <w:t>万元。</w:t>
      </w:r>
    </w:p>
    <w:p>
      <w:pPr>
        <w:pStyle w:val="Style32"/>
        <w:keepNext w:val="0"/>
        <w:keepLines w:val="0"/>
        <w:widowControl w:val="0"/>
        <w:shd w:val="clear" w:color="auto" w:fill="auto"/>
        <w:bidi w:val="0"/>
        <w:spacing w:before="0" w:after="220" w:line="238"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神码广州系于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日，神码有限将其 持有的神码广州</w:t>
      </w:r>
      <w:r>
        <w:rPr>
          <w:rFonts w:ascii="Times New Roman" w:eastAsia="Times New Roman" w:hAnsi="Times New Roman" w:cs="Times New Roman"/>
          <w:color w:val="000000"/>
          <w:spacing w:val="0"/>
          <w:w w:val="100"/>
          <w:position w:val="0"/>
        </w:rPr>
        <w:t>100%</w:t>
      </w:r>
      <w:r>
        <w:rPr>
          <w:color w:val="000000"/>
          <w:spacing w:val="0"/>
          <w:w w:val="100"/>
          <w:position w:val="0"/>
        </w:rPr>
        <w:t>股权转让给本公司，转让后，神码广州成为本公司全资子公司，公司类型由台港澳法人独资有限责任 公司变更为法人独资有限责任公司，注册资本由美元</w:t>
      </w:r>
      <w:r>
        <w:rPr>
          <w:rFonts w:ascii="Times New Roman" w:eastAsia="Times New Roman" w:hAnsi="Times New Roman" w:cs="Times New Roman"/>
          <w:color w:val="000000"/>
          <w:spacing w:val="0"/>
          <w:w w:val="100"/>
          <w:position w:val="0"/>
        </w:rPr>
        <w:t>5,000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32,559.5</w:t>
      </w:r>
      <w:r>
        <w:rPr>
          <w:color w:val="000000"/>
          <w:spacing w:val="0"/>
          <w:w w:val="100"/>
          <w:position w:val="0"/>
        </w:rPr>
        <w:t>万元。</w:t>
      </w:r>
    </w:p>
    <w:p>
      <w:pPr>
        <w:pStyle w:val="Style32"/>
        <w:keepNext w:val="0"/>
        <w:keepLines w:val="0"/>
        <w:widowControl w:val="0"/>
        <w:shd w:val="clear" w:color="auto" w:fill="auto"/>
        <w:bidi w:val="0"/>
        <w:spacing w:before="0" w:after="220" w:line="235"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神码成都系于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日由神码有限设立的台港澳法人独资有限责任公司。于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日，神码有限对神码 成都增资港币</w:t>
      </w:r>
      <w:r>
        <w:rPr>
          <w:rFonts w:ascii="Times New Roman" w:eastAsia="Times New Roman" w:hAnsi="Times New Roman" w:cs="Times New Roman"/>
          <w:color w:val="000000"/>
          <w:spacing w:val="0"/>
          <w:w w:val="100"/>
          <w:position w:val="0"/>
        </w:rPr>
        <w:t>2,500</w:t>
      </w:r>
      <w:r>
        <w:rPr>
          <w:color w:val="000000"/>
          <w:spacing w:val="0"/>
          <w:w w:val="100"/>
          <w:position w:val="0"/>
        </w:rPr>
        <w:t>万元，增资后，神码成都的注册资本及实收资本变更为港币</w:t>
      </w:r>
      <w:r>
        <w:rPr>
          <w:rFonts w:ascii="Times New Roman" w:eastAsia="Times New Roman" w:hAnsi="Times New Roman" w:cs="Times New Roman"/>
          <w:color w:val="000000"/>
          <w:spacing w:val="0"/>
          <w:w w:val="100"/>
          <w:position w:val="0"/>
        </w:rPr>
        <w:t>3,000</w:t>
      </w:r>
      <w:r>
        <w:rPr>
          <w:color w:val="000000"/>
          <w:spacing w:val="0"/>
          <w:w w:val="100"/>
          <w:position w:val="0"/>
        </w:rPr>
        <w:t>万元。于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日，神码有限将其 持有的神码成都</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股权转让给神码中国，转让后，神码成都成为神码中国全资子公司，公司类型由台港澳法人独资有限 责任公司变更为外商投资企业法人独资有限责任公司，注册资本由港币</w:t>
      </w:r>
      <w:r>
        <w:rPr>
          <w:rFonts w:ascii="Times New Roman" w:eastAsia="Times New Roman" w:hAnsi="Times New Roman" w:cs="Times New Roman"/>
          <w:color w:val="000000"/>
          <w:spacing w:val="0"/>
          <w:w w:val="100"/>
          <w:position w:val="0"/>
        </w:rPr>
        <w:t>3,000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2540.1625</w:t>
      </w:r>
      <w:r>
        <w:rPr>
          <w:color w:val="000000"/>
          <w:spacing w:val="0"/>
          <w:w w:val="100"/>
          <w:position w:val="0"/>
        </w:rPr>
        <w:t>万元。</w:t>
      </w:r>
    </w:p>
    <w:p>
      <w:pPr>
        <w:pStyle w:val="Style32"/>
        <w:keepNext w:val="0"/>
        <w:keepLines w:val="0"/>
        <w:widowControl w:val="0"/>
        <w:shd w:val="clear" w:color="auto" w:fill="auto"/>
        <w:bidi w:val="0"/>
        <w:spacing w:before="0" w:after="220" w:line="240"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神码北京系于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日由神码中国和神码上海共同设立的外商投资企业与内资合资有限责任公司。在神码 有限将其持有的神码中国</w:t>
      </w:r>
      <w:r>
        <w:rPr>
          <w:color w:val="000000"/>
          <w:spacing w:val="0"/>
          <w:w w:val="100"/>
          <w:position w:val="0"/>
          <w:sz w:val="17"/>
          <w:szCs w:val="17"/>
        </w:rPr>
        <w:t>100%</w:t>
      </w:r>
      <w:r>
        <w:rPr>
          <w:color w:val="000000"/>
          <w:spacing w:val="0"/>
          <w:w w:val="100"/>
          <w:position w:val="0"/>
        </w:rPr>
        <w:t>股权和神码上海</w:t>
      </w:r>
      <w:r>
        <w:rPr>
          <w:color w:val="000000"/>
          <w:spacing w:val="0"/>
          <w:w w:val="100"/>
          <w:position w:val="0"/>
          <w:sz w:val="17"/>
          <w:szCs w:val="17"/>
        </w:rPr>
        <w:t>100%</w:t>
      </w:r>
      <w:r>
        <w:rPr>
          <w:color w:val="000000"/>
          <w:spacing w:val="0"/>
          <w:w w:val="100"/>
          <w:position w:val="0"/>
        </w:rPr>
        <w:t>股权转让给本公司后，于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14</w:t>
      </w:r>
      <w:r>
        <w:rPr>
          <w:color w:val="000000"/>
          <w:spacing w:val="0"/>
          <w:w w:val="100"/>
          <w:position w:val="0"/>
        </w:rPr>
        <w:t>日，公司类型由外商投资企业与内 资合资有限责任公司变更为有限责任公司。</w:t>
      </w:r>
    </w:p>
    <w:p>
      <w:pPr>
        <w:pStyle w:val="Style32"/>
        <w:keepNext w:val="0"/>
        <w:keepLines w:val="0"/>
        <w:widowControl w:val="0"/>
        <w:shd w:val="clear" w:color="auto" w:fill="auto"/>
        <w:bidi w:val="0"/>
        <w:spacing w:before="0" w:after="220" w:line="236" w:lineRule="exact"/>
        <w:ind w:left="0" w:right="0" w:firstLine="740"/>
        <w:jc w:val="both"/>
      </w:pPr>
      <w:r>
        <w:rPr>
          <w:color w:val="000000"/>
          <w:spacing w:val="0"/>
          <w:w w:val="100"/>
          <w:position w:val="0"/>
        </w:rPr>
        <w:t>注</w:t>
      </w:r>
      <w:r>
        <w:rPr>
          <w:rFonts w:ascii="Times New Roman" w:eastAsia="Times New Roman" w:hAnsi="Times New Roman" w:cs="Times New Roman"/>
          <w:color w:val="000000"/>
          <w:spacing w:val="0"/>
          <w:w w:val="100"/>
          <w:position w:val="0"/>
        </w:rPr>
        <w:t>16</w:t>
      </w:r>
      <w:r>
        <w:rPr>
          <w:color w:val="000000"/>
          <w:spacing w:val="0"/>
          <w:w w:val="100"/>
          <w:position w:val="0"/>
        </w:rPr>
        <w:t>:神码供应链系于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日由神码北京设立的法人独资有限责任公司。</w:t>
      </w:r>
    </w:p>
    <w:p>
      <w:pPr>
        <w:pStyle w:val="Style32"/>
        <w:keepNext w:val="0"/>
        <w:keepLines w:val="0"/>
        <w:widowControl w:val="0"/>
        <w:shd w:val="clear" w:color="auto" w:fill="auto"/>
        <w:bidi w:val="0"/>
        <w:spacing w:before="0" w:after="220" w:line="242"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17:</w:t>
      </w:r>
      <w:r>
        <w:rPr>
          <w:color w:val="000000"/>
          <w:spacing w:val="0"/>
          <w:w w:val="100"/>
          <w:position w:val="0"/>
        </w:rPr>
        <w:t>神码郑州系于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日由神码北京和北京天明国际投资管理有限公司(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北京天明国际</w:t>
      </w:r>
      <w:r>
        <w:rPr>
          <w:rFonts w:ascii="Times New Roman" w:eastAsia="Times New Roman" w:hAnsi="Times New Roman" w:cs="Times New Roman"/>
          <w:color w:val="000000"/>
          <w:spacing w:val="0"/>
          <w:w w:val="100"/>
          <w:position w:val="0"/>
        </w:rPr>
        <w:t>”</w:t>
      </w:r>
      <w:r>
        <w:rPr>
          <w:color w:val="000000"/>
          <w:spacing w:val="0"/>
          <w:w w:val="100"/>
          <w:position w:val="0"/>
        </w:rPr>
        <w:t>)设立的有限责任公 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日，北京天明国际将其持有的神码郑州的</w:t>
      </w:r>
      <w:r>
        <w:rPr>
          <w:rFonts w:ascii="Times New Roman" w:eastAsia="Times New Roman" w:hAnsi="Times New Roman" w:cs="Times New Roman"/>
          <w:color w:val="000000"/>
          <w:spacing w:val="0"/>
          <w:w w:val="100"/>
          <w:position w:val="0"/>
        </w:rPr>
        <w:t>10%</w:t>
      </w:r>
      <w:r>
        <w:rPr>
          <w:color w:val="000000"/>
          <w:spacing w:val="0"/>
          <w:w w:val="100"/>
          <w:position w:val="0"/>
        </w:rPr>
        <w:t>股权转让给神码北京，转让完成后，神码郑州成为神码北 京的全资子公司。</w:t>
      </w:r>
    </w:p>
    <w:p>
      <w:pPr>
        <w:pStyle w:val="Style32"/>
        <w:keepNext w:val="0"/>
        <w:keepLines w:val="0"/>
        <w:widowControl w:val="0"/>
        <w:shd w:val="clear" w:color="auto" w:fill="auto"/>
        <w:bidi w:val="0"/>
        <w:spacing w:before="0" w:after="220" w:line="236" w:lineRule="exact"/>
        <w:ind w:left="0" w:right="0" w:firstLine="740"/>
        <w:jc w:val="left"/>
      </w:pPr>
      <w:r>
        <w:rPr>
          <w:color w:val="000000"/>
          <w:spacing w:val="0"/>
          <w:w w:val="100"/>
          <w:position w:val="0"/>
        </w:rPr>
        <w:t>注</w:t>
      </w:r>
      <w:r>
        <w:rPr>
          <w:rFonts w:ascii="Times New Roman" w:eastAsia="Times New Roman" w:hAnsi="Times New Roman" w:cs="Times New Roman"/>
          <w:color w:val="000000"/>
          <w:spacing w:val="0"/>
          <w:w w:val="100"/>
          <w:position w:val="0"/>
        </w:rPr>
        <w:t>18:</w:t>
      </w:r>
      <w:r>
        <w:rPr>
          <w:color w:val="000000"/>
          <w:spacing w:val="0"/>
          <w:w w:val="100"/>
          <w:position w:val="0"/>
        </w:rPr>
        <w:t>神码重庆系于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日由神码北京设立的法人独资有限责任公司。</w:t>
      </w:r>
    </w:p>
    <w:p>
      <w:pPr>
        <w:pStyle w:val="Style32"/>
        <w:keepNext w:val="0"/>
        <w:keepLines w:val="0"/>
        <w:widowControl w:val="0"/>
        <w:shd w:val="clear" w:color="auto" w:fill="auto"/>
        <w:bidi w:val="0"/>
        <w:spacing w:before="0" w:after="220" w:line="236"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19:</w:t>
      </w:r>
      <w:r>
        <w:rPr>
          <w:color w:val="000000"/>
          <w:spacing w:val="0"/>
          <w:w w:val="100"/>
          <w:position w:val="0"/>
        </w:rPr>
        <w:t>北京网络公司系于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日由神码网络香港设立的法人独资有限责任公司。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月，北京网络公司增资 引入新股东，神码网络香港对北京网络公司的持股比例由</w:t>
      </w:r>
      <w:r>
        <w:rPr>
          <w:rFonts w:ascii="Times New Roman" w:eastAsia="Times New Roman" w:hAnsi="Times New Roman" w:cs="Times New Roman"/>
          <w:color w:val="000000"/>
          <w:spacing w:val="0"/>
          <w:w w:val="100"/>
          <w:position w:val="0"/>
        </w:rPr>
        <w:t>100%</w:t>
      </w:r>
      <w:r>
        <w:rPr>
          <w:color w:val="000000"/>
          <w:spacing w:val="0"/>
          <w:w w:val="100"/>
          <w:position w:val="0"/>
        </w:rPr>
        <w:t>稀释为</w:t>
      </w:r>
      <w:r>
        <w:rPr>
          <w:rFonts w:ascii="Times New Roman" w:eastAsia="Times New Roman" w:hAnsi="Times New Roman" w:cs="Times New Roman"/>
          <w:color w:val="000000"/>
          <w:spacing w:val="0"/>
          <w:w w:val="100"/>
          <w:position w:val="0"/>
        </w:rPr>
        <w:t>88%</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月，神码网络香港以港币</w:t>
      </w:r>
      <w:r>
        <w:rPr>
          <w:rFonts w:ascii="Times New Roman" w:eastAsia="Times New Roman" w:hAnsi="Times New Roman" w:cs="Times New Roman"/>
          <w:color w:val="000000"/>
          <w:spacing w:val="0"/>
          <w:w w:val="100"/>
          <w:position w:val="0"/>
        </w:rPr>
        <w:t>27,500</w:t>
      </w:r>
      <w:r>
        <w:rPr>
          <w:color w:val="000000"/>
          <w:spacing w:val="0"/>
          <w:w w:val="100"/>
          <w:position w:val="0"/>
        </w:rPr>
        <w:t>千元购 回该新股东持有的北京网络公司</w:t>
      </w:r>
      <w:r>
        <w:rPr>
          <w:rFonts w:ascii="Times New Roman" w:eastAsia="Times New Roman" w:hAnsi="Times New Roman" w:cs="Times New Roman"/>
          <w:color w:val="000000"/>
          <w:spacing w:val="0"/>
          <w:w w:val="100"/>
          <w:position w:val="0"/>
        </w:rPr>
        <w:t>12%</w:t>
      </w:r>
      <w:r>
        <w:rPr>
          <w:color w:val="000000"/>
          <w:spacing w:val="0"/>
          <w:w w:val="100"/>
          <w:position w:val="0"/>
        </w:rPr>
        <w:t>股权，北京网络公司成为神码网络香港的全资子公司。于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日，注册资本由 港币</w:t>
      </w:r>
      <w:r>
        <w:rPr>
          <w:rFonts w:ascii="Times New Roman" w:eastAsia="Times New Roman" w:hAnsi="Times New Roman" w:cs="Times New Roman"/>
          <w:color w:val="000000"/>
          <w:spacing w:val="0"/>
          <w:w w:val="100"/>
          <w:position w:val="0"/>
        </w:rPr>
        <w:t>340.909</w:t>
      </w:r>
      <w:r>
        <w:rPr>
          <w:rFonts w:ascii="Times New Roman" w:eastAsia="Times New Roman" w:hAnsi="Times New Roman" w:cs="Times New Roman"/>
          <w:color w:val="000000"/>
          <w:spacing w:val="0"/>
          <w:w w:val="100"/>
          <w:position w:val="0"/>
        </w:rPr>
        <w:t>1</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5,500</w:t>
      </w:r>
      <w:r>
        <w:rPr>
          <w:color w:val="000000"/>
          <w:spacing w:val="0"/>
          <w:w w:val="100"/>
          <w:position w:val="0"/>
        </w:rPr>
        <w:t>万元。于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日，神码北京购买了北京网络公司</w:t>
      </w:r>
      <w:r>
        <w:rPr>
          <w:rFonts w:ascii="Times New Roman" w:eastAsia="Times New Roman" w:hAnsi="Times New Roman" w:cs="Times New Roman"/>
          <w:color w:val="000000"/>
          <w:spacing w:val="0"/>
          <w:w w:val="100"/>
          <w:position w:val="0"/>
        </w:rPr>
        <w:t>100%</w:t>
      </w:r>
      <w:r>
        <w:rPr>
          <w:color w:val="000000"/>
          <w:spacing w:val="0"/>
          <w:w w:val="100"/>
          <w:position w:val="0"/>
        </w:rPr>
        <w:t>股权，转让后，北京网络 公司成为神码北京的全资子公司。</w:t>
      </w:r>
    </w:p>
    <w:p>
      <w:pPr>
        <w:pStyle w:val="Style32"/>
        <w:keepNext w:val="0"/>
        <w:keepLines w:val="0"/>
        <w:widowControl w:val="0"/>
        <w:shd w:val="clear" w:color="auto" w:fill="auto"/>
        <w:bidi w:val="0"/>
        <w:spacing w:before="0" w:after="220" w:line="236" w:lineRule="exact"/>
        <w:ind w:left="0" w:right="0" w:firstLine="740"/>
        <w:jc w:val="left"/>
      </w:pPr>
      <w:r>
        <w:rPr>
          <w:color w:val="000000"/>
          <w:spacing w:val="0"/>
          <w:w w:val="100"/>
          <w:position w:val="0"/>
        </w:rPr>
        <w:t>注</w:t>
      </w:r>
      <w:r>
        <w:rPr>
          <w:rFonts w:ascii="Times New Roman" w:eastAsia="Times New Roman" w:hAnsi="Times New Roman" w:cs="Times New Roman"/>
          <w:color w:val="000000"/>
          <w:spacing w:val="0"/>
          <w:w w:val="100"/>
          <w:position w:val="0"/>
        </w:rPr>
        <w:t>20:</w:t>
      </w:r>
      <w:r>
        <w:rPr>
          <w:color w:val="000000"/>
          <w:spacing w:val="0"/>
          <w:w w:val="100"/>
          <w:position w:val="0"/>
        </w:rPr>
        <w:t>上海通信技术系于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日由北京网络公司设立的法人独资有限责任公司。</w:t>
      </w:r>
    </w:p>
    <w:p>
      <w:pPr>
        <w:pStyle w:val="Style32"/>
        <w:keepNext w:val="0"/>
        <w:keepLines w:val="0"/>
        <w:widowControl w:val="0"/>
        <w:shd w:val="clear" w:color="auto" w:fill="auto"/>
        <w:bidi w:val="0"/>
        <w:spacing w:before="0" w:after="220" w:line="230" w:lineRule="exact"/>
        <w:ind w:left="400" w:right="0" w:firstLine="340"/>
        <w:jc w:val="left"/>
      </w:pPr>
      <w:r>
        <w:rPr>
          <w:color w:val="000000"/>
          <w:spacing w:val="0"/>
          <w:w w:val="100"/>
          <w:position w:val="0"/>
        </w:rPr>
        <w:t>注</w:t>
      </w:r>
      <w:r>
        <w:rPr>
          <w:rFonts w:ascii="Times New Roman" w:eastAsia="Times New Roman" w:hAnsi="Times New Roman" w:cs="Times New Roman"/>
          <w:color w:val="000000"/>
          <w:spacing w:val="0"/>
          <w:w w:val="100"/>
          <w:position w:val="0"/>
        </w:rPr>
        <w:t xml:space="preserve">21: </w:t>
      </w:r>
      <w:r>
        <w:rPr>
          <w:rFonts w:ascii="Times New Roman" w:eastAsia="Times New Roman" w:hAnsi="Times New Roman" w:cs="Times New Roman"/>
          <w:color w:val="000000"/>
          <w:spacing w:val="0"/>
          <w:w w:val="100"/>
          <w:position w:val="0"/>
        </w:rPr>
        <w:t>DCMS</w:t>
      </w:r>
      <w:r>
        <w:rPr>
          <w:color w:val="000000"/>
          <w:spacing w:val="0"/>
          <w:w w:val="100"/>
          <w:position w:val="0"/>
        </w:rPr>
        <w:t>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日由</w:t>
      </w:r>
      <w:r>
        <w:rPr>
          <w:rFonts w:ascii="Times New Roman" w:eastAsia="Times New Roman" w:hAnsi="Times New Roman" w:cs="Times New Roman"/>
          <w:color w:val="000000"/>
          <w:spacing w:val="0"/>
          <w:w w:val="100"/>
          <w:position w:val="0"/>
        </w:rPr>
        <w:t>DCL(BVI)</w:t>
      </w:r>
      <w:r>
        <w:rPr>
          <w:color w:val="000000"/>
          <w:spacing w:val="0"/>
          <w:w w:val="100"/>
          <w:position w:val="0"/>
        </w:rPr>
        <w:t>在香港设立的私人股份有限公司。根据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日签订的股权转让协议, </w:t>
      </w:r>
      <w:r>
        <w:rPr>
          <w:rFonts w:ascii="Times New Roman" w:eastAsia="Times New Roman" w:hAnsi="Times New Roman" w:cs="Times New Roman"/>
          <w:color w:val="000000"/>
          <w:spacing w:val="0"/>
          <w:w w:val="100"/>
          <w:position w:val="0"/>
        </w:rPr>
        <w:t xml:space="preserve">DCL(BV </w:t>
      </w:r>
      <w:r>
        <w:rPr>
          <w:rFonts w:ascii="Times New Roman" w:eastAsia="Times New Roman" w:hAnsi="Times New Roman" w:cs="Times New Roman"/>
          <w:color w:val="000000"/>
          <w:spacing w:val="0"/>
          <w:w w:val="100"/>
          <w:position w:val="0"/>
        </w:rPr>
        <w:t>I)</w:t>
      </w:r>
      <w:r>
        <w:rPr>
          <w:color w:val="000000"/>
          <w:spacing w:val="0"/>
          <w:w w:val="100"/>
          <w:position w:val="0"/>
        </w:rPr>
        <w:t>将其持有的</w:t>
      </w:r>
      <w:r>
        <w:rPr>
          <w:rFonts w:ascii="Times New Roman" w:eastAsia="Times New Roman" w:hAnsi="Times New Roman" w:cs="Times New Roman"/>
          <w:color w:val="000000"/>
          <w:spacing w:val="0"/>
          <w:w w:val="100"/>
          <w:position w:val="0"/>
        </w:rPr>
        <w:t>D CMS100%</w:t>
      </w:r>
      <w:r>
        <w:rPr>
          <w:color w:val="000000"/>
          <w:spacing w:val="0"/>
          <w:w w:val="100"/>
          <w:position w:val="0"/>
        </w:rPr>
        <w:t>的股权转让给神码中国。</w:t>
      </w:r>
    </w:p>
    <w:p>
      <w:pPr>
        <w:pStyle w:val="Style32"/>
        <w:keepNext w:val="0"/>
        <w:keepLines w:val="0"/>
        <w:widowControl w:val="0"/>
        <w:shd w:val="clear" w:color="auto" w:fill="auto"/>
        <w:bidi w:val="0"/>
        <w:spacing w:before="0" w:after="220" w:line="235" w:lineRule="exact"/>
        <w:ind w:left="400" w:right="0" w:firstLine="340"/>
        <w:jc w:val="left"/>
      </w:pPr>
      <w:r>
        <w:rPr>
          <w:color w:val="000000"/>
          <w:spacing w:val="0"/>
          <w:w w:val="100"/>
          <w:position w:val="0"/>
        </w:rPr>
        <w:t>注</w:t>
      </w:r>
      <w:r>
        <w:rPr>
          <w:rFonts w:ascii="Times New Roman" w:eastAsia="Times New Roman" w:hAnsi="Times New Roman" w:cs="Times New Roman"/>
          <w:color w:val="000000"/>
          <w:spacing w:val="0"/>
          <w:w w:val="100"/>
          <w:position w:val="0"/>
        </w:rPr>
        <w:t>22:</w:t>
      </w:r>
      <w:r>
        <w:rPr>
          <w:color w:val="000000"/>
          <w:spacing w:val="0"/>
          <w:w w:val="100"/>
          <w:position w:val="0"/>
        </w:rPr>
        <w:t>神码科技发展系于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日由</w:t>
      </w:r>
      <w:r>
        <w:rPr>
          <w:rFonts w:ascii="Times New Roman" w:eastAsia="Times New Roman" w:hAnsi="Times New Roman" w:cs="Times New Roman"/>
          <w:color w:val="000000"/>
          <w:spacing w:val="0"/>
          <w:w w:val="100"/>
          <w:position w:val="0"/>
        </w:rPr>
        <w:t>DCMS</w:t>
      </w:r>
      <w:r>
        <w:rPr>
          <w:color w:val="000000"/>
          <w:spacing w:val="0"/>
          <w:w w:val="100"/>
          <w:position w:val="0"/>
        </w:rPr>
        <w:t>在香港设立的私人股份有限公司。于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DCMS</w:t>
      </w:r>
      <w:r>
        <w:rPr>
          <w:color w:val="000000"/>
          <w:spacing w:val="0"/>
          <w:w w:val="100"/>
          <w:position w:val="0"/>
        </w:rPr>
        <w:t>对神码科技 发展注资港币</w:t>
      </w:r>
      <w:r>
        <w:rPr>
          <w:rFonts w:ascii="Times New Roman" w:eastAsia="Times New Roman" w:hAnsi="Times New Roman" w:cs="Times New Roman"/>
          <w:color w:val="000000"/>
          <w:spacing w:val="0"/>
          <w:w w:val="100"/>
          <w:position w:val="0"/>
        </w:rPr>
        <w:t>30,000</w:t>
      </w:r>
      <w:r>
        <w:rPr>
          <w:color w:val="000000"/>
          <w:spacing w:val="0"/>
          <w:w w:val="100"/>
          <w:position w:val="0"/>
        </w:rPr>
        <w:t>万元，注资后神码科技发展的注册资本及实收资本由港币</w:t>
      </w:r>
      <w:r>
        <w:rPr>
          <w:rFonts w:ascii="Times New Roman" w:eastAsia="Times New Roman" w:hAnsi="Times New Roman" w:cs="Times New Roman"/>
          <w:color w:val="000000"/>
          <w:spacing w:val="0"/>
          <w:w w:val="100"/>
          <w:position w:val="0"/>
        </w:rPr>
        <w:t>5,000</w:t>
      </w:r>
      <w:r>
        <w:rPr>
          <w:color w:val="000000"/>
          <w:spacing w:val="0"/>
          <w:w w:val="100"/>
          <w:position w:val="0"/>
        </w:rPr>
        <w:t>万元变更为港币</w:t>
      </w:r>
      <w:r>
        <w:rPr>
          <w:rFonts w:ascii="Times New Roman" w:eastAsia="Times New Roman" w:hAnsi="Times New Roman" w:cs="Times New Roman"/>
          <w:color w:val="000000"/>
          <w:spacing w:val="0"/>
          <w:w w:val="100"/>
          <w:position w:val="0"/>
        </w:rPr>
        <w:t>35,000</w:t>
      </w:r>
      <w:r>
        <w:rPr>
          <w:color w:val="000000"/>
          <w:spacing w:val="0"/>
          <w:w w:val="100"/>
          <w:position w:val="0"/>
        </w:rPr>
        <w:t>万元。</w:t>
      </w:r>
    </w:p>
    <w:p>
      <w:pPr>
        <w:pStyle w:val="Style32"/>
        <w:keepNext w:val="0"/>
        <w:keepLines w:val="0"/>
        <w:widowControl w:val="0"/>
        <w:shd w:val="clear" w:color="auto" w:fill="auto"/>
        <w:bidi w:val="0"/>
        <w:spacing w:before="0" w:after="220" w:line="236" w:lineRule="exact"/>
        <w:ind w:left="0" w:right="0" w:firstLine="740"/>
        <w:jc w:val="left"/>
      </w:pPr>
      <w:r>
        <w:rPr>
          <w:color w:val="000000"/>
          <w:spacing w:val="0"/>
          <w:w w:val="100"/>
          <w:position w:val="0"/>
        </w:rPr>
        <w:t>注</w:t>
      </w:r>
      <w:r>
        <w:rPr>
          <w:rFonts w:ascii="Times New Roman" w:eastAsia="Times New Roman" w:hAnsi="Times New Roman" w:cs="Times New Roman"/>
          <w:color w:val="000000"/>
          <w:spacing w:val="0"/>
          <w:w w:val="100"/>
          <w:position w:val="0"/>
        </w:rPr>
        <w:t>23:</w:t>
      </w:r>
      <w:r>
        <w:rPr>
          <w:color w:val="000000"/>
          <w:spacing w:val="0"/>
          <w:w w:val="100"/>
          <w:position w:val="0"/>
        </w:rPr>
        <w:t>神码香港系于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w:t>
      </w:r>
      <w:r>
        <w:rPr>
          <w:rFonts w:ascii="Times New Roman" w:eastAsia="Times New Roman" w:hAnsi="Times New Roman" w:cs="Times New Roman"/>
          <w:color w:val="000000"/>
          <w:spacing w:val="0"/>
          <w:w w:val="100"/>
          <w:position w:val="0"/>
        </w:rPr>
        <w:t>DCMS</w:t>
      </w:r>
      <w:r>
        <w:rPr>
          <w:color w:val="000000"/>
          <w:spacing w:val="0"/>
          <w:w w:val="100"/>
          <w:position w:val="0"/>
        </w:rPr>
        <w:t>在香港设立的私人股份有限公司。</w:t>
      </w:r>
    </w:p>
    <w:p>
      <w:pPr>
        <w:pStyle w:val="Style32"/>
        <w:keepNext w:val="0"/>
        <w:keepLines w:val="0"/>
        <w:widowControl w:val="0"/>
        <w:shd w:val="clear" w:color="auto" w:fill="auto"/>
        <w:bidi w:val="0"/>
        <w:spacing w:before="0" w:after="220" w:line="236" w:lineRule="exact"/>
        <w:ind w:left="0" w:right="0" w:firstLine="740"/>
        <w:jc w:val="left"/>
      </w:pPr>
      <w:r>
        <w:rPr>
          <w:color w:val="000000"/>
          <w:spacing w:val="0"/>
          <w:w w:val="100"/>
          <w:position w:val="0"/>
        </w:rPr>
        <w:t>注</w:t>
      </w:r>
      <w:r>
        <w:rPr>
          <w:rFonts w:ascii="Times New Roman" w:eastAsia="Times New Roman" w:hAnsi="Times New Roman" w:cs="Times New Roman"/>
          <w:color w:val="000000"/>
          <w:spacing w:val="0"/>
          <w:w w:val="100"/>
          <w:position w:val="0"/>
        </w:rPr>
        <w:t>24:</w:t>
      </w:r>
      <w:r>
        <w:rPr>
          <w:color w:val="000000"/>
          <w:spacing w:val="0"/>
          <w:w w:val="100"/>
          <w:position w:val="0"/>
        </w:rPr>
        <w:t>神码数据服务系于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日由神码香港在香港设立的私人股份有限公司。</w:t>
      </w:r>
    </w:p>
    <w:p>
      <w:pPr>
        <w:pStyle w:val="Style32"/>
        <w:keepNext w:val="0"/>
        <w:keepLines w:val="0"/>
        <w:widowControl w:val="0"/>
        <w:shd w:val="clear" w:color="auto" w:fill="auto"/>
        <w:bidi w:val="0"/>
        <w:spacing w:before="0" w:after="220" w:line="236" w:lineRule="exact"/>
        <w:ind w:left="0" w:right="0" w:firstLine="740"/>
        <w:jc w:val="left"/>
      </w:pPr>
      <w:r>
        <w:rPr>
          <w:color w:val="000000"/>
          <w:spacing w:val="0"/>
          <w:w w:val="100"/>
          <w:position w:val="0"/>
        </w:rPr>
        <w:t>注</w:t>
      </w:r>
      <w:r>
        <w:rPr>
          <w:rFonts w:ascii="Times New Roman" w:eastAsia="Times New Roman" w:hAnsi="Times New Roman" w:cs="Times New Roman"/>
          <w:color w:val="000000"/>
          <w:spacing w:val="0"/>
          <w:w w:val="100"/>
          <w:position w:val="0"/>
        </w:rPr>
        <w:t>25:</w:t>
      </w:r>
      <w:r>
        <w:rPr>
          <w:color w:val="000000"/>
          <w:spacing w:val="0"/>
          <w:w w:val="100"/>
          <w:position w:val="0"/>
        </w:rPr>
        <w:t>神码澳门系于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日由</w:t>
      </w:r>
      <w:r>
        <w:rPr>
          <w:rFonts w:ascii="Times New Roman" w:eastAsia="Times New Roman" w:hAnsi="Times New Roman" w:cs="Times New Roman"/>
          <w:color w:val="000000"/>
          <w:spacing w:val="0"/>
          <w:w w:val="100"/>
          <w:position w:val="0"/>
        </w:rPr>
        <w:t>DCMS</w:t>
      </w:r>
      <w:r>
        <w:rPr>
          <w:color w:val="000000"/>
          <w:spacing w:val="0"/>
          <w:w w:val="100"/>
          <w:position w:val="0"/>
        </w:rPr>
        <w:t>在澳门设立的私人股份有限公司。</w:t>
      </w:r>
    </w:p>
    <w:p>
      <w:pPr>
        <w:pStyle w:val="Style32"/>
        <w:keepNext w:val="0"/>
        <w:keepLines w:val="0"/>
        <w:widowControl w:val="0"/>
        <w:shd w:val="clear" w:color="auto" w:fill="auto"/>
        <w:bidi w:val="0"/>
        <w:spacing w:before="0" w:after="220" w:line="236" w:lineRule="exact"/>
        <w:ind w:left="0" w:right="0" w:firstLine="740"/>
        <w:jc w:val="left"/>
      </w:pPr>
      <w:r>
        <w:rPr>
          <w:color w:val="000000"/>
          <w:spacing w:val="0"/>
          <w:w w:val="100"/>
          <w:position w:val="0"/>
        </w:rPr>
        <w:t>注</w:t>
      </w:r>
      <w:r>
        <w:rPr>
          <w:rFonts w:ascii="Times New Roman" w:eastAsia="Times New Roman" w:hAnsi="Times New Roman" w:cs="Times New Roman"/>
          <w:color w:val="000000"/>
          <w:spacing w:val="0"/>
          <w:w w:val="100"/>
          <w:position w:val="0"/>
        </w:rPr>
        <w:t>26:</w:t>
      </w:r>
      <w:r>
        <w:rPr>
          <w:color w:val="000000"/>
          <w:spacing w:val="0"/>
          <w:w w:val="100"/>
          <w:position w:val="0"/>
        </w:rPr>
        <w:t>系统信息香港系于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日由</w:t>
      </w:r>
      <w:r>
        <w:rPr>
          <w:rFonts w:ascii="Times New Roman" w:eastAsia="Times New Roman" w:hAnsi="Times New Roman" w:cs="Times New Roman"/>
          <w:color w:val="000000"/>
          <w:spacing w:val="0"/>
          <w:w w:val="100"/>
          <w:position w:val="0"/>
        </w:rPr>
        <w:t>DCMS</w:t>
      </w:r>
      <w:r>
        <w:rPr>
          <w:color w:val="000000"/>
          <w:spacing w:val="0"/>
          <w:w w:val="100"/>
          <w:position w:val="0"/>
        </w:rPr>
        <w:t>在香港设立的私人股份有限公司。</w:t>
      </w:r>
    </w:p>
    <w:p>
      <w:pPr>
        <w:pStyle w:val="Style32"/>
        <w:keepNext w:val="0"/>
        <w:keepLines w:val="0"/>
        <w:widowControl w:val="0"/>
        <w:shd w:val="clear" w:color="auto" w:fill="auto"/>
        <w:bidi w:val="0"/>
        <w:spacing w:before="0" w:after="220" w:line="230" w:lineRule="exact"/>
        <w:ind w:left="400" w:right="0" w:firstLine="340"/>
        <w:jc w:val="both"/>
      </w:pPr>
      <w:r>
        <w:rPr>
          <w:color w:val="000000"/>
          <w:spacing w:val="0"/>
          <w:w w:val="100"/>
          <w:position w:val="0"/>
        </w:rPr>
        <w:t>注</w:t>
      </w:r>
      <w:r>
        <w:rPr>
          <w:rFonts w:ascii="Times New Roman" w:eastAsia="Times New Roman" w:hAnsi="Times New Roman" w:cs="Times New Roman"/>
          <w:color w:val="000000"/>
          <w:spacing w:val="0"/>
          <w:w w:val="100"/>
          <w:position w:val="0"/>
        </w:rPr>
        <w:t>27:</w:t>
      </w:r>
      <w:r>
        <w:rPr>
          <w:color w:val="000000"/>
          <w:spacing w:val="0"/>
          <w:w w:val="100"/>
          <w:position w:val="0"/>
        </w:rPr>
        <w:t>神码网络香港系于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w:t>
      </w:r>
      <w:r>
        <w:rPr>
          <w:rFonts w:ascii="Times New Roman" w:eastAsia="Times New Roman" w:hAnsi="Times New Roman" w:cs="Times New Roman"/>
          <w:color w:val="000000"/>
          <w:spacing w:val="0"/>
          <w:w w:val="100"/>
          <w:position w:val="0"/>
        </w:rPr>
        <w:t>DCL(BVI)</w:t>
      </w:r>
      <w:r>
        <w:rPr>
          <w:color w:val="000000"/>
          <w:spacing w:val="0"/>
          <w:w w:val="100"/>
          <w:position w:val="0"/>
        </w:rPr>
        <w:t>的子公司</w:t>
      </w:r>
      <w:r>
        <w:rPr>
          <w:rFonts w:ascii="Times New Roman" w:eastAsia="Times New Roman" w:hAnsi="Times New Roman" w:cs="Times New Roman"/>
          <w:color w:val="000000"/>
          <w:spacing w:val="0"/>
          <w:w w:val="100"/>
          <w:position w:val="0"/>
        </w:rPr>
        <w:t>DCN(BVI)</w:t>
      </w:r>
      <w:r>
        <w:rPr>
          <w:color w:val="000000"/>
          <w:spacing w:val="0"/>
          <w:w w:val="100"/>
          <w:position w:val="0"/>
        </w:rPr>
        <w:t>在香港设立的私人股份有限公司。根据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日签订的股权转让协议，</w:t>
      </w:r>
      <w:r>
        <w:rPr>
          <w:rFonts w:ascii="Times New Roman" w:eastAsia="Times New Roman" w:hAnsi="Times New Roman" w:cs="Times New Roman"/>
          <w:color w:val="000000"/>
          <w:spacing w:val="0"/>
          <w:w w:val="100"/>
          <w:position w:val="0"/>
        </w:rPr>
        <w:t>DCN(BV</w:t>
      </w:r>
      <w:r>
        <w:rPr>
          <w:rFonts w:ascii="Times New Roman" w:eastAsia="Times New Roman" w:hAnsi="Times New Roman" w:cs="Times New Roman"/>
          <w:color w:val="000000"/>
          <w:spacing w:val="0"/>
          <w:w w:val="100"/>
          <w:position w:val="0"/>
        </w:rPr>
        <w:t>I)</w:t>
      </w:r>
      <w:r>
        <w:rPr>
          <w:color w:val="000000"/>
          <w:spacing w:val="0"/>
          <w:w w:val="100"/>
          <w:position w:val="0"/>
        </w:rPr>
        <w:t>将其持有的神码网络香港</w:t>
      </w:r>
      <w:r>
        <w:rPr>
          <w:rFonts w:ascii="Times New Roman" w:eastAsia="Times New Roman" w:hAnsi="Times New Roman" w:cs="Times New Roman"/>
          <w:color w:val="000000"/>
          <w:spacing w:val="0"/>
          <w:w w:val="100"/>
          <w:position w:val="0"/>
        </w:rPr>
        <w:t>100%</w:t>
      </w:r>
      <w:r>
        <w:rPr>
          <w:color w:val="000000"/>
          <w:spacing w:val="0"/>
          <w:w w:val="100"/>
          <w:position w:val="0"/>
        </w:rPr>
        <w:t>的股权转让给</w:t>
      </w:r>
      <w:r>
        <w:rPr>
          <w:rFonts w:ascii="Times New Roman" w:eastAsia="Times New Roman" w:hAnsi="Times New Roman" w:cs="Times New Roman"/>
          <w:color w:val="000000"/>
          <w:spacing w:val="0"/>
          <w:w w:val="100"/>
          <w:position w:val="0"/>
        </w:rPr>
        <w:t>DCMS</w:t>
      </w:r>
      <w:r>
        <w:rPr>
          <w:color w:val="000000"/>
          <w:spacing w:val="0"/>
          <w:w w:val="100"/>
          <w:position w:val="0"/>
        </w:rPr>
        <w:t>。</w:t>
      </w:r>
    </w:p>
    <w:p>
      <w:pPr>
        <w:pStyle w:val="Style32"/>
        <w:keepNext w:val="0"/>
        <w:keepLines w:val="0"/>
        <w:widowControl w:val="0"/>
        <w:shd w:val="clear" w:color="auto" w:fill="auto"/>
        <w:bidi w:val="0"/>
        <w:spacing w:before="0" w:after="200" w:line="240" w:lineRule="exact"/>
        <w:ind w:left="0" w:right="0" w:firstLine="740"/>
        <w:jc w:val="left"/>
      </w:pPr>
      <w:r>
        <w:rPr>
          <w:color w:val="000000"/>
          <w:spacing w:val="0"/>
          <w:w w:val="100"/>
          <w:position w:val="0"/>
        </w:rPr>
        <w:t>注</w:t>
      </w:r>
      <w:r>
        <w:rPr>
          <w:rFonts w:ascii="Times New Roman" w:eastAsia="Times New Roman" w:hAnsi="Times New Roman" w:cs="Times New Roman"/>
          <w:color w:val="000000"/>
          <w:spacing w:val="0"/>
          <w:w w:val="100"/>
          <w:position w:val="0"/>
        </w:rPr>
        <w:t>28:</w:t>
      </w:r>
      <w:r>
        <w:rPr>
          <w:color w:val="000000"/>
          <w:spacing w:val="0"/>
          <w:w w:val="100"/>
          <w:position w:val="0"/>
        </w:rPr>
        <w:t>北京智慧生活系于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日由北京神州设立的法人独资有限责任公司。</w:t>
      </w:r>
    </w:p>
    <w:p>
      <w:pPr>
        <w:pStyle w:val="Style32"/>
        <w:keepNext w:val="0"/>
        <w:keepLines w:val="0"/>
        <w:widowControl w:val="0"/>
        <w:shd w:val="clear" w:color="auto" w:fill="auto"/>
        <w:bidi w:val="0"/>
        <w:spacing w:before="0" w:after="100" w:line="240" w:lineRule="exact"/>
        <w:ind w:left="38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29:</w:t>
      </w:r>
      <w:r>
        <w:rPr>
          <w:color w:val="000000"/>
          <w:spacing w:val="0"/>
          <w:w w:val="100"/>
          <w:position w:val="0"/>
        </w:rPr>
        <w:t>神州数码澳门系于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日由神码中国收购而纳入汇总范围„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日，神码中国对神州数码澳门注 资澳门币</w:t>
      </w:r>
      <w:r>
        <w:rPr>
          <w:rFonts w:ascii="Times New Roman" w:eastAsia="Times New Roman" w:hAnsi="Times New Roman" w:cs="Times New Roman"/>
          <w:color w:val="000000"/>
          <w:spacing w:val="0"/>
          <w:w w:val="100"/>
          <w:position w:val="0"/>
        </w:rPr>
        <w:t>100</w:t>
      </w:r>
      <w:r>
        <w:rPr>
          <w:color w:val="000000"/>
          <w:spacing w:val="0"/>
          <w:w w:val="100"/>
          <w:position w:val="0"/>
        </w:rPr>
        <w:t>万元，注资后神州数码澳门的注册资本及实收资本由澳门币</w:t>
      </w:r>
      <w:r>
        <w:rPr>
          <w:rFonts w:ascii="Times New Roman" w:eastAsia="Times New Roman" w:hAnsi="Times New Roman" w:cs="Times New Roman"/>
          <w:color w:val="000000"/>
          <w:spacing w:val="0"/>
          <w:w w:val="100"/>
          <w:position w:val="0"/>
        </w:rPr>
        <w:t>2.5</w:t>
      </w:r>
      <w:r>
        <w:rPr>
          <w:color w:val="000000"/>
          <w:spacing w:val="0"/>
          <w:w w:val="100"/>
          <w:position w:val="0"/>
        </w:rPr>
        <w:t>万元变更为澳门币</w:t>
      </w:r>
      <w:r>
        <w:rPr>
          <w:rFonts w:ascii="Times New Roman" w:eastAsia="Times New Roman" w:hAnsi="Times New Roman" w:cs="Times New Roman"/>
          <w:color w:val="000000"/>
          <w:spacing w:val="0"/>
          <w:w w:val="100"/>
          <w:position w:val="0"/>
        </w:rPr>
        <w:t>102.5</w:t>
      </w:r>
      <w:r>
        <w:rPr>
          <w:color w:val="000000"/>
          <w:spacing w:val="0"/>
          <w:w w:val="100"/>
          <w:position w:val="0"/>
        </w:rPr>
        <w:t>万元。</w:t>
      </w:r>
    </w:p>
    <w:p>
      <w:pPr>
        <w:pStyle w:val="Style32"/>
        <w:keepNext w:val="0"/>
        <w:keepLines w:val="0"/>
        <w:widowControl w:val="0"/>
        <w:shd w:val="clear" w:color="auto" w:fill="auto"/>
        <w:bidi w:val="0"/>
        <w:spacing w:before="0" w:after="100" w:line="240" w:lineRule="exact"/>
        <w:ind w:left="0" w:right="0" w:firstLine="760"/>
        <w:jc w:val="left"/>
      </w:pPr>
      <w:r>
        <w:rPr>
          <w:color w:val="000000"/>
          <w:spacing w:val="0"/>
          <w:w w:val="100"/>
          <w:position w:val="0"/>
        </w:rPr>
        <w:t>注</w:t>
      </w:r>
      <w:r>
        <w:rPr>
          <w:rFonts w:ascii="Times New Roman" w:eastAsia="Times New Roman" w:hAnsi="Times New Roman" w:cs="Times New Roman"/>
          <w:color w:val="000000"/>
          <w:spacing w:val="0"/>
          <w:w w:val="100"/>
          <w:position w:val="0"/>
        </w:rPr>
        <w:t>30:</w:t>
      </w:r>
      <w:r>
        <w:rPr>
          <w:color w:val="000000"/>
          <w:spacing w:val="0"/>
          <w:w w:val="100"/>
          <w:position w:val="0"/>
        </w:rPr>
        <w:t>神州数码科技服务系于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日由神码中国在香港设立的私人股份有限公司。</w:t>
      </w:r>
    </w:p>
    <w:p>
      <w:pPr>
        <w:pStyle w:val="Style32"/>
        <w:keepNext w:val="0"/>
        <w:keepLines w:val="0"/>
        <w:widowControl w:val="0"/>
        <w:shd w:val="clear" w:color="auto" w:fill="auto"/>
        <w:bidi w:val="0"/>
        <w:spacing w:before="0" w:after="100" w:line="240" w:lineRule="exact"/>
        <w:ind w:left="0" w:right="0" w:firstLine="760"/>
        <w:jc w:val="left"/>
      </w:pPr>
      <w:r>
        <w:rPr>
          <w:color w:val="000000"/>
          <w:spacing w:val="0"/>
          <w:w w:val="100"/>
          <w:position w:val="0"/>
        </w:rPr>
        <w:t>注</w:t>
      </w:r>
      <w:r>
        <w:rPr>
          <w:rFonts w:ascii="Times New Roman" w:eastAsia="Times New Roman" w:hAnsi="Times New Roman" w:cs="Times New Roman"/>
          <w:color w:val="000000"/>
          <w:spacing w:val="0"/>
          <w:w w:val="100"/>
          <w:position w:val="0"/>
        </w:rPr>
        <w:t>31</w:t>
      </w:r>
      <w:r>
        <w:rPr>
          <w:color w:val="000000"/>
          <w:spacing w:val="0"/>
          <w:w w:val="100"/>
          <w:position w:val="0"/>
        </w:rPr>
        <w:t>:神码电商系于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日由神码中国设立的法人独资有限责任公司。</w:t>
      </w:r>
    </w:p>
    <w:p>
      <w:pPr>
        <w:pStyle w:val="Style32"/>
        <w:keepNext w:val="0"/>
        <w:keepLines w:val="0"/>
        <w:widowControl w:val="0"/>
        <w:shd w:val="clear" w:color="auto" w:fill="auto"/>
        <w:bidi w:val="0"/>
        <w:spacing w:before="0" w:after="100" w:line="240" w:lineRule="exact"/>
        <w:ind w:left="38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32</w:t>
      </w:r>
      <w:r>
        <w:rPr>
          <w:color w:val="000000"/>
          <w:spacing w:val="0"/>
          <w:w w:val="100"/>
          <w:position w:val="0"/>
        </w:rPr>
        <w:t>:云科信息服务系于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日由云科信息技术出资人民币</w:t>
      </w:r>
      <w:r>
        <w:rPr>
          <w:rFonts w:ascii="Times New Roman" w:eastAsia="Times New Roman" w:hAnsi="Times New Roman" w:cs="Times New Roman"/>
          <w:color w:val="000000"/>
          <w:spacing w:val="0"/>
          <w:w w:val="100"/>
          <w:position w:val="0"/>
        </w:rPr>
        <w:t>1,100</w:t>
      </w:r>
      <w:r>
        <w:rPr>
          <w:color w:val="000000"/>
          <w:spacing w:val="0"/>
          <w:w w:val="100"/>
          <w:position w:val="0"/>
        </w:rPr>
        <w:t>万元设立的有限责任公司，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 司与郭为先生分别于云科信息技术签订股权转让协议受让云科信息服务</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日，完成工商变更登记。</w:t>
      </w:r>
    </w:p>
    <w:p>
      <w:pPr>
        <w:pStyle w:val="Style32"/>
        <w:keepNext w:val="0"/>
        <w:keepLines w:val="0"/>
        <w:widowControl w:val="0"/>
        <w:shd w:val="clear" w:color="auto" w:fill="auto"/>
        <w:bidi w:val="0"/>
        <w:spacing w:before="0" w:after="320" w:line="240" w:lineRule="exact"/>
        <w:ind w:left="0" w:right="0" w:firstLine="760"/>
        <w:jc w:val="left"/>
      </w:pPr>
      <w:r>
        <w:rPr>
          <w:color w:val="000000"/>
          <w:spacing w:val="0"/>
          <w:w w:val="100"/>
          <w:position w:val="0"/>
        </w:rPr>
        <w:t>注</w:t>
      </w:r>
      <w:r>
        <w:rPr>
          <w:rFonts w:ascii="Times New Roman" w:eastAsia="Times New Roman" w:hAnsi="Times New Roman" w:cs="Times New Roman"/>
          <w:color w:val="000000"/>
          <w:spacing w:val="0"/>
          <w:w w:val="100"/>
          <w:position w:val="0"/>
        </w:rPr>
        <w:t>33</w:t>
      </w:r>
      <w:r>
        <w:rPr>
          <w:color w:val="000000"/>
          <w:spacing w:val="0"/>
          <w:w w:val="100"/>
          <w:position w:val="0"/>
        </w:rPr>
        <w:t>:贵州云科系于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日由云科信息服务出资人民币</w:t>
      </w:r>
      <w:r>
        <w:rPr>
          <w:rFonts w:ascii="Times New Roman" w:eastAsia="Times New Roman" w:hAnsi="Times New Roman" w:cs="Times New Roman"/>
          <w:color w:val="000000"/>
          <w:spacing w:val="0"/>
          <w:w w:val="100"/>
          <w:position w:val="0"/>
        </w:rPr>
        <w:t>5,000</w:t>
      </w:r>
      <w:r>
        <w:rPr>
          <w:color w:val="000000"/>
          <w:spacing w:val="0"/>
          <w:w w:val="100"/>
          <w:position w:val="0"/>
        </w:rPr>
        <w:t>万元设立的有限责任公司。</w:t>
      </w:r>
    </w:p>
    <w:p>
      <w:pPr>
        <w:pStyle w:val="Style36"/>
        <w:keepNext/>
        <w:keepLines/>
        <w:widowControl w:val="0"/>
        <w:shd w:val="clear" w:color="auto" w:fill="auto"/>
        <w:bidi w:val="0"/>
        <w:spacing w:before="0" w:after="320" w:line="240" w:lineRule="auto"/>
        <w:ind w:left="0" w:right="0" w:firstLine="38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73"/>
      <w:bookmarkEnd w:id="1374"/>
      <w:bookmarkEnd w:id="1375"/>
    </w:p>
    <w:p>
      <w:pPr>
        <w:pStyle w:val="Style36"/>
        <w:keepNext/>
        <w:keepLines/>
        <w:widowControl w:val="0"/>
        <w:shd w:val="clear" w:color="auto" w:fill="auto"/>
        <w:bidi w:val="0"/>
        <w:spacing w:before="0" w:after="320" w:line="240" w:lineRule="auto"/>
        <w:ind w:left="0" w:right="0" w:firstLine="380"/>
        <w:jc w:val="left"/>
      </w:pPr>
      <w:bookmarkStart w:id="1373" w:name="bookmark1373"/>
      <w:bookmarkStart w:id="1374" w:name="bookmark1374"/>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373"/>
      <w:bookmarkEnd w:id="1374"/>
      <w:bookmarkEnd w:id="13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19,856,018.21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-1,503,701.41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-1,503,701.41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36,571,521.27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1,918,703.14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1,918,703.14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8"/>
        <w:keepNext/>
        <w:keepLines/>
        <w:widowControl w:val="0"/>
        <w:shd w:val="clear" w:color="auto" w:fill="auto"/>
        <w:bidi w:val="0"/>
        <w:spacing w:before="0" w:after="320" w:line="240" w:lineRule="auto"/>
        <w:ind w:left="0" w:right="0" w:firstLine="380"/>
        <w:jc w:val="left"/>
      </w:pPr>
      <w:bookmarkStart w:id="1377" w:name="bookmark1377"/>
      <w:bookmarkStart w:id="1378" w:name="bookmark1378"/>
      <w:bookmarkStart w:id="1379" w:name="bookmark1379"/>
      <w:r>
        <w:rPr>
          <w:color w:val="000000"/>
          <w:spacing w:val="0"/>
          <w:w w:val="100"/>
          <w:position w:val="0"/>
        </w:rPr>
        <w:t>十、与金融工具相关的风险</w:t>
      </w:r>
      <w:bookmarkEnd w:id="1377"/>
      <w:bookmarkEnd w:id="1378"/>
      <w:bookmarkEnd w:id="1379"/>
    </w:p>
    <w:p>
      <w:pPr>
        <w:pStyle w:val="Style32"/>
        <w:keepNext w:val="0"/>
        <w:keepLines w:val="0"/>
        <w:widowControl w:val="0"/>
        <w:numPr>
          <w:ilvl w:val="0"/>
          <w:numId w:val="37"/>
        </w:numPr>
        <w:shd w:val="clear" w:color="auto" w:fill="auto"/>
        <w:tabs>
          <w:tab w:pos="681" w:val="left"/>
        </w:tabs>
        <w:bidi w:val="0"/>
        <w:spacing w:before="0" w:after="200" w:line="234" w:lineRule="exact"/>
        <w:ind w:left="0" w:right="0" w:firstLine="380"/>
        <w:jc w:val="left"/>
      </w:pPr>
      <w:bookmarkStart w:id="1380" w:name="bookmark1380"/>
      <w:bookmarkEnd w:id="1380"/>
      <w:r>
        <w:rPr>
          <w:color w:val="000000"/>
          <w:spacing w:val="0"/>
          <w:w w:val="100"/>
          <w:position w:val="0"/>
        </w:rPr>
        <w:t>各类风险管理目标和政策</w:t>
      </w:r>
    </w:p>
    <w:p>
      <w:pPr>
        <w:pStyle w:val="Style32"/>
        <w:keepNext w:val="0"/>
        <w:keepLines w:val="0"/>
        <w:widowControl w:val="0"/>
        <w:shd w:val="clear" w:color="auto" w:fill="auto"/>
        <w:bidi w:val="0"/>
        <w:spacing w:before="0" w:after="280" w:line="235" w:lineRule="exact"/>
        <w:ind w:left="380" w:right="0" w:firstLine="420"/>
        <w:jc w:val="both"/>
      </w:pPr>
      <w:r>
        <w:rPr>
          <w:color w:val="000000"/>
          <w:spacing w:val="0"/>
          <w:w w:val="100"/>
          <w:position w:val="0"/>
        </w:rPr>
        <w:t>本集团从事风险管理的目标是在风险和收益之间取得适当的平衡，将风险对本集团经营业绩的负面影响降低到最低水 平，使股东及其他权益投资者的利益最大化。基于该风险管理目标，本集团风险管理的基本策略是确定和分析本公司所面临 的各种风险，建立适当的风险承受底线并进行风险管理,并及时可靠地对各种风险进行监督，将风险控制在限定的范围之内。</w:t>
      </w:r>
    </w:p>
    <w:p>
      <w:pPr>
        <w:pStyle w:val="Style32"/>
        <w:keepNext w:val="0"/>
        <w:keepLines w:val="0"/>
        <w:widowControl w:val="0"/>
        <w:numPr>
          <w:ilvl w:val="0"/>
          <w:numId w:val="37"/>
        </w:numPr>
        <w:shd w:val="clear" w:color="auto" w:fill="auto"/>
        <w:tabs>
          <w:tab w:pos="724" w:val="left"/>
        </w:tabs>
        <w:bidi w:val="0"/>
        <w:spacing w:before="0" w:after="280" w:line="223" w:lineRule="auto"/>
        <w:ind w:left="0" w:right="0" w:firstLine="380"/>
        <w:jc w:val="left"/>
      </w:pPr>
      <w:bookmarkStart w:id="1381" w:name="bookmark1381"/>
      <w:bookmarkEnd w:id="1381"/>
      <w:r>
        <w:rPr>
          <w:color w:val="000000"/>
          <w:spacing w:val="0"/>
          <w:w w:val="100"/>
          <w:position w:val="0"/>
        </w:rPr>
        <w:t>市场风险</w:t>
      </w:r>
    </w:p>
    <w:p>
      <w:pPr>
        <w:pStyle w:val="Style32"/>
        <w:keepNext w:val="0"/>
        <w:keepLines w:val="0"/>
        <w:widowControl w:val="0"/>
        <w:shd w:val="clear" w:color="auto" w:fill="auto"/>
        <w:bidi w:val="0"/>
        <w:spacing w:before="0" w:after="200" w:line="271" w:lineRule="auto"/>
        <w:ind w:left="0" w:right="0" w:firstLine="540"/>
        <w:jc w:val="left"/>
      </w:pPr>
      <w:bookmarkStart w:id="1382" w:name="bookmark1382"/>
      <w:r>
        <w:rPr>
          <w:rFonts w:ascii="Times New Roman" w:eastAsia="Times New Roman" w:hAnsi="Times New Roman" w:cs="Times New Roman"/>
          <w:color w:val="000000"/>
          <w:spacing w:val="0"/>
          <w:w w:val="100"/>
          <w:position w:val="0"/>
        </w:rPr>
        <w:t>1</w:t>
      </w:r>
      <w:bookmarkEnd w:id="1382"/>
      <w:r>
        <w:rPr>
          <w:color w:val="000000"/>
          <w:spacing w:val="0"/>
          <w:w w:val="100"/>
          <w:position w:val="0"/>
        </w:rPr>
        <w:t>）汇率风险</w:t>
      </w:r>
    </w:p>
    <w:p>
      <w:pPr>
        <w:pStyle w:val="Style32"/>
        <w:keepNext w:val="0"/>
        <w:keepLines w:val="0"/>
        <w:widowControl w:val="0"/>
        <w:shd w:val="clear" w:color="auto" w:fill="auto"/>
        <w:bidi w:val="0"/>
        <w:spacing w:before="0" w:after="0" w:line="234" w:lineRule="exact"/>
        <w:ind w:left="380" w:right="0" w:firstLine="420"/>
        <w:jc w:val="both"/>
      </w:pPr>
      <w:r>
        <w:rPr>
          <w:color w:val="000000"/>
          <w:spacing w:val="0"/>
          <w:w w:val="100"/>
          <w:position w:val="0"/>
        </w:rPr>
        <w:t>本集团承受汇率风险主要与美元、港币、欧元和澳门币有关，除本集团的几个下属子公司以美元、港币、欧元和澳门 币进行采购和销售外，本集团的其它主要业务活动以人民币计价结算。于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日，除下表所述资产及负债的外币余 额外，本集团的资产及负债均为人民币余额。该等外币余额的资产和负债产生的汇率风险可能对本公司的经营业绩产生影 响。</w:t>
      </w:r>
    </w:p>
    <w:tbl>
      <w:tblPr>
        <w:tblOverlap w:val="never"/>
        <w:jc w:val="left"/>
        <w:tblLayout w:type="fixed"/>
      </w:tblPr>
      <w:tblGrid>
        <w:gridCol w:w="1373"/>
        <w:gridCol w:w="2126"/>
        <w:gridCol w:w="2453"/>
      </w:tblGrid>
      <w:tr>
        <w:trPr>
          <w:trHeight w:val="398"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500"/>
              <w:jc w:val="left"/>
            </w:pPr>
            <w:r>
              <w:rPr>
                <w:b/>
                <w:bCs/>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w:t>
            </w:r>
          </w:p>
        </w:tc>
      </w:tr>
      <w:tr>
        <w:trPr>
          <w:trHeight w:val="3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34,400,905.86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575,900,552.10</w:t>
            </w:r>
          </w:p>
        </w:tc>
      </w:tr>
      <w:tr>
        <w:trPr>
          <w:trHeight w:val="40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261,625.88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666,900.50</w:t>
            </w:r>
          </w:p>
        </w:tc>
      </w:tr>
    </w:tbl>
    <w:tbl>
      <w:tblPr>
        <w:tblOverlap w:val="never"/>
        <w:jc w:val="left"/>
        <w:tblLayout w:type="fixed"/>
      </w:tblPr>
      <w:tblGrid>
        <w:gridCol w:w="1373"/>
        <w:gridCol w:w="2126"/>
        <w:gridCol w:w="2453"/>
      </w:tblGrid>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75,313,963.13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274,352,389.12</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238,026.45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278,712.20</w:t>
            </w:r>
          </w:p>
        </w:tc>
      </w:tr>
    </w:tbl>
    <w:p>
      <w:pPr>
        <w:widowControl w:val="0"/>
        <w:spacing w:after="199" w:line="1" w:lineRule="exact"/>
      </w:pPr>
    </w:p>
    <w:p>
      <w:pPr>
        <w:pStyle w:val="Style32"/>
        <w:keepNext w:val="0"/>
        <w:keepLines w:val="0"/>
        <w:widowControl w:val="0"/>
        <w:shd w:val="clear" w:color="auto" w:fill="auto"/>
        <w:bidi w:val="0"/>
        <w:spacing w:before="0" w:after="260" w:line="235" w:lineRule="exact"/>
        <w:ind w:left="0" w:right="0" w:firstLine="840"/>
        <w:jc w:val="left"/>
      </w:pPr>
      <w:r>
        <w:rPr>
          <w:color w:val="000000"/>
          <w:spacing w:val="0"/>
          <w:w w:val="100"/>
          <w:position w:val="0"/>
        </w:rPr>
        <w:t>本集团密切关注汇率变动对本集团的影响。本集团已与可信赖的银行订立远期外汇合同以管理其汇率风险。</w:t>
      </w:r>
    </w:p>
    <w:p>
      <w:pPr>
        <w:pStyle w:val="Style32"/>
        <w:keepNext w:val="0"/>
        <w:keepLines w:val="0"/>
        <w:widowControl w:val="0"/>
        <w:numPr>
          <w:ilvl w:val="0"/>
          <w:numId w:val="39"/>
        </w:numPr>
        <w:shd w:val="clear" w:color="auto" w:fill="auto"/>
        <w:bidi w:val="0"/>
        <w:spacing w:before="0" w:after="200" w:line="276" w:lineRule="auto"/>
        <w:ind w:left="0" w:right="0" w:firstLine="840"/>
        <w:jc w:val="left"/>
      </w:pPr>
      <w:bookmarkStart w:id="1383" w:name="bookmark1383"/>
      <w:bookmarkEnd w:id="1383"/>
      <w:r>
        <w:rPr>
          <w:color w:val="000000"/>
          <w:spacing w:val="0"/>
          <w:w w:val="100"/>
          <w:position w:val="0"/>
        </w:rPr>
        <w:t>利率风险</w:t>
      </w:r>
    </w:p>
    <w:p>
      <w:pPr>
        <w:pStyle w:val="Style32"/>
        <w:keepNext w:val="0"/>
        <w:keepLines w:val="0"/>
        <w:widowControl w:val="0"/>
        <w:shd w:val="clear" w:color="auto" w:fill="auto"/>
        <w:bidi w:val="0"/>
        <w:spacing w:before="0" w:after="260" w:line="230" w:lineRule="exact"/>
        <w:ind w:left="400" w:right="0" w:firstLine="440"/>
        <w:jc w:val="left"/>
      </w:pPr>
      <w:r>
        <w:rPr>
          <w:color w:val="000000"/>
          <w:spacing w:val="0"/>
          <w:w w:val="100"/>
          <w:position w:val="0"/>
        </w:rPr>
        <w:t>本集团的利率风险主要与本集团以浮动利率计息的负债有关。于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日，本集团按浮动利率计息的付息贷款 分别为人民币</w:t>
      </w:r>
      <w:r>
        <w:rPr>
          <w:rFonts w:ascii="Times New Roman" w:eastAsia="Times New Roman" w:hAnsi="Times New Roman" w:cs="Times New Roman"/>
          <w:color w:val="000000"/>
          <w:spacing w:val="0"/>
          <w:w w:val="100"/>
          <w:position w:val="0"/>
        </w:rPr>
        <w:t>2,927,426,586.94</w:t>
      </w:r>
      <w:r>
        <w:rPr>
          <w:color w:val="000000"/>
          <w:spacing w:val="0"/>
          <w:w w:val="100"/>
          <w:position w:val="0"/>
        </w:rPr>
        <w:t>元。</w:t>
      </w:r>
    </w:p>
    <w:p>
      <w:pPr>
        <w:pStyle w:val="Style32"/>
        <w:keepNext w:val="0"/>
        <w:keepLines w:val="0"/>
        <w:widowControl w:val="0"/>
        <w:numPr>
          <w:ilvl w:val="0"/>
          <w:numId w:val="39"/>
        </w:numPr>
        <w:shd w:val="clear" w:color="auto" w:fill="auto"/>
        <w:bidi w:val="0"/>
        <w:spacing w:before="0" w:after="200" w:line="276" w:lineRule="auto"/>
        <w:ind w:left="0" w:right="0" w:firstLine="680"/>
        <w:jc w:val="left"/>
      </w:pPr>
      <w:bookmarkStart w:id="1384" w:name="bookmark1384"/>
      <w:bookmarkEnd w:id="1384"/>
      <w:r>
        <w:rPr>
          <w:color w:val="000000"/>
          <w:spacing w:val="0"/>
          <w:w w:val="100"/>
          <w:position w:val="0"/>
        </w:rPr>
        <w:t>敏感性分析</w:t>
      </w:r>
    </w:p>
    <w:p>
      <w:pPr>
        <w:pStyle w:val="Style32"/>
        <w:keepNext w:val="0"/>
        <w:keepLines w:val="0"/>
        <w:widowControl w:val="0"/>
        <w:shd w:val="clear" w:color="auto" w:fill="auto"/>
        <w:bidi w:val="0"/>
        <w:spacing w:before="0" w:after="260" w:line="235" w:lineRule="exact"/>
        <w:ind w:left="400" w:right="0" w:firstLine="440"/>
        <w:jc w:val="both"/>
      </w:pPr>
      <w:r>
        <w:rPr>
          <w:color w:val="000000"/>
          <w:spacing w:val="0"/>
          <w:w w:val="100"/>
          <w:position w:val="0"/>
        </w:rPr>
        <w:t>本集团采用敏感性分析技术分析风险变量的合理、可能变化对当期损益或股东权益可能产生的影响。由于任何风险变 量很少孤立的发生变化，而变量之间存在的相关性对某一风险变量变化的最终影响金额将产生重大作用，因此下述内容是在 假设每一变量的变化是独立的情况下进行的。</w:t>
      </w:r>
    </w:p>
    <w:p>
      <w:pPr>
        <w:pStyle w:val="Style32"/>
        <w:keepNext w:val="0"/>
        <w:keepLines w:val="0"/>
        <w:widowControl w:val="0"/>
        <w:shd w:val="clear" w:color="auto" w:fill="auto"/>
        <w:bidi w:val="0"/>
        <w:spacing w:before="0" w:after="200" w:line="276"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外汇风险敏感性分析</w:t>
      </w:r>
    </w:p>
    <w:p>
      <w:pPr>
        <w:pStyle w:val="Style32"/>
        <w:keepNext w:val="0"/>
        <w:keepLines w:val="0"/>
        <w:widowControl w:val="0"/>
        <w:shd w:val="clear" w:color="auto" w:fill="auto"/>
        <w:bidi w:val="0"/>
        <w:spacing w:before="0" w:after="260" w:line="235" w:lineRule="exact"/>
        <w:ind w:left="400" w:right="0" w:firstLine="440"/>
        <w:jc w:val="left"/>
      </w:pPr>
      <w:r>
        <w:rPr>
          <w:color w:val="000000"/>
          <w:spacing w:val="0"/>
          <w:w w:val="100"/>
          <w:position w:val="0"/>
        </w:rPr>
        <w:t>下表为汇率风险的敏感性分析，反映了在其它变量不变的假设下，美元、港币、澳门币及欧元汇率发生合理、可能的 变动时，将对利润总额的影响如下：</w:t>
      </w:r>
    </w:p>
    <w:tbl>
      <w:tblPr>
        <w:tblOverlap w:val="never"/>
        <w:jc w:val="left"/>
        <w:tblLayout w:type="fixed"/>
      </w:tblPr>
      <w:tblGrid>
        <w:gridCol w:w="2669"/>
        <w:gridCol w:w="1982"/>
        <w:gridCol w:w="4123"/>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汇率变动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对人民币升值</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37,389,832.84</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对人民币贬值</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-37,389,832.84</w:t>
            </w:r>
          </w:p>
        </w:tc>
      </w:tr>
    </w:tbl>
    <w:p>
      <w:pPr>
        <w:widowControl w:val="0"/>
        <w:spacing w:after="199" w:line="1" w:lineRule="exact"/>
      </w:pPr>
    </w:p>
    <w:p>
      <w:pPr>
        <w:pStyle w:val="Style32"/>
        <w:keepNext w:val="0"/>
        <w:keepLines w:val="0"/>
        <w:widowControl w:val="0"/>
        <w:shd w:val="clear" w:color="auto" w:fill="auto"/>
        <w:bidi w:val="0"/>
        <w:spacing w:before="0" w:after="200" w:line="235" w:lineRule="exact"/>
        <w:ind w:left="0" w:right="0" w:firstLine="840"/>
        <w:jc w:val="left"/>
      </w:pPr>
      <w:r>
        <w:rPr>
          <w:rFonts w:ascii="Times New Roman" w:eastAsia="Times New Roman" w:hAnsi="Times New Roman" w:cs="Times New Roman"/>
          <w:color w:val="000000"/>
          <w:spacing w:val="0"/>
          <w:w w:val="100"/>
          <w:position w:val="0"/>
        </w:rPr>
        <w:t>(2)</w:t>
      </w:r>
      <w:r>
        <w:rPr>
          <w:color w:val="000000"/>
          <w:spacing w:val="0"/>
          <w:w w:val="100"/>
          <w:position w:val="0"/>
        </w:rPr>
        <w:t>利率风险敏感性分析</w:t>
      </w:r>
    </w:p>
    <w:p>
      <w:pPr>
        <w:pStyle w:val="Style32"/>
        <w:keepNext w:val="0"/>
        <w:keepLines w:val="0"/>
        <w:widowControl w:val="0"/>
        <w:shd w:val="clear" w:color="auto" w:fill="auto"/>
        <w:bidi w:val="0"/>
        <w:spacing w:before="0" w:after="260" w:line="235" w:lineRule="exact"/>
        <w:ind w:left="400" w:right="0" w:firstLine="440"/>
        <w:jc w:val="left"/>
      </w:pPr>
      <w:r>
        <w:rPr>
          <w:color w:val="000000"/>
          <w:spacing w:val="0"/>
          <w:w w:val="100"/>
          <w:position w:val="0"/>
        </w:rPr>
        <w:t>下表为利率风险的敏感性分析，反映了在其它变量不变的假设下，利率发生合理、可能的变动时，将对利润总额的影 响如下：</w:t>
      </w:r>
    </w:p>
    <w:tbl>
      <w:tblPr>
        <w:tblOverlap w:val="never"/>
        <w:jc w:val="left"/>
        <w:tblLayout w:type="fixed"/>
      </w:tblPr>
      <w:tblGrid>
        <w:gridCol w:w="2669"/>
        <w:gridCol w:w="1982"/>
        <w:gridCol w:w="4123"/>
      </w:tblGrid>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利率变动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-7,877,553.53</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7,877,553.53</w:t>
            </w:r>
          </w:p>
        </w:tc>
      </w:tr>
    </w:tbl>
    <w:p>
      <w:pPr>
        <w:widowControl w:val="0"/>
        <w:spacing w:after="1019" w:line="1" w:lineRule="exact"/>
      </w:pPr>
    </w:p>
    <w:p>
      <w:pPr>
        <w:pStyle w:val="Style28"/>
        <w:keepNext/>
        <w:keepLines/>
        <w:widowControl w:val="0"/>
        <w:shd w:val="clear" w:color="auto" w:fill="auto"/>
        <w:bidi w:val="0"/>
        <w:spacing w:before="0" w:after="340" w:line="240" w:lineRule="auto"/>
        <w:ind w:left="0" w:right="0" w:firstLine="400"/>
        <w:jc w:val="left"/>
      </w:pPr>
      <w:bookmarkStart w:id="1385" w:name="bookmark1385"/>
      <w:bookmarkStart w:id="1386" w:name="bookmark1386"/>
      <w:bookmarkStart w:id="1387" w:name="bookmark1387"/>
      <w:r>
        <w:rPr>
          <w:color w:val="000000"/>
          <w:spacing w:val="0"/>
          <w:w w:val="100"/>
          <w:position w:val="0"/>
        </w:rPr>
        <w:t>十一、公允价值的披露</w:t>
      </w:r>
      <w:bookmarkEnd w:id="1385"/>
      <w:bookmarkEnd w:id="1386"/>
      <w:bookmarkEnd w:id="1387"/>
    </w:p>
    <w:p>
      <w:pPr>
        <w:pStyle w:val="Style36"/>
        <w:keepNext/>
        <w:keepLines/>
        <w:widowControl w:val="0"/>
        <w:shd w:val="clear" w:color="auto" w:fill="auto"/>
        <w:bidi w:val="0"/>
        <w:spacing w:before="0" w:after="260" w:line="240" w:lineRule="auto"/>
        <w:ind w:left="0" w:right="0" w:firstLine="40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88"/>
      <w:bookmarkEnd w:id="1389"/>
      <w:bookmarkEnd w:id="13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(一)以公允价值计量 且变动计入当期损益的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5,327,141.79</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5,327,141.79</w:t>
            </w:r>
          </w:p>
        </w:tc>
      </w:tr>
    </w:tbl>
    <w:tbl>
      <w:tblPr>
        <w:tblOverlap w:val="never"/>
        <w:jc w:val="center"/>
        <w:tblLayout w:type="fixed"/>
      </w:tblPr>
      <w:tblGrid>
        <w:gridCol w:w="1997"/>
        <w:gridCol w:w="1838"/>
        <w:gridCol w:w="1910"/>
        <w:gridCol w:w="1915"/>
        <w:gridCol w:w="192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（二）可供出售金融资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31,503,233.40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31,503,233.40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31,503,233.40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31,503,233.40</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31,503,233.40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36,830,375.19</w:t>
            </w:r>
          </w:p>
        </w:tc>
      </w:tr>
      <w:tr>
        <w:trPr>
          <w:trHeight w:val="5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380"/>
        <w:jc w:val="left"/>
      </w:pPr>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91"/>
      <w:bookmarkEnd w:id="1392"/>
      <w:bookmarkEnd w:id="1393"/>
    </w:p>
    <w:p>
      <w:pPr>
        <w:pStyle w:val="Style32"/>
        <w:keepNext w:val="0"/>
        <w:keepLines w:val="0"/>
        <w:widowControl w:val="0"/>
        <w:shd w:val="clear" w:color="auto" w:fill="auto"/>
        <w:bidi w:val="0"/>
        <w:spacing w:before="0" w:after="300" w:line="245" w:lineRule="exact"/>
        <w:ind w:left="380" w:right="0" w:firstLine="160"/>
        <w:jc w:val="left"/>
      </w:pPr>
      <w:r>
        <w:rPr>
          <w:color w:val="000000"/>
          <w:spacing w:val="0"/>
          <w:w w:val="100"/>
          <w:position w:val="0"/>
        </w:rPr>
        <w:t>本集团以第一层次公允价值计量的项目系公司持有的神州控股的股票，年末公允价值以其在</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月最后一个交易日 的收盘价确定</w:t>
      </w:r>
    </w:p>
    <w:p>
      <w:pPr>
        <w:pStyle w:val="Style36"/>
        <w:keepNext/>
        <w:keepLines/>
        <w:widowControl w:val="0"/>
        <w:shd w:val="clear" w:color="auto" w:fill="auto"/>
        <w:bidi w:val="0"/>
        <w:spacing w:before="0" w:after="300" w:line="240" w:lineRule="auto"/>
        <w:ind w:left="0" w:right="0" w:firstLine="38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color w:val="000000"/>
          <w:spacing w:val="0"/>
          <w:w w:val="100"/>
          <w:position w:val="0"/>
        </w:rPr>
        <w:t>、持续和非持续第二层次公允价值计量项目，采用的估值技术和重要参数的定性及定量信息</w:t>
      </w:r>
      <w:bookmarkEnd w:id="1394"/>
      <w:bookmarkEnd w:id="1395"/>
      <w:bookmarkEnd w:id="1397"/>
    </w:p>
    <w:p>
      <w:pPr>
        <w:pStyle w:val="Style32"/>
        <w:keepNext w:val="0"/>
        <w:keepLines w:val="0"/>
        <w:widowControl w:val="0"/>
        <w:shd w:val="clear" w:color="auto" w:fill="auto"/>
        <w:bidi w:val="0"/>
        <w:spacing w:before="0" w:after="240" w:line="230" w:lineRule="exact"/>
        <w:ind w:left="380" w:right="0" w:firstLine="380"/>
        <w:jc w:val="left"/>
      </w:pPr>
      <w:r>
        <w:rPr>
          <w:color w:val="000000"/>
          <w:spacing w:val="0"/>
          <w:w w:val="100"/>
          <w:position w:val="0"/>
        </w:rPr>
        <w:t>本集团的财务部门由主管财务工作的总经理领导，负责制定金融工具公允价值计量的政策和程序。每个资产负债表 日，财务部门从金融机构或第三方机构取得金融工具的公允价值，经财务部总经理审核批准，按照金融机构或第三方机构 出具的公允值确认。出于年度财务报表目的，每年一次与审计委员会讨论估值流程和结果。</w:t>
      </w:r>
    </w:p>
    <w:p>
      <w:pPr>
        <w:pStyle w:val="Style32"/>
        <w:keepNext w:val="0"/>
        <w:keepLines w:val="0"/>
        <w:widowControl w:val="0"/>
        <w:shd w:val="clear" w:color="auto" w:fill="auto"/>
        <w:bidi w:val="0"/>
        <w:spacing w:before="0" w:after="240" w:line="230" w:lineRule="exact"/>
        <w:ind w:left="380" w:right="0" w:firstLine="380"/>
        <w:jc w:val="left"/>
      </w:pPr>
      <w:r>
        <w:rPr>
          <w:color w:val="000000"/>
          <w:spacing w:val="0"/>
          <w:w w:val="100"/>
          <w:position w:val="0"/>
        </w:rPr>
        <w:t>金融资产和金融负债的公允价值，以在公平交易中，熟悉情况的交易双方自愿进行资产交换或者债务清偿的金额确 定，而不是被迫出售或清算情况下的金额。</w:t>
      </w:r>
    </w:p>
    <w:p>
      <w:pPr>
        <w:pStyle w:val="Style32"/>
        <w:keepNext w:val="0"/>
        <w:keepLines w:val="0"/>
        <w:widowControl w:val="0"/>
        <w:shd w:val="clear" w:color="auto" w:fill="auto"/>
        <w:bidi w:val="0"/>
        <w:spacing w:before="0" w:after="540" w:line="233" w:lineRule="exact"/>
        <w:ind w:left="380" w:right="0" w:firstLine="380"/>
        <w:jc w:val="left"/>
      </w:pPr>
      <w:r>
        <w:rPr>
          <w:color w:val="000000"/>
          <w:spacing w:val="0"/>
          <w:w w:val="100"/>
          <w:position w:val="0"/>
        </w:rPr>
        <w:t>本集团与多个交易对手（主要是有着较高信用评级的金融机构）订立了衍生金融工具合约。衍生金融工具，为远期外 汇合同，采用类似于远期定价模型的估值技术进行计量。模型涵盖了多个市场可观察到的输入值，包括交易对手的信用等 级、即期和远期汇率和利率曲线。远期外汇合同的账面价值，与公允价值相同。于各报告期内，衍生金融资产的盯市价 值，是抵销了归属于衍生工具交易对手违约风险的信用估值调整之后的净值。交易对手信用风险的变化，对于套期关系中 指定衍生工具的套期有效性的评价和其他以公允价值计量的金融工具，均无重大影响。</w:t>
      </w:r>
    </w:p>
    <w:p>
      <w:pPr>
        <w:pStyle w:val="Style28"/>
        <w:keepNext/>
        <w:keepLines/>
        <w:widowControl w:val="0"/>
        <w:shd w:val="clear" w:color="auto" w:fill="auto"/>
        <w:bidi w:val="0"/>
        <w:spacing w:before="0" w:after="360" w:line="240" w:lineRule="auto"/>
        <w:ind w:left="0" w:right="0" w:firstLine="380"/>
        <w:jc w:val="left"/>
      </w:pPr>
      <w:bookmarkStart w:id="1398" w:name="bookmark1398"/>
      <w:bookmarkStart w:id="1399" w:name="bookmark1399"/>
      <w:bookmarkStart w:id="1400" w:name="bookmark1400"/>
      <w:r>
        <w:rPr>
          <w:color w:val="000000"/>
          <w:spacing w:val="0"/>
          <w:w w:val="100"/>
          <w:position w:val="0"/>
        </w:rPr>
        <w:t>十二、关联方及关联交易</w:t>
      </w:r>
      <w:bookmarkEnd w:id="1398"/>
      <w:bookmarkEnd w:id="1399"/>
      <w:bookmarkEnd w:id="1400"/>
    </w:p>
    <w:p>
      <w:pPr>
        <w:pStyle w:val="Style36"/>
        <w:keepNext/>
        <w:keepLines/>
        <w:widowControl w:val="0"/>
        <w:shd w:val="clear" w:color="auto" w:fill="auto"/>
        <w:bidi w:val="0"/>
        <w:spacing w:before="0" w:after="300" w:line="240" w:lineRule="auto"/>
        <w:ind w:left="0" w:right="0" w:firstLine="38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01"/>
      <w:bookmarkEnd w:id="1402"/>
      <w:bookmarkEnd w:id="1403"/>
    </w:p>
    <w:tbl>
      <w:tblPr>
        <w:tblOverlap w:val="never"/>
        <w:jc w:val="center"/>
        <w:tblLayout w:type="fixed"/>
      </w:tblPr>
      <w:tblGrid>
        <w:gridCol w:w="1598"/>
        <w:gridCol w:w="1594"/>
        <w:gridCol w:w="1594"/>
        <w:gridCol w:w="1594"/>
        <w:gridCol w:w="1594"/>
        <w:gridCol w:w="1608"/>
      </w:tblGrid>
      <w:tr>
        <w:trPr>
          <w:trHeight w:val="57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母公司对本企业的 表决权比例</w:t>
            </w:r>
          </w:p>
        </w:tc>
      </w:tr>
    </w:tbl>
    <w:p>
      <w:pPr>
        <w:widowControl w:val="0"/>
        <w:spacing w:after="39" w:line="1" w:lineRule="exact"/>
      </w:pPr>
    </w:p>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本企业最终控制方是郭为先生。</w:t>
      </w:r>
    </w:p>
    <w:p>
      <w:pPr>
        <w:pStyle w:val="Style32"/>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其他说明：无</w:t>
      </w:r>
    </w:p>
    <w:p>
      <w:pPr>
        <w:pStyle w:val="Style36"/>
        <w:keepNext/>
        <w:keepLines/>
        <w:widowControl w:val="0"/>
        <w:shd w:val="clear" w:color="auto" w:fill="auto"/>
        <w:tabs>
          <w:tab w:pos="758" w:val="left"/>
        </w:tabs>
        <w:bidi w:val="0"/>
        <w:spacing w:before="0" w:after="300" w:line="240" w:lineRule="auto"/>
        <w:ind w:left="0" w:right="0" w:firstLine="38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color w:val="000000"/>
          <w:spacing w:val="0"/>
          <w:w w:val="100"/>
          <w:position w:val="0"/>
        </w:rPr>
        <w:t>、</w:t>
        <w:tab/>
        <w:t>本企业的子公司情况</w:t>
      </w:r>
      <w:bookmarkEnd w:id="1404"/>
      <w:bookmarkEnd w:id="1405"/>
      <w:bookmarkEnd w:id="1407"/>
    </w:p>
    <w:p>
      <w:pPr>
        <w:pStyle w:val="Style32"/>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本企业子公司的情况详见附注“九、在其他主体中的权益”之“</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p>
      <w:pPr>
        <w:pStyle w:val="Style36"/>
        <w:keepNext/>
        <w:keepLines/>
        <w:widowControl w:val="0"/>
        <w:shd w:val="clear" w:color="auto" w:fill="auto"/>
        <w:tabs>
          <w:tab w:pos="758" w:val="left"/>
        </w:tabs>
        <w:bidi w:val="0"/>
        <w:spacing w:before="0" w:after="300" w:line="240" w:lineRule="auto"/>
        <w:ind w:left="0" w:right="0" w:firstLine="38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color w:val="000000"/>
          <w:spacing w:val="0"/>
          <w:w w:val="100"/>
          <w:position w:val="0"/>
        </w:rPr>
        <w:t>、</w:t>
        <w:tab/>
        <w:t>本企业合营和联营企业情况</w:t>
      </w:r>
      <w:bookmarkEnd w:id="1408"/>
      <w:bookmarkEnd w:id="1409"/>
      <w:bookmarkEnd w:id="1411"/>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本企业重要的合营或联营企业详见附注。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成都神州数码索贝科技有限公司（及其子公司北京神州数码 索贝科技有限公司）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bl>
    <w:p>
      <w:pPr>
        <w:spacing w:lineRule="exact" w:line="1"/>
        <w:rPr>
          <w:sz w:val="2"/>
          <w:szCs w:val="2"/>
        </w:rPr>
      </w:pPr>
      <w:r>
        <w:br w:type="page"/>
      </w:r>
    </w:p>
    <w:tbl>
      <w:tblPr>
        <w:tblOverlap w:val="never"/>
        <w:jc w:val="center"/>
        <w:tblLayout w:type="fixed"/>
      </w:tblPr>
      <w:tblGrid>
        <w:gridCol w:w="4786"/>
        <w:gridCol w:w="4795"/>
      </w:tblGrid>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北京神州数码置业发展有限公司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38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color w:val="000000"/>
          <w:spacing w:val="0"/>
          <w:w w:val="100"/>
          <w:position w:val="0"/>
        </w:rPr>
        <w:t>、其他关联方情况</w:t>
      </w:r>
      <w:bookmarkEnd w:id="1412"/>
      <w:bookmarkEnd w:id="1413"/>
      <w:bookmarkEnd w:id="1415"/>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辽宁科捷物流有限公司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神州数码（武汉）科技园有限公司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智慧神州（福建）信息技术有限公司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西安科捷物流有限公司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天津神州数码融资租赁有限公司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南京神州金信电子科技有限公司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广州神州金信电子科技有限公司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Financial Service Holding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Advanced Systems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Instant Technology Supply Chain Hong Kong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神州惠云信息技术有限公司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北京神州数码锐行快捷信息技术服务有限公司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上海神州数码信息技术服务有限公司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深圳神州普惠信息有限公司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神州数码商业保理有限责任公司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江苏智慧港城投资发展有限公司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00" w:line="240" w:lineRule="auto"/>
        <w:ind w:left="0" w:right="0" w:firstLine="38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5</w:t>
      </w:r>
      <w:bookmarkEnd w:id="1418"/>
      <w:r>
        <w:rPr>
          <w:color w:val="000000"/>
          <w:spacing w:val="0"/>
          <w:w w:val="100"/>
          <w:position w:val="0"/>
        </w:rPr>
        <w:t>、关联交易情况</w:t>
      </w:r>
      <w:bookmarkEnd w:id="1416"/>
      <w:bookmarkEnd w:id="1417"/>
      <w:bookmarkEnd w:id="1419"/>
    </w:p>
    <w:p>
      <w:pPr>
        <w:pStyle w:val="Style36"/>
        <w:keepNext/>
        <w:keepLines/>
        <w:widowControl w:val="0"/>
        <w:shd w:val="clear" w:color="auto" w:fill="auto"/>
        <w:bidi w:val="0"/>
        <w:spacing w:before="0" w:after="300" w:line="240" w:lineRule="auto"/>
        <w:ind w:left="0" w:right="0" w:firstLine="380"/>
        <w:jc w:val="left"/>
      </w:pPr>
      <w:bookmarkStart w:id="1416" w:name="bookmark1416"/>
      <w:bookmarkStart w:id="1417" w:name="bookmark1417"/>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16"/>
      <w:bookmarkEnd w:id="1417"/>
      <w:bookmarkEnd w:id="1420"/>
    </w:p>
    <w:p>
      <w:pPr>
        <w:pStyle w:val="Style32"/>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454"/>
        <w:gridCol w:w="1454"/>
        <w:gridCol w:w="1709"/>
        <w:gridCol w:w="1709"/>
        <w:gridCol w:w="171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上海科捷物流有限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8,982,127.80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北京科捷物流有限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82,993,622.62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深圳科捷物流有限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41,492,207.86</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辽宁科捷物流有限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5,772,540.44</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西安科捷物流有限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15,166,169.15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rPr>
              <w:t>Instant Technology</w:t>
            </w:r>
          </w:p>
          <w:p>
            <w:pPr>
              <w:pStyle w:val="Style24"/>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rPr>
              <w:t>Supply Chain 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3,988,901.62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250,460,000.00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神州数码软件有限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31,387,361.65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西安神州数码实业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1,446,646.23</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神州数码（重庆） 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226,699.13</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神州数码（武汉） 科技园有限公司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10,110.00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北京神州数码科捷 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6,475,030.68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深圳科捷电商供应</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1,871,106.97</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辽宁智慧山水城科 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18,973,895.21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114,540,000.00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江苏智慧港城投资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2,169,811.32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北京神州数码科捷 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4,617,955.57</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神州数码信息系统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369,814.30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神州数码系统集成 服务有限公司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75,434.19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5,944,476.93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北京神州数码科捷技术服务有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9,678,108.14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261"/>
        <w:gridCol w:w="2256"/>
        <w:gridCol w:w="266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315,841.49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50,710.29</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Instant Technology Supply Chain 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17,245.44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神州数码（武汉）科技园有限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72,073.98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天津神州数码融资租赁有限公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55,919.21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神州数码商业保理有限责任公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5,414.53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175,096.23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智慧神州（北京）科技有限公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2,992,733.29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智慧神州（福建）信息技术有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110,695.91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神州惠云信息技术有限公司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2,872,103.73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深圳神州普惠信息有限公司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73,169.81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辽宁智慧山水城科技发展有限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903,418.00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神州数码系统集成服务有限公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117,762,334.37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广州神州金信电子科技有限公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254,304.90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南京神州金信电子科技有限公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113,280.81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神州数码金信科技股份有限公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741,756.02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神州数码信息服务股份有限公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28,956,179.31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8,813,276.37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3,382,078.32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北京中农信达信息技术有限公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827,932.74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北京神州数码锐行快捷信息技 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278,552.01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神州数码融信云技术服务有限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639,646.92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上海神州数码信息技术服务有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81,257.26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杨凌农业云服务有限公司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129,950.58</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Digital China Financial Service Holding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13,310.72</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Digital China Advanced Systems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386,577.02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北京神州数码索贝科技有限公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36,432.77</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北京神州数码索贝科技有限公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一般借款利息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164,654.10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261"/>
        <w:gridCol w:w="2256"/>
        <w:gridCol w:w="266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北京神州数码置业发展有限公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一般借款利息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5,074,541.41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购销商品、提供和接受劳务的关联交易说明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报告期内，本集团合并范围内公司均以市场价自关联公司购入</w:t>
      </w:r>
      <w:r>
        <w:rPr>
          <w:rFonts w:ascii="Times New Roman" w:eastAsia="Times New Roman" w:hAnsi="Times New Roman" w:cs="Times New Roman"/>
          <w:color w:val="000000"/>
          <w:spacing w:val="0"/>
          <w:w w:val="100"/>
          <w:position w:val="0"/>
        </w:rPr>
        <w:t>IT</w:t>
      </w:r>
      <w:r>
        <w:rPr>
          <w:color w:val="000000"/>
          <w:spacing w:val="0"/>
          <w:w w:val="100"/>
          <w:position w:val="0"/>
        </w:rPr>
        <w:t>产品或货运服务，以市场价向关联公司销售</w:t>
      </w:r>
      <w:r>
        <w:rPr>
          <w:rFonts w:ascii="Times New Roman" w:eastAsia="Times New Roman" w:hAnsi="Times New Roman" w:cs="Times New Roman"/>
          <w:color w:val="000000"/>
          <w:spacing w:val="0"/>
          <w:w w:val="100"/>
          <w:position w:val="0"/>
        </w:rPr>
        <w:t>IT</w:t>
      </w:r>
      <w:r>
        <w:rPr>
          <w:color w:val="000000"/>
          <w:spacing w:val="0"/>
          <w:w w:val="100"/>
          <w:position w:val="0"/>
        </w:rPr>
        <w:t>产品。</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r>
        <w:rPr>
          <w:color w:val="000000"/>
          <w:spacing w:val="0"/>
          <w:w w:val="100"/>
          <w:position w:val="0"/>
        </w:rPr>
        <w:t>）关联方资产转让、债务重组情况</w:t>
      </w:r>
      <w:bookmarkEnd w:id="1421"/>
      <w:bookmarkEnd w:id="1422"/>
      <w:bookmarkEnd w:id="14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重大资产出售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160,800,900.00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424"/>
      <w:bookmarkEnd w:id="1425"/>
      <w:bookmarkEnd w:id="1427"/>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参照“第八节董事、监事、高级管理人员和员工情况 四、董事、监事、高级管理人员报酬情况”</w:t>
      </w:r>
    </w:p>
    <w:p>
      <w:pPr>
        <w:pStyle w:val="Style36"/>
        <w:keepNext/>
        <w:keepLines/>
        <w:widowControl w:val="0"/>
        <w:shd w:val="clear" w:color="auto" w:fill="auto"/>
        <w:bidi w:val="0"/>
        <w:spacing w:before="0" w:after="32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428"/>
      <w:bookmarkEnd w:id="1429"/>
      <w:bookmarkEnd w:id="1431"/>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供应商担保</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848"/>
        <w:gridCol w:w="2266"/>
        <w:gridCol w:w="1843"/>
        <w:gridCol w:w="1061"/>
        <w:gridCol w:w="1594"/>
        <w:gridCol w:w="936"/>
      </w:tblGrid>
      <w:tr>
        <w:trPr>
          <w:trHeight w:val="581"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担保是否已 经履行完毕</w:t>
            </w:r>
          </w:p>
        </w:tc>
      </w:tr>
      <w:tr>
        <w:trPr>
          <w:trHeight w:val="10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北京神州数码供应链服务有 限公司、北京神州数码有限 公司、神州数码（中国）有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382,250,000.00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上海神州数码有限公司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上海神州数码有限公司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695,000,000.00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神州数码科技发展有限公司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118,150,000.00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1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广州神州数码信息科技有限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所有保证义务最晚 的履行期届满之日 起两年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4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神州数码（香港）有限公 司、神州数码科技发展有限 公司、神州数码（中国）有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451,750,000.00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无明确到期日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神州数码科技发展有限公司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173,750,000.00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无明确到期日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神州数码科技发展有限公司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173,750,000.00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无明确到期日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神州数码科技发展有限公司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173,750,000.00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无明确到期日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神州数码（中国）有限公司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417,000,000.00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无明确到期日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4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神州数码（中国）有限公 司、神州数码科技发展有限</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85,000,000.00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2266"/>
        <w:gridCol w:w="1843"/>
        <w:gridCol w:w="1061"/>
        <w:gridCol w:w="1594"/>
        <w:gridCol w:w="936"/>
      </w:tblGrid>
      <w:tr>
        <w:trPr>
          <w:trHeight w:val="581"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担保是否已 经履行完毕</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神州数码科技发展有限公司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北京神州数码有限公司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北京神州数码有限公司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1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北京神州数码有限公司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自主协议约定的相 应债务履行期限届 满之日起两年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神州数码集团股份有限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406,155,000.00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神州数码（中国）有限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北京神州数码有限公司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神州数码澳门离岸商业服务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695,000,000.00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22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Digital China</w:t>
            </w:r>
          </w:p>
          <w:p>
            <w:pPr>
              <w:pStyle w:val="Style24"/>
              <w:keepNext w:val="0"/>
              <w:keepLines w:val="0"/>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000000"/>
                <w:spacing w:val="0"/>
                <w:w w:val="100"/>
                <w:position w:val="0"/>
              </w:rPr>
              <w:t>Marketing&amp;Services</w:t>
            </w:r>
          </w:p>
          <w:p>
            <w:pPr>
              <w:pStyle w:val="Style2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Ltd</w:t>
            </w:r>
            <w:r>
              <w:rPr>
                <w:color w:val="000000"/>
                <w:spacing w:val="0"/>
                <w:w w:val="100"/>
                <w:position w:val="0"/>
              </w:rPr>
              <w:t>、神州数码科技发 展有限公司、神州数码</w:t>
            </w:r>
          </w:p>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（香港）有限公司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神州数码澳门离岸商业服务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60,812,500.00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神州数码（中国）有限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神州数码科技发展有限公司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北京神州数码供应链服务有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广州神州数码信息科技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北京神州数码有限公司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神州数码（中国）有限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北京神州数码供应链服务有 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融资担保</w:t>
      </w:r>
    </w:p>
    <w:p>
      <w:pPr>
        <w:widowControl w:val="0"/>
        <w:spacing w:after="19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838"/>
        <w:gridCol w:w="2280"/>
        <w:gridCol w:w="1546"/>
        <w:gridCol w:w="1560"/>
        <w:gridCol w:w="1560"/>
        <w:gridCol w:w="840"/>
      </w:tblGrid>
      <w:tr>
        <w:trPr>
          <w:trHeight w:val="81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担保是已 经否履行 完毕</w:t>
            </w:r>
          </w:p>
        </w:tc>
      </w:tr>
      <w:tr>
        <w:trPr>
          <w:trHeight w:val="5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69,768,660.00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8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神州数码集团股份有限 公司、神州数码（中国）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北京神州数码供应链服务有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被担保债务的履行</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38"/>
        <w:gridCol w:w="2280"/>
        <w:gridCol w:w="1546"/>
        <w:gridCol w:w="1560"/>
        <w:gridCol w:w="1560"/>
        <w:gridCol w:w="840"/>
      </w:tblGrid>
      <w:tr>
        <w:trPr>
          <w:trHeight w:val="82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担保是已 经否履行 完毕</w:t>
            </w: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期届满之后两年止</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北京神州数码供应链服务有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北京神州数码供应链服务有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5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175,835,000.00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pPr>
            <w:r>
              <w:rPr>
                <w:color w:val="000000"/>
                <w:spacing w:val="0"/>
                <w:w w:val="100"/>
                <w:position w:val="0"/>
              </w:rPr>
              <w:t>神州数码科技发展有限公司、 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12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神州数码科技发展有限公司、 神州数码澳门离岸商业服务 有限公司、系统信息科技（香 港）有限公司、神州数码（香 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10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pPr>
            <w:r>
              <w:rPr>
                <w:color w:val="000000"/>
                <w:spacing w:val="0"/>
                <w:w w:val="100"/>
                <w:position w:val="0"/>
              </w:rPr>
              <w:t>神州数码科技发展有限公司、 神州数码澳门离岸商业服务 有限公司、神州数码网络（香 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250,451,600.00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8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神州数码科技发展有限公司、 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264,100,000.00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12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神州数码科技发展有限公司、 神州数码澳门离岸商业服务 有限公司、神州数码网络（香 港）有限公司、神州数码（香 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291,900,000.00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325,260,000.00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8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神州数码集团股份有限 公司、神州数码（中国）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神州数码科技发展有限公司、 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神州数码集团股份有限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神州数码（中国）有限公司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被担保债务的履行</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38"/>
        <w:gridCol w:w="2280"/>
        <w:gridCol w:w="1546"/>
        <w:gridCol w:w="1560"/>
        <w:gridCol w:w="1560"/>
        <w:gridCol w:w="840"/>
      </w:tblGrid>
      <w:tr>
        <w:trPr>
          <w:trHeight w:val="82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担保是已 经否履行 完毕</w:t>
            </w: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期届满之后两年止</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348,843,300.00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10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pPr>
            <w:r>
              <w:rPr>
                <w:color w:val="000000"/>
                <w:spacing w:val="0"/>
                <w:w w:val="100"/>
                <w:position w:val="0"/>
              </w:rPr>
              <w:t>神州数码（中国）有限 公司、广州神州数码信 息科技有限公司、上海 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411,456,200.00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8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both"/>
            </w:pPr>
            <w:r>
              <w:rPr>
                <w:color w:val="000000"/>
                <w:spacing w:val="0"/>
                <w:w w:val="100"/>
                <w:position w:val="0"/>
              </w:rPr>
              <w:t>神州数码（中国）有限 公司、北京神州数码有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10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pPr>
            <w:r>
              <w:rPr>
                <w:color w:val="000000"/>
                <w:spacing w:val="0"/>
                <w:w w:val="100"/>
                <w:position w:val="0"/>
              </w:rPr>
              <w:t>神州数码（中国）有限 公司、广州神州数码信 息科技有限公司、上海 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465,124,400.00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北京神州数码供应链服务有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广州神州数码信息科技有限 公司、上海神州数码有限公司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10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pPr>
            <w:r>
              <w:rPr>
                <w:color w:val="000000"/>
                <w:spacing w:val="0"/>
                <w:w w:val="100"/>
                <w:position w:val="0"/>
              </w:rPr>
              <w:t>神州数码科技发展有限公司、 神州数码澳门离岸商业服务 有限公司、神州数码网络（香 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521,250,000.00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8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神州数码科技发展有限公司、 神州数码澳门离岸商业服务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5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神州数码集团股份有限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被担保债务的履行</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38"/>
        <w:gridCol w:w="2280"/>
        <w:gridCol w:w="1546"/>
        <w:gridCol w:w="1560"/>
        <w:gridCol w:w="1560"/>
        <w:gridCol w:w="840"/>
      </w:tblGrid>
      <w:tr>
        <w:trPr>
          <w:trHeight w:val="82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担保是已 经否履行 完毕</w:t>
            </w: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期届满之后两年止</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神州数码集团股份有限 公司、北京神州数码有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1,251,000,000.00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被担保债务的履行 期届满之后两年止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神州数码集团股份有限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神州数码（中国）有限公司、 广州神州数码信息科技有限 公司、北京神州数码有限公 司、北京神州数码供应链服务 有限公司、上海神州数码有限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自保证书签署之日 起至银行收到保证 人、或保证人的清算 人或接管人关于终 止本保证书的书面 通知后一个日历月 期间届满之前，本保 证书是一项持续性 保证并就全部担保 款项提供担保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0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神州数码（中国）有限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2015 </w:t>
            </w:r>
            <w:r>
              <w:rPr>
                <w:color w:val="000000"/>
                <w:spacing w:val="0"/>
                <w:w w:val="100"/>
                <w:position w:val="0"/>
                <w:sz w:val="18"/>
                <w:szCs w:val="18"/>
              </w:rPr>
              <w:t xml:space="preserve">年］月 </w:t>
            </w:r>
            <w:r>
              <w:rPr>
                <w:color w:val="000000"/>
                <w:spacing w:val="0"/>
                <w:w w:val="100"/>
                <w:position w:val="0"/>
                <w:sz w:val="17"/>
                <w:szCs w:val="17"/>
              </w:rPr>
              <w:t>26 0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99" w:line="1" w:lineRule="exact"/>
      </w:pPr>
    </w:p>
    <w:p>
      <w:pPr>
        <w:pStyle w:val="Style32"/>
        <w:keepNext w:val="0"/>
        <w:keepLines w:val="0"/>
        <w:widowControl w:val="0"/>
        <w:shd w:val="clear" w:color="auto" w:fill="auto"/>
        <w:bidi w:val="0"/>
        <w:spacing w:before="0" w:after="0" w:line="235" w:lineRule="exact"/>
        <w:ind w:left="0" w:right="0" w:firstLine="0"/>
        <w:jc w:val="left"/>
      </w:pPr>
      <w:r>
        <w:rPr>
          <w:color w:val="000000"/>
          <w:spacing w:val="0"/>
          <w:w w:val="100"/>
          <w:position w:val="0"/>
          <w:sz w:val="17"/>
          <w:szCs w:val="17"/>
        </w:rPr>
        <w:t>3</w:t>
      </w:r>
      <w:r>
        <w:rPr>
          <w:color w:val="000000"/>
          <w:spacing w:val="0"/>
          <w:w w:val="100"/>
          <w:position w:val="0"/>
        </w:rPr>
        <w:t>）关联方商标授权使用</w:t>
      </w:r>
    </w:p>
    <w:p>
      <w:pPr>
        <w:pStyle w:val="Style32"/>
        <w:keepNext w:val="0"/>
        <w:keepLines w:val="0"/>
        <w:widowControl w:val="0"/>
        <w:shd w:val="clear" w:color="auto" w:fill="auto"/>
        <w:bidi w:val="0"/>
        <w:spacing w:before="0" w:after="320" w:line="235" w:lineRule="exact"/>
        <w:ind w:left="0" w:right="0" w:firstLine="0"/>
        <w:jc w:val="left"/>
      </w:pPr>
      <w:r>
        <w:rPr>
          <w:color w:val="000000"/>
          <w:spacing w:val="0"/>
          <w:w w:val="100"/>
          <w:position w:val="0"/>
        </w:rPr>
        <w:t>根据神州数码（中国）有限公司与神州控股订立的若干商标许可使用协议，神州数码（中国）有限公司授权神州控股使用 若干商标。自授权神州控股使用该等商标以来，相关许可使用费用获神州数码（中国）有限公司豁免。</w:t>
      </w:r>
    </w:p>
    <w:p>
      <w:pPr>
        <w:pStyle w:val="Style36"/>
        <w:keepNext/>
        <w:keepLines/>
        <w:widowControl w:val="0"/>
        <w:shd w:val="clear" w:color="auto" w:fill="auto"/>
        <w:bidi w:val="0"/>
        <w:spacing w:before="0" w:after="32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6</w:t>
      </w:r>
      <w:bookmarkEnd w:id="1434"/>
      <w:r>
        <w:rPr>
          <w:color w:val="000000"/>
          <w:spacing w:val="0"/>
          <w:w w:val="100"/>
          <w:position w:val="0"/>
        </w:rPr>
        <w:t>、关联方应收应付款项</w:t>
      </w:r>
      <w:bookmarkEnd w:id="1432"/>
      <w:bookmarkEnd w:id="1433"/>
      <w:bookmarkEnd w:id="1435"/>
    </w:p>
    <w:p>
      <w:pPr>
        <w:pStyle w:val="Style36"/>
        <w:keepNext/>
        <w:keepLines/>
        <w:widowControl w:val="0"/>
        <w:shd w:val="clear" w:color="auto" w:fill="auto"/>
        <w:bidi w:val="0"/>
        <w:spacing w:before="0" w:after="320" w:line="240" w:lineRule="auto"/>
        <w:ind w:left="0" w:right="0" w:firstLine="0"/>
        <w:jc w:val="left"/>
      </w:pPr>
      <w:bookmarkStart w:id="1432" w:name="bookmark1432"/>
      <w:bookmarkStart w:id="1433" w:name="bookmark1433"/>
      <w:bookmarkStart w:id="1436" w:name="bookmark1436"/>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32"/>
      <w:bookmarkEnd w:id="1433"/>
      <w:bookmarkEnd w:id="14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神州数码系统集成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6,876,762.39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神州数码信息系统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779,974.64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神州数码融信软件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1,074,918.31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神州数码金信科技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179,502.68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北京中农信达信息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195,744.78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pPr>
            <w:r>
              <w:rPr>
                <w:color w:val="000000"/>
                <w:spacing w:val="0"/>
                <w:w w:val="100"/>
                <w:position w:val="0"/>
              </w:rPr>
              <w:t>杨凌农业云服务有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137,747.61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广州神州金信电子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59,013.11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南京神州金信电子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28,281.61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神州数码融信云技 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196,689.31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北京神州数码锐行 快捷信息技术服务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139,417.19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上海神州数码信息 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55,771.00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Financial Service Holding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Systems</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智慧神州（北京）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1,352,241.27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深圳神州普惠信息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智慧神州（福建） 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30,548.73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北京神州数码科捷 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1,507,786.55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北京科捷物流有限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Instant Technology</w:t>
            </w:r>
          </w:p>
          <w:p>
            <w:pPr>
              <w:pStyle w:val="Style24"/>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Supply Chain 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神州数码软件有限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9,773.70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天津神州数码融资 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6,421.18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北京神州数码索贝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9,090,889.34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成都神州数码索贝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9,931.70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神州数码系统集成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8,435,322.32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北京神州数码索贝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2,182,453.21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北京神州数码置业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北京神州数码置业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5,379,013.89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辽宁智慧山水城科 技发展有限公司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7,801,752.59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300" w:line="240" w:lineRule="auto"/>
        <w:ind w:left="0" w:right="0" w:firstLine="14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37"/>
      <w:bookmarkEnd w:id="1438"/>
      <w:bookmarkEnd w:id="14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北京神州数码索贝科技有限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深圳科捷电商供应链有限公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28,894.48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北京神州数码科捷技术服务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1,567.52</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Instant Technology Supply Chain 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6,510.30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神州数码系统集成服务有限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706,667.00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北京神州数码索贝科技有限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2,167,644.38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西安科捷物流有限公司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5,357,036.25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辽宁科捷物流有限公司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1,224,218.37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4,095,446.47</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Instant Technology Supply Chain 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356,913.01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北京神州数码科捷技术服务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269,941.45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261,370.35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8,921,500.00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4,580.84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7</w:t>
      </w:r>
      <w:bookmarkEnd w:id="1442"/>
      <w:r>
        <w:rPr>
          <w:color w:val="000000"/>
          <w:spacing w:val="0"/>
          <w:w w:val="100"/>
          <w:position w:val="0"/>
        </w:rPr>
        <w:t>、关联方承诺</w:t>
      </w:r>
      <w:bookmarkEnd w:id="1440"/>
      <w:bookmarkEnd w:id="1441"/>
      <w:bookmarkEnd w:id="1443"/>
    </w:p>
    <w:p>
      <w:pPr>
        <w:pStyle w:val="Style32"/>
        <w:keepNext w:val="0"/>
        <w:keepLines w:val="0"/>
        <w:widowControl w:val="0"/>
        <w:shd w:val="clear" w:color="auto" w:fill="auto"/>
        <w:bidi w:val="0"/>
        <w:spacing w:before="0" w:after="220" w:line="230" w:lineRule="exact"/>
        <w:ind w:left="0" w:right="0" w:firstLine="0"/>
        <w:jc w:val="left"/>
      </w:pPr>
      <w:r>
        <w:rPr>
          <w:color w:val="000000"/>
          <w:spacing w:val="0"/>
          <w:w w:val="100"/>
          <w:position w:val="0"/>
        </w:rPr>
        <w:t>根据与出租人西安神州数码实业有限公司、神州数码软件有限公司、神州数码（武汉）科技园有限公司以及神州数码（重 庆）信息科技有限公司签订的租赁合同，不可撤销租赁的最低租赁付款额如下：</w:t>
      </w:r>
    </w:p>
    <w:tbl>
      <w:tblPr>
        <w:tblOverlap w:val="never"/>
        <w:jc w:val="center"/>
        <w:tblLayout w:type="fixed"/>
      </w:tblPr>
      <w:tblGrid>
        <w:gridCol w:w="4272"/>
        <w:gridCol w:w="2650"/>
        <w:gridCol w:w="2654"/>
      </w:tblGrid>
      <w:tr>
        <w:trPr>
          <w:trHeight w:val="27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年以内（含</w:t>
            </w: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44,381,211.88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年至</w:t>
            </w:r>
            <w:r>
              <w:rPr>
                <w:color w:val="000000"/>
                <w:spacing w:val="0"/>
                <w:w w:val="100"/>
                <w:position w:val="0"/>
                <w:sz w:val="17"/>
                <w:szCs w:val="17"/>
              </w:rPr>
              <w:t>2</w:t>
            </w:r>
            <w:r>
              <w:rPr>
                <w:color w:val="000000"/>
                <w:spacing w:val="0"/>
                <w:w w:val="100"/>
                <w:position w:val="0"/>
              </w:rPr>
              <w:t>年（含</w:t>
            </w: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975,047.21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年至</w:t>
            </w:r>
            <w:r>
              <w:rPr>
                <w:color w:val="000000"/>
                <w:spacing w:val="0"/>
                <w:w w:val="100"/>
                <w:position w:val="0"/>
                <w:sz w:val="17"/>
                <w:szCs w:val="17"/>
              </w:rPr>
              <w:t>3</w:t>
            </w:r>
            <w:r>
              <w:rPr>
                <w:color w:val="000000"/>
                <w:spacing w:val="0"/>
                <w:w w:val="100"/>
                <w:position w:val="0"/>
              </w:rPr>
              <w:t>年（含</w:t>
            </w:r>
            <w:r>
              <w:rPr>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975,047.21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1,868, </w:t>
            </w:r>
            <w:r>
              <w:rPr>
                <w:color w:val="000000"/>
                <w:spacing w:val="0"/>
                <w:w w:val="100"/>
                <w:position w:val="0"/>
                <w:sz w:val="17"/>
                <w:szCs w:val="17"/>
              </w:rPr>
              <w:t xml:space="preserve">840. </w:t>
            </w:r>
            <w:r>
              <w:rPr>
                <w:color w:val="000000"/>
                <w:spacing w:val="0"/>
                <w:w w:val="100"/>
                <w:position w:val="0"/>
                <w:sz w:val="17"/>
                <w:szCs w:val="17"/>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48,200,146.78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36"/>
        <w:keepNext/>
        <w:keepLines/>
        <w:widowControl w:val="0"/>
        <w:shd w:val="clear" w:color="auto" w:fill="auto"/>
        <w:bidi w:val="0"/>
        <w:spacing w:before="0" w:after="30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8</w:t>
      </w:r>
      <w:bookmarkEnd w:id="1446"/>
      <w:r>
        <w:rPr>
          <w:color w:val="000000"/>
          <w:spacing w:val="0"/>
          <w:w w:val="100"/>
          <w:position w:val="0"/>
        </w:rPr>
        <w:t>、其他</w:t>
      </w:r>
      <w:bookmarkEnd w:id="1444"/>
      <w:bookmarkEnd w:id="1445"/>
      <w:bookmarkEnd w:id="1447"/>
    </w:p>
    <w:p>
      <w:pPr>
        <w:pStyle w:val="Style28"/>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r>
        <w:rPr>
          <w:color w:val="000000"/>
          <w:spacing w:val="0"/>
          <w:w w:val="100"/>
          <w:position w:val="0"/>
        </w:rPr>
        <w:t>十三、股份支付</w:t>
      </w:r>
      <w:bookmarkEnd w:id="1448"/>
      <w:bookmarkEnd w:id="1449"/>
      <w:bookmarkEnd w:id="1450"/>
    </w:p>
    <w:p>
      <w:pPr>
        <w:pStyle w:val="Style36"/>
        <w:keepNext/>
        <w:keepLines/>
        <w:widowControl w:val="0"/>
        <w:shd w:val="clear" w:color="auto" w:fill="auto"/>
        <w:bidi w:val="0"/>
        <w:spacing w:before="0" w:after="30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51"/>
      <w:bookmarkEnd w:id="1452"/>
      <w:bookmarkEnd w:id="1453"/>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23,027.26</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176,953.60</w:t>
            </w:r>
          </w:p>
        </w:tc>
      </w:tr>
      <w:tr>
        <w:trPr>
          <w:trHeight w:val="80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年购股权计划</w:t>
            </w:r>
            <w:r>
              <w:rPr>
                <w:rFonts w:ascii="Times New Roman" w:eastAsia="Times New Roman" w:hAnsi="Times New Roman" w:cs="Times New Roman"/>
                <w:color w:val="000000"/>
                <w:spacing w:val="0"/>
                <w:w w:val="100"/>
                <w:position w:val="0"/>
              </w:rPr>
              <w:t>”</w:t>
            </w:r>
            <w:r>
              <w:rPr>
                <w:color w:val="000000"/>
                <w:spacing w:val="0"/>
                <w:w w:val="100"/>
                <w:position w:val="0"/>
              </w:rPr>
              <w:t>：行权价格</w:t>
            </w:r>
            <w:r>
              <w:rPr>
                <w:rFonts w:ascii="Times New Roman" w:eastAsia="Times New Roman" w:hAnsi="Times New Roman" w:cs="Times New Roman"/>
                <w:color w:val="000000"/>
                <w:spacing w:val="0"/>
                <w:w w:val="100"/>
                <w:position w:val="0"/>
              </w:rPr>
              <w:t>5.28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股，合同 已执行完毕；</w:t>
            </w:r>
            <w:r>
              <w:rPr>
                <w:rFonts w:ascii="Times New Roman" w:eastAsia="Times New Roman" w:hAnsi="Times New Roman" w:cs="Times New Roman"/>
                <w:color w:val="000000"/>
                <w:spacing w:val="0"/>
                <w:w w:val="100"/>
                <w:position w:val="0"/>
              </w:rPr>
              <w:t>“2011</w:t>
            </w:r>
            <w:r>
              <w:rPr>
                <w:color w:val="000000"/>
                <w:spacing w:val="0"/>
                <w:w w:val="100"/>
                <w:position w:val="0"/>
              </w:rPr>
              <w:t>年购股权计划</w:t>
            </w:r>
            <w:r>
              <w:rPr>
                <w:rFonts w:ascii="Times New Roman" w:eastAsia="Times New Roman" w:hAnsi="Times New Roman" w:cs="Times New Roman"/>
                <w:color w:val="000000"/>
                <w:spacing w:val="0"/>
                <w:w w:val="100"/>
                <w:position w:val="0"/>
              </w:rPr>
              <w:t>”</w:t>
            </w:r>
            <w:r>
              <w:rPr>
                <w:color w:val="000000"/>
                <w:spacing w:val="0"/>
                <w:w w:val="100"/>
                <w:position w:val="0"/>
              </w:rPr>
              <w:t xml:space="preserve">：行权价格 </w:t>
            </w:r>
            <w:r>
              <w:rPr>
                <w:rFonts w:ascii="Times New Roman" w:eastAsia="Times New Roman" w:hAnsi="Times New Roman" w:cs="Times New Roman"/>
                <w:color w:val="000000"/>
                <w:spacing w:val="0"/>
                <w:w w:val="100"/>
                <w:position w:val="0"/>
              </w:rPr>
              <w:t>12.83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股，合同剩余期限</w:t>
            </w:r>
            <w:r>
              <w:rPr>
                <w:rFonts w:ascii="Times New Roman" w:eastAsia="Times New Roman" w:hAnsi="Times New Roman" w:cs="Times New Roman"/>
                <w:color w:val="000000"/>
                <w:spacing w:val="0"/>
                <w:w w:val="100"/>
                <w:position w:val="0"/>
              </w:rPr>
              <w:t>3</w:t>
            </w:r>
            <w:r>
              <w:rPr>
                <w:color w:val="000000"/>
                <w:spacing w:val="0"/>
                <w:w w:val="100"/>
                <w:position w:val="0"/>
              </w:rPr>
              <w:t>年</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54"/>
      <w:bookmarkEnd w:id="1455"/>
      <w:bookmarkEnd w:id="1456"/>
    </w:p>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rPr>
              <w:t>“</w:t>
            </w:r>
            <w:r>
              <w:rPr>
                <w:color w:val="000000"/>
                <w:spacing w:val="0"/>
                <w:w w:val="100"/>
                <w:position w:val="0"/>
              </w:rPr>
              <w:t>其他说明</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rPr>
              <w:t>“</w:t>
            </w:r>
            <w:r>
              <w:rPr>
                <w:color w:val="000000"/>
                <w:spacing w:val="0"/>
                <w:w w:val="100"/>
                <w:position w:val="0"/>
              </w:rPr>
              <w:t>其他说明</w:t>
            </w: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90,542,349.25</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2"/>
        <w:keepNext w:val="0"/>
        <w:keepLines w:val="0"/>
        <w:widowControl w:val="0"/>
        <w:shd w:val="clear" w:color="auto" w:fill="auto"/>
        <w:bidi w:val="0"/>
        <w:spacing w:before="0" w:after="220" w:line="270" w:lineRule="exact"/>
        <w:ind w:left="0" w:right="0" w:firstLine="460"/>
        <w:jc w:val="both"/>
      </w:pPr>
      <w:r>
        <w:rPr>
          <w:color w:val="000000"/>
          <w:spacing w:val="0"/>
          <w:w w:val="100"/>
          <w:position w:val="0"/>
        </w:rPr>
        <w:t xml:space="preserve">本公司之子公司神码中国、神码上海、神码广州信息参与了神州控股实施的两个购股权计划，其中一个购股权计划于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“2002</w:t>
      </w:r>
      <w:r>
        <w:rPr>
          <w:color w:val="000000"/>
          <w:spacing w:val="0"/>
          <w:w w:val="100"/>
          <w:position w:val="0"/>
        </w:rPr>
        <w:t>年购股权计划</w:t>
      </w:r>
      <w:r>
        <w:rPr>
          <w:rFonts w:ascii="Times New Roman" w:eastAsia="Times New Roman" w:hAnsi="Times New Roman" w:cs="Times New Roman"/>
          <w:color w:val="000000"/>
          <w:spacing w:val="0"/>
          <w:w w:val="100"/>
          <w:position w:val="0"/>
        </w:rPr>
        <w:t>”</w:t>
      </w:r>
      <w:r>
        <w:rPr>
          <w:color w:val="000000"/>
          <w:spacing w:val="0"/>
          <w:w w:val="100"/>
          <w:position w:val="0"/>
        </w:rPr>
        <w:t>）采纳，而另一个购股权计划于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年购股权计划</w:t>
      </w:r>
      <w:r>
        <w:rPr>
          <w:rFonts w:ascii="Times New Roman" w:eastAsia="Times New Roman" w:hAnsi="Times New Roman" w:cs="Times New Roman"/>
          <w:color w:val="000000"/>
          <w:spacing w:val="0"/>
          <w:w w:val="100"/>
          <w:position w:val="0"/>
        </w:rPr>
        <w:t>”</w:t>
      </w:r>
      <w:r>
        <w:rPr>
          <w:color w:val="000000"/>
          <w:spacing w:val="0"/>
          <w:w w:val="100"/>
          <w:position w:val="0"/>
        </w:rPr>
        <w:t>）采纳（</w:t>
      </w:r>
      <w:r>
        <w:rPr>
          <w:rFonts w:ascii="Times New Roman" w:eastAsia="Times New Roman" w:hAnsi="Times New Roman" w:cs="Times New Roman"/>
          <w:color w:val="000000"/>
          <w:spacing w:val="0"/>
          <w:w w:val="100"/>
          <w:position w:val="0"/>
        </w:rPr>
        <w:t>2002</w:t>
      </w:r>
      <w:r>
        <w:rPr>
          <w:color w:val="000000"/>
          <w:spacing w:val="0"/>
          <w:w w:val="100"/>
          <w:position w:val="0"/>
        </w:rPr>
        <w:t>年 购股权计划及</w:t>
      </w:r>
      <w:r>
        <w:rPr>
          <w:rFonts w:ascii="Times New Roman" w:eastAsia="Times New Roman" w:hAnsi="Times New Roman" w:cs="Times New Roman"/>
          <w:color w:val="000000"/>
          <w:spacing w:val="0"/>
          <w:w w:val="100"/>
          <w:position w:val="0"/>
        </w:rPr>
        <w:t>2011</w:t>
      </w:r>
      <w:r>
        <w:rPr>
          <w:color w:val="000000"/>
          <w:spacing w:val="0"/>
          <w:w w:val="100"/>
          <w:position w:val="0"/>
        </w:rPr>
        <w:t>年购股权计划以下统称为</w:t>
      </w:r>
      <w:r>
        <w:rPr>
          <w:rFonts w:ascii="Times New Roman" w:eastAsia="Times New Roman" w:hAnsi="Times New Roman" w:cs="Times New Roman"/>
          <w:color w:val="000000"/>
          <w:spacing w:val="0"/>
          <w:w w:val="100"/>
          <w:position w:val="0"/>
        </w:rPr>
        <w:t>“</w:t>
      </w:r>
      <w:r>
        <w:rPr>
          <w:color w:val="000000"/>
          <w:spacing w:val="0"/>
          <w:w w:val="100"/>
          <w:position w:val="0"/>
        </w:rPr>
        <w:t>购股权计划</w:t>
      </w:r>
      <w:r>
        <w:rPr>
          <w:rFonts w:ascii="Times New Roman" w:eastAsia="Times New Roman" w:hAnsi="Times New Roman" w:cs="Times New Roman"/>
          <w:color w:val="000000"/>
          <w:spacing w:val="0"/>
          <w:w w:val="100"/>
          <w:position w:val="0"/>
        </w:rPr>
        <w:t>”</w:t>
      </w:r>
      <w:r>
        <w:rPr>
          <w:color w:val="000000"/>
          <w:spacing w:val="0"/>
          <w:w w:val="100"/>
          <w:position w:val="0"/>
        </w:rPr>
        <w:t>）。该等购股权计划均由神州控股授予本集团员工并以神州控股发 行自身的股份进行结算。</w:t>
      </w:r>
    </w:p>
    <w:p>
      <w:pPr>
        <w:pStyle w:val="Style32"/>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购股权计划的主要条款如下：</w:t>
      </w:r>
    </w:p>
    <w:p>
      <w:pPr>
        <w:pStyle w:val="Style32"/>
        <w:keepNext w:val="0"/>
        <w:keepLines w:val="0"/>
        <w:widowControl w:val="0"/>
        <w:shd w:val="clear" w:color="auto" w:fill="auto"/>
        <w:tabs>
          <w:tab w:pos="892" w:val="left"/>
        </w:tabs>
        <w:bidi w:val="0"/>
        <w:spacing w:before="0" w:after="220" w:line="269" w:lineRule="exact"/>
        <w:ind w:left="0" w:right="0" w:firstLine="460"/>
        <w:jc w:val="both"/>
      </w:pPr>
      <w:bookmarkStart w:id="1457" w:name="bookmark1457"/>
      <w:r>
        <w:rPr>
          <w:color w:val="000000"/>
          <w:spacing w:val="0"/>
          <w:w w:val="100"/>
          <w:position w:val="0"/>
        </w:rPr>
        <w:t>（</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w:t>
        <w:tab/>
        <w:t>目的</w:t>
      </w:r>
    </w:p>
    <w:p>
      <w:pPr>
        <w:pStyle w:val="Style32"/>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购股权计划旨在确认及答谢合资格人士（定义见下文）对本集团所作出或将作出之贡献或可能之贡献，藉以激励合资 格人士为本集团之利益精益求精及提高彼等之效率，并维持或招徕与合资格人士的业务关系，合资格人士的贡献着实或会有 助于本集团的发展。</w:t>
      </w:r>
    </w:p>
    <w:p>
      <w:pPr>
        <w:pStyle w:val="Style32"/>
        <w:keepNext w:val="0"/>
        <w:keepLines w:val="0"/>
        <w:widowControl w:val="0"/>
        <w:shd w:val="clear" w:color="auto" w:fill="auto"/>
        <w:tabs>
          <w:tab w:pos="892" w:val="left"/>
        </w:tabs>
        <w:bidi w:val="0"/>
        <w:spacing w:before="0" w:after="220" w:line="269" w:lineRule="exact"/>
        <w:ind w:left="0" w:right="0" w:firstLine="460"/>
        <w:jc w:val="both"/>
      </w:pPr>
      <w:bookmarkStart w:id="1458" w:name="bookmark1458"/>
      <w:r>
        <w:rPr>
          <w:color w:val="000000"/>
          <w:spacing w:val="0"/>
          <w:w w:val="100"/>
          <w:position w:val="0"/>
        </w:rPr>
        <w:t>（</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w:t>
        <w:tab/>
        <w:t>合资格人士</w:t>
      </w:r>
    </w:p>
    <w:p>
      <w:pPr>
        <w:pStyle w:val="Style32"/>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本集团任何成员公司或任何联营公司之任何全职或兼职雇员或高级人员或董事（包括执行、非执行或独立非执行董事）， 或本集团的任何成员公司之任何供货商、代理、客户、合营伙伴、策略性联盟伙伴、分销商、专业咨询人或顾问或承包商， 或神州控股董事会预先批准而受益人包括上述任何人士之任何信托（或倘为全权信托，则为全权托管的对象）之受托人。</w:t>
      </w:r>
    </w:p>
    <w:p>
      <w:pPr>
        <w:pStyle w:val="Style32"/>
        <w:keepNext w:val="0"/>
        <w:keepLines w:val="0"/>
        <w:widowControl w:val="0"/>
        <w:shd w:val="clear" w:color="auto" w:fill="auto"/>
        <w:tabs>
          <w:tab w:pos="892" w:val="left"/>
        </w:tabs>
        <w:bidi w:val="0"/>
        <w:spacing w:before="0" w:after="220" w:line="269" w:lineRule="exact"/>
        <w:ind w:left="0" w:right="0" w:firstLine="460"/>
        <w:jc w:val="both"/>
      </w:pPr>
      <w:bookmarkStart w:id="1459" w:name="bookmark1459"/>
      <w:r>
        <w:rPr>
          <w:color w:val="000000"/>
          <w:spacing w:val="0"/>
          <w:w w:val="100"/>
          <w:position w:val="0"/>
        </w:rPr>
        <w:t>（</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w:t>
        <w:tab/>
        <w:t>最高股份数目</w:t>
      </w:r>
    </w:p>
    <w:p>
      <w:pPr>
        <w:pStyle w:val="Style32"/>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在</w:t>
      </w:r>
      <w:r>
        <w:rPr>
          <w:rFonts w:ascii="Times New Roman" w:eastAsia="Times New Roman" w:hAnsi="Times New Roman" w:cs="Times New Roman"/>
          <w:color w:val="000000"/>
          <w:spacing w:val="0"/>
          <w:w w:val="100"/>
          <w:position w:val="0"/>
        </w:rPr>
        <w:t>2002</w:t>
      </w:r>
      <w:r>
        <w:rPr>
          <w:color w:val="000000"/>
          <w:spacing w:val="0"/>
          <w:w w:val="100"/>
          <w:position w:val="0"/>
        </w:rPr>
        <w:t>年购股权计划及</w:t>
      </w:r>
      <w:r>
        <w:rPr>
          <w:rFonts w:ascii="Times New Roman" w:eastAsia="Times New Roman" w:hAnsi="Times New Roman" w:cs="Times New Roman"/>
          <w:color w:val="000000"/>
          <w:spacing w:val="0"/>
          <w:w w:val="100"/>
          <w:position w:val="0"/>
        </w:rPr>
        <w:t>2011</w:t>
      </w:r>
      <w:r>
        <w:rPr>
          <w:color w:val="000000"/>
          <w:spacing w:val="0"/>
          <w:w w:val="100"/>
          <w:position w:val="0"/>
        </w:rPr>
        <w:t>年购股权计划下与本集团的相关的可供发行之股份数目为</w:t>
      </w:r>
      <w:r>
        <w:rPr>
          <w:rFonts w:ascii="Times New Roman" w:eastAsia="Times New Roman" w:hAnsi="Times New Roman" w:cs="Times New Roman"/>
          <w:color w:val="000000"/>
          <w:spacing w:val="0"/>
          <w:w w:val="100"/>
          <w:position w:val="0"/>
        </w:rPr>
        <w:t>11,796,000</w:t>
      </w:r>
      <w:r>
        <w:rPr>
          <w:color w:val="000000"/>
          <w:spacing w:val="0"/>
          <w:w w:val="100"/>
          <w:position w:val="0"/>
        </w:rPr>
        <w:t>股。</w:t>
      </w:r>
    </w:p>
    <w:p>
      <w:pPr>
        <w:pStyle w:val="Style32"/>
        <w:keepNext w:val="0"/>
        <w:keepLines w:val="0"/>
        <w:widowControl w:val="0"/>
        <w:shd w:val="clear" w:color="auto" w:fill="auto"/>
        <w:tabs>
          <w:tab w:pos="892" w:val="left"/>
        </w:tabs>
        <w:bidi w:val="0"/>
        <w:spacing w:before="0" w:after="220" w:line="269" w:lineRule="exact"/>
        <w:ind w:left="0" w:right="0" w:firstLine="460"/>
        <w:jc w:val="both"/>
      </w:pPr>
      <w:bookmarkStart w:id="1460" w:name="bookmark1460"/>
      <w:r>
        <w:rPr>
          <w:color w:val="000000"/>
          <w:spacing w:val="0"/>
          <w:w w:val="100"/>
          <w:position w:val="0"/>
        </w:rPr>
        <w:t>（</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w:t>
        <w:tab/>
        <w:t>每名合资格人士可获授之最高数目</w:t>
      </w:r>
    </w:p>
    <w:p>
      <w:pPr>
        <w:pStyle w:val="Style32"/>
        <w:keepNext w:val="0"/>
        <w:keepLines w:val="0"/>
        <w:widowControl w:val="0"/>
        <w:shd w:val="clear" w:color="auto" w:fill="auto"/>
        <w:bidi w:val="0"/>
        <w:spacing w:before="0" w:after="220" w:line="266" w:lineRule="exact"/>
        <w:ind w:left="0" w:right="0" w:firstLine="460"/>
        <w:jc w:val="both"/>
      </w:pPr>
      <w:r>
        <w:rPr>
          <w:color w:val="000000"/>
          <w:spacing w:val="0"/>
          <w:w w:val="100"/>
          <w:position w:val="0"/>
        </w:rPr>
        <w:t>每名合资格人士在任何十二个月期间根据购股权计划及本集团参与的任何其他购股权计划可获授之购股权（包括已行 使及尚未行使），在行使后予以发行及将予发行之最高股份数目不得超过神州控股当时已发行股份之</w:t>
      </w:r>
      <w:r>
        <w:rPr>
          <w:rFonts w:ascii="Times New Roman" w:eastAsia="Times New Roman" w:hAnsi="Times New Roman" w:cs="Times New Roman"/>
          <w:color w:val="000000"/>
          <w:spacing w:val="0"/>
          <w:w w:val="100"/>
          <w:position w:val="0"/>
        </w:rPr>
        <w:t>1%</w:t>
      </w:r>
      <w:r>
        <w:rPr>
          <w:color w:val="000000"/>
          <w:spacing w:val="0"/>
          <w:w w:val="100"/>
          <w:position w:val="0"/>
        </w:rPr>
        <w:t>。任何进一步授出 超过此上限之购股权，均须待股东于神州控股股东大会上批准后，方可作实。</w:t>
      </w:r>
    </w:p>
    <w:p>
      <w:pPr>
        <w:pStyle w:val="Style32"/>
        <w:keepNext w:val="0"/>
        <w:keepLines w:val="0"/>
        <w:widowControl w:val="0"/>
        <w:shd w:val="clear" w:color="auto" w:fill="auto"/>
        <w:bidi w:val="0"/>
        <w:spacing w:before="0" w:after="220" w:line="264" w:lineRule="exact"/>
        <w:ind w:left="0" w:right="0" w:firstLine="460"/>
        <w:jc w:val="both"/>
      </w:pPr>
      <w:r>
        <w:rPr>
          <w:color w:val="000000"/>
          <w:spacing w:val="0"/>
          <w:w w:val="100"/>
          <w:position w:val="0"/>
        </w:rPr>
        <w:t>任何向本集团董事、行政总裁或主要股东或彼等各自之联系人授出购股权，必须获神州控股之独立非执行董事（不包 括身为该等购股权承授人之独立非执行董事）批准。</w:t>
      </w:r>
    </w:p>
    <w:p>
      <w:pPr>
        <w:pStyle w:val="Style32"/>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任何向本集团之主要股东或独立非执行董事或彼等各自之联系人授出购股权时，倘建议授出之购股权加上在直至该次 授出购股权当日止（包括该日在内）十二个月期间内已授予该主要股东或独立非执行董事之所有购股权（不论是已行使、注 销或尚未行使）将会：①使该有关人士有权收取的股数超过神州控股当时已发行股本总数的</w:t>
      </w:r>
      <w:r>
        <w:rPr>
          <w:rFonts w:ascii="Times New Roman" w:eastAsia="Times New Roman" w:hAnsi="Times New Roman" w:cs="Times New Roman"/>
          <w:color w:val="000000"/>
          <w:spacing w:val="0"/>
          <w:w w:val="100"/>
          <w:position w:val="0"/>
        </w:rPr>
        <w:t>0.1%</w:t>
      </w:r>
      <w:r>
        <w:rPr>
          <w:color w:val="000000"/>
          <w:spacing w:val="0"/>
          <w:w w:val="100"/>
          <w:position w:val="0"/>
        </w:rPr>
        <w:t>;及</w:t>
      </w:r>
      <w:r>
        <w:rPr>
          <w:rFonts w:ascii="Times New Roman" w:eastAsia="Times New Roman" w:hAnsi="Times New Roman" w:cs="Times New Roman"/>
          <w:color w:val="000000"/>
          <w:spacing w:val="0"/>
          <w:w w:val="100"/>
          <w:position w:val="0"/>
        </w:rPr>
        <w:t>（H）</w:t>
      </w:r>
      <w:r>
        <w:rPr>
          <w:color w:val="000000"/>
          <w:spacing w:val="0"/>
          <w:w w:val="100"/>
          <w:position w:val="0"/>
        </w:rPr>
        <w:t>按神州控股股份于 该授出日期在联交所之收市价计算，其总值超过港币</w:t>
      </w:r>
      <w:r>
        <w:rPr>
          <w:rFonts w:ascii="Times New Roman" w:eastAsia="Times New Roman" w:hAnsi="Times New Roman" w:cs="Times New Roman"/>
          <w:color w:val="000000"/>
          <w:spacing w:val="0"/>
          <w:w w:val="100"/>
          <w:position w:val="0"/>
        </w:rPr>
        <w:t>5,000,000</w:t>
      </w:r>
      <w:r>
        <w:rPr>
          <w:color w:val="000000"/>
          <w:spacing w:val="0"/>
          <w:w w:val="100"/>
          <w:position w:val="0"/>
        </w:rPr>
        <w:t>元，则除了须取得神州控股独立非执行董事之批准外，亦必须 在股东大会上经由神州控股股东批准。</w:t>
      </w:r>
    </w:p>
    <w:p>
      <w:pPr>
        <w:pStyle w:val="Style32"/>
        <w:keepNext w:val="0"/>
        <w:keepLines w:val="0"/>
        <w:widowControl w:val="0"/>
        <w:shd w:val="clear" w:color="auto" w:fill="auto"/>
        <w:tabs>
          <w:tab w:pos="879" w:val="left"/>
        </w:tabs>
        <w:bidi w:val="0"/>
        <w:spacing w:before="0" w:after="260" w:line="269" w:lineRule="exact"/>
        <w:ind w:left="0" w:right="0" w:firstLine="460"/>
        <w:jc w:val="left"/>
      </w:pPr>
      <w:bookmarkStart w:id="1461" w:name="bookmark1461"/>
      <w:r>
        <w:rPr>
          <w:color w:val="000000"/>
          <w:spacing w:val="0"/>
          <w:w w:val="100"/>
          <w:position w:val="0"/>
        </w:rPr>
        <w:t>（</w:t>
      </w:r>
      <w:bookmarkEnd w:id="1461"/>
      <w:r>
        <w:rPr>
          <w:rFonts w:ascii="Times New Roman" w:eastAsia="Times New Roman" w:hAnsi="Times New Roman" w:cs="Times New Roman"/>
          <w:color w:val="000000"/>
          <w:spacing w:val="0"/>
          <w:w w:val="100"/>
          <w:position w:val="0"/>
        </w:rPr>
        <w:t>5</w:t>
      </w:r>
      <w:r>
        <w:rPr>
          <w:color w:val="000000"/>
          <w:spacing w:val="0"/>
          <w:w w:val="100"/>
          <w:position w:val="0"/>
        </w:rPr>
        <w:t>）</w:t>
        <w:tab/>
        <w:t>行使购股权之期限</w:t>
      </w:r>
    </w:p>
    <w:p>
      <w:pPr>
        <w:pStyle w:val="Style32"/>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根据购股权计划之条款，购股权可供行使之期限为有关购股权要约函件所载之期限，惟该期限须于要约日期之第十周 年当日届满。</w:t>
      </w:r>
    </w:p>
    <w:p>
      <w:pPr>
        <w:pStyle w:val="Style32"/>
        <w:keepNext w:val="0"/>
        <w:keepLines w:val="0"/>
        <w:widowControl w:val="0"/>
        <w:shd w:val="clear" w:color="auto" w:fill="auto"/>
        <w:tabs>
          <w:tab w:pos="879" w:val="left"/>
        </w:tabs>
        <w:bidi w:val="0"/>
        <w:spacing w:before="0" w:after="260" w:line="269" w:lineRule="exact"/>
        <w:ind w:left="0" w:right="0" w:firstLine="460"/>
        <w:jc w:val="both"/>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6</w:t>
      </w:r>
      <w:r>
        <w:rPr>
          <w:color w:val="000000"/>
          <w:spacing w:val="0"/>
          <w:w w:val="100"/>
          <w:position w:val="0"/>
        </w:rPr>
        <w:t>）</w:t>
        <w:tab/>
        <w:t>接纳要约</w:t>
      </w:r>
    </w:p>
    <w:p>
      <w:pPr>
        <w:pStyle w:val="Style32"/>
        <w:keepNext w:val="0"/>
        <w:keepLines w:val="0"/>
        <w:widowControl w:val="0"/>
        <w:shd w:val="clear" w:color="auto" w:fill="auto"/>
        <w:bidi w:val="0"/>
        <w:spacing w:before="0" w:after="220" w:line="254" w:lineRule="exact"/>
        <w:ind w:left="0" w:right="0" w:firstLine="460"/>
        <w:jc w:val="both"/>
      </w:pPr>
      <w:r>
        <w:rPr>
          <w:color w:val="000000"/>
          <w:spacing w:val="0"/>
          <w:w w:val="100"/>
          <w:position w:val="0"/>
        </w:rPr>
        <w:t>购股权之要约须于有关要约函件所载就接纳该要约之最后限期或之前获承授人接纳，而该限期不得超过有关要约日期 起计之</w:t>
      </w:r>
      <w:r>
        <w:rPr>
          <w:rFonts w:ascii="Times New Roman" w:eastAsia="Times New Roman" w:hAnsi="Times New Roman" w:cs="Times New Roman"/>
          <w:color w:val="000000"/>
          <w:spacing w:val="0"/>
          <w:w w:val="100"/>
          <w:position w:val="0"/>
        </w:rPr>
        <w:t>28</w:t>
      </w:r>
      <w:r>
        <w:rPr>
          <w:color w:val="000000"/>
          <w:spacing w:val="0"/>
          <w:w w:val="100"/>
          <w:position w:val="0"/>
        </w:rPr>
        <w:t>个营业日。每项要约获接纳时神州控股须收取代价港币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2"/>
        <w:keepNext w:val="0"/>
        <w:keepLines w:val="0"/>
        <w:widowControl w:val="0"/>
        <w:shd w:val="clear" w:color="auto" w:fill="auto"/>
        <w:tabs>
          <w:tab w:pos="879" w:val="left"/>
        </w:tabs>
        <w:bidi w:val="0"/>
        <w:spacing w:before="0" w:after="260" w:line="269" w:lineRule="exact"/>
        <w:ind w:left="0" w:right="0" w:firstLine="460"/>
        <w:jc w:val="both"/>
      </w:pPr>
      <w:bookmarkStart w:id="1463" w:name="bookmark1463"/>
      <w:r>
        <w:rPr>
          <w:color w:val="000000"/>
          <w:spacing w:val="0"/>
          <w:w w:val="100"/>
          <w:position w:val="0"/>
        </w:rPr>
        <w:t>（</w:t>
      </w:r>
      <w:bookmarkEnd w:id="1463"/>
      <w:r>
        <w:rPr>
          <w:rFonts w:ascii="Times New Roman" w:eastAsia="Times New Roman" w:hAnsi="Times New Roman" w:cs="Times New Roman"/>
          <w:color w:val="000000"/>
          <w:spacing w:val="0"/>
          <w:w w:val="100"/>
          <w:position w:val="0"/>
        </w:rPr>
        <w:t>7</w:t>
      </w:r>
      <w:r>
        <w:rPr>
          <w:color w:val="000000"/>
          <w:spacing w:val="0"/>
          <w:w w:val="100"/>
          <w:position w:val="0"/>
        </w:rPr>
        <w:t>）</w:t>
        <w:tab/>
        <w:t>认购价之厘定基准</w:t>
      </w:r>
    </w:p>
    <w:p>
      <w:pPr>
        <w:pStyle w:val="Style32"/>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认购价将为下列中之最高者：股份于要约日期之收市价；股份于紧接要约日期前的五个营业日之平均收市价；或股份 之面值。</w:t>
      </w:r>
    </w:p>
    <w:p>
      <w:pPr>
        <w:pStyle w:val="Style32"/>
        <w:keepNext w:val="0"/>
        <w:keepLines w:val="0"/>
        <w:widowControl w:val="0"/>
        <w:shd w:val="clear" w:color="auto" w:fill="auto"/>
        <w:tabs>
          <w:tab w:pos="879" w:val="left"/>
        </w:tabs>
        <w:bidi w:val="0"/>
        <w:spacing w:before="0" w:after="220" w:line="269" w:lineRule="exact"/>
        <w:ind w:left="0" w:right="0" w:firstLine="460"/>
        <w:jc w:val="both"/>
      </w:pPr>
      <w:bookmarkStart w:id="1464" w:name="bookmark1464"/>
      <w:r>
        <w:rPr>
          <w:color w:val="000000"/>
          <w:spacing w:val="0"/>
          <w:w w:val="100"/>
          <w:position w:val="0"/>
        </w:rPr>
        <w:t>（</w:t>
      </w:r>
      <w:bookmarkEnd w:id="1464"/>
      <w:r>
        <w:rPr>
          <w:rFonts w:ascii="Times New Roman" w:eastAsia="Times New Roman" w:hAnsi="Times New Roman" w:cs="Times New Roman"/>
          <w:color w:val="000000"/>
          <w:spacing w:val="0"/>
          <w:w w:val="100"/>
          <w:position w:val="0"/>
        </w:rPr>
        <w:t>8</w:t>
      </w:r>
      <w:r>
        <w:rPr>
          <w:color w:val="000000"/>
          <w:spacing w:val="0"/>
          <w:w w:val="100"/>
          <w:position w:val="0"/>
        </w:rPr>
        <w:t>）</w:t>
        <w:tab/>
        <w:t>购股权计划之有效期</w:t>
      </w:r>
    </w:p>
    <w:p>
      <w:pPr>
        <w:pStyle w:val="Style32"/>
        <w:keepNext w:val="0"/>
        <w:keepLines w:val="0"/>
        <w:widowControl w:val="0"/>
        <w:shd w:val="clear" w:color="auto" w:fill="auto"/>
        <w:bidi w:val="0"/>
        <w:spacing w:before="0" w:after="220" w:line="283" w:lineRule="exact"/>
        <w:ind w:left="0" w:right="0" w:firstLine="460"/>
        <w:jc w:val="both"/>
      </w:pPr>
      <w:r>
        <w:rPr>
          <w:rFonts w:ascii="Times New Roman" w:eastAsia="Times New Roman" w:hAnsi="Times New Roman" w:cs="Times New Roman"/>
          <w:color w:val="000000"/>
          <w:spacing w:val="0"/>
          <w:w w:val="100"/>
          <w:position w:val="0"/>
        </w:rPr>
        <w:t>2002</w:t>
      </w:r>
      <w:r>
        <w:rPr>
          <w:color w:val="000000"/>
          <w:spacing w:val="0"/>
          <w:w w:val="100"/>
          <w:position w:val="0"/>
        </w:rPr>
        <w:t>年购股权计划及</w:t>
      </w:r>
      <w:r>
        <w:rPr>
          <w:rFonts w:ascii="Times New Roman" w:eastAsia="Times New Roman" w:hAnsi="Times New Roman" w:cs="Times New Roman"/>
          <w:color w:val="000000"/>
          <w:spacing w:val="0"/>
          <w:w w:val="100"/>
          <w:position w:val="0"/>
        </w:rPr>
        <w:t>2011</w:t>
      </w:r>
      <w:r>
        <w:rPr>
          <w:color w:val="000000"/>
          <w:spacing w:val="0"/>
          <w:w w:val="100"/>
          <w:position w:val="0"/>
        </w:rPr>
        <w:t>年购股权计划分别于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日及</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日（即该计划根据其条款被视为已生效之 日）起至多十年期间内维持有效及有作用。</w:t>
      </w:r>
    </w:p>
    <w:p>
      <w:pPr>
        <w:pStyle w:val="Style32"/>
        <w:keepNext w:val="0"/>
        <w:keepLines w:val="0"/>
        <w:widowControl w:val="0"/>
        <w:shd w:val="clear" w:color="auto" w:fill="auto"/>
        <w:tabs>
          <w:tab w:pos="879" w:val="left"/>
        </w:tabs>
        <w:bidi w:val="0"/>
        <w:spacing w:before="0" w:after="220" w:line="269" w:lineRule="exact"/>
        <w:ind w:left="0" w:right="0" w:firstLine="460"/>
        <w:jc w:val="both"/>
      </w:pPr>
      <w:bookmarkStart w:id="1465" w:name="bookmark1465"/>
      <w:r>
        <w:rPr>
          <w:color w:val="000000"/>
          <w:spacing w:val="0"/>
          <w:w w:val="100"/>
          <w:position w:val="0"/>
        </w:rPr>
        <w:t>（</w:t>
      </w:r>
      <w:bookmarkEnd w:id="1465"/>
      <w:r>
        <w:rPr>
          <w:rFonts w:ascii="Times New Roman" w:eastAsia="Times New Roman" w:hAnsi="Times New Roman" w:cs="Times New Roman"/>
          <w:color w:val="000000"/>
          <w:spacing w:val="0"/>
          <w:w w:val="100"/>
          <w:position w:val="0"/>
        </w:rPr>
        <w:t>9</w:t>
      </w:r>
      <w:r>
        <w:rPr>
          <w:color w:val="000000"/>
          <w:spacing w:val="0"/>
          <w:w w:val="100"/>
          <w:position w:val="0"/>
        </w:rPr>
        <w:t>）</w:t>
        <w:tab/>
        <w:t>购股权并无赋予持有人享有股利或于股东大会上投票的权利。</w:t>
      </w:r>
    </w:p>
    <w:p>
      <w:pPr>
        <w:pStyle w:val="Style32"/>
        <w:keepNext w:val="0"/>
        <w:keepLines w:val="0"/>
        <w:widowControl w:val="0"/>
        <w:shd w:val="clear" w:color="auto" w:fill="auto"/>
        <w:tabs>
          <w:tab w:pos="1052" w:val="left"/>
        </w:tabs>
        <w:bidi w:val="0"/>
        <w:spacing w:before="0" w:after="220" w:line="274" w:lineRule="exact"/>
        <w:ind w:left="0" w:right="0" w:firstLine="460"/>
        <w:jc w:val="both"/>
      </w:pPr>
      <w:bookmarkStart w:id="1466" w:name="bookmark1466"/>
      <w:r>
        <w:rPr>
          <w:color w:val="000000"/>
          <w:spacing w:val="0"/>
          <w:w w:val="100"/>
          <w:position w:val="0"/>
        </w:rPr>
        <w:t>（</w:t>
      </w:r>
      <w:bookmarkEnd w:id="1466"/>
      <w:r>
        <w:rPr>
          <w:rFonts w:ascii="Times New Roman" w:eastAsia="Times New Roman" w:hAnsi="Times New Roman" w:cs="Times New Roman"/>
          <w:color w:val="000000"/>
          <w:spacing w:val="0"/>
          <w:w w:val="100"/>
          <w:position w:val="0"/>
        </w:rPr>
        <w:t>10</w:t>
      </w:r>
      <w:r>
        <w:rPr>
          <w:color w:val="000000"/>
          <w:spacing w:val="0"/>
          <w:w w:val="100"/>
          <w:position w:val="0"/>
        </w:rPr>
        <w:t>）</w:t>
        <w:tab/>
        <w:t>所有授出之购股权均受制于为期四年的等待期，其中</w:t>
      </w:r>
      <w:r>
        <w:rPr>
          <w:rFonts w:ascii="Times New Roman" w:eastAsia="Times New Roman" w:hAnsi="Times New Roman" w:cs="Times New Roman"/>
          <w:color w:val="000000"/>
          <w:spacing w:val="0"/>
          <w:w w:val="100"/>
          <w:position w:val="0"/>
        </w:rPr>
        <w:t>25%</w:t>
      </w:r>
      <w:r>
        <w:rPr>
          <w:color w:val="000000"/>
          <w:spacing w:val="0"/>
          <w:w w:val="100"/>
          <w:position w:val="0"/>
        </w:rPr>
        <w:t>于各授出日期起计满一周年之日开始可行权，</w:t>
      </w:r>
      <w:r>
        <w:rPr>
          <w:rFonts w:ascii="Times New Roman" w:eastAsia="Times New Roman" w:hAnsi="Times New Roman" w:cs="Times New Roman"/>
          <w:color w:val="000000"/>
          <w:spacing w:val="0"/>
          <w:w w:val="100"/>
          <w:position w:val="0"/>
        </w:rPr>
        <w:t>25%</w:t>
      </w:r>
      <w:r>
        <w:rPr>
          <w:color w:val="000000"/>
          <w:spacing w:val="0"/>
          <w:w w:val="100"/>
          <w:position w:val="0"/>
        </w:rPr>
        <w:t>于满 两周年之日开始可行权，</w:t>
      </w:r>
      <w:r>
        <w:rPr>
          <w:rFonts w:ascii="Times New Roman" w:eastAsia="Times New Roman" w:hAnsi="Times New Roman" w:cs="Times New Roman"/>
          <w:color w:val="000000"/>
          <w:spacing w:val="0"/>
          <w:w w:val="100"/>
          <w:position w:val="0"/>
        </w:rPr>
        <w:t>25%</w:t>
      </w:r>
      <w:r>
        <w:rPr>
          <w:color w:val="000000"/>
          <w:spacing w:val="0"/>
          <w:w w:val="100"/>
          <w:position w:val="0"/>
        </w:rPr>
        <w:t>于满三周年之日开始可行权，及</w:t>
      </w:r>
      <w:r>
        <w:rPr>
          <w:rFonts w:ascii="Times New Roman" w:eastAsia="Times New Roman" w:hAnsi="Times New Roman" w:cs="Times New Roman"/>
          <w:color w:val="000000"/>
          <w:spacing w:val="0"/>
          <w:w w:val="100"/>
          <w:position w:val="0"/>
        </w:rPr>
        <w:t>25%</w:t>
      </w:r>
      <w:r>
        <w:rPr>
          <w:color w:val="000000"/>
          <w:spacing w:val="0"/>
          <w:w w:val="100"/>
          <w:position w:val="0"/>
        </w:rPr>
        <w:t>于满四周年之日开始可行权。</w:t>
      </w:r>
    </w:p>
    <w:p>
      <w:pPr>
        <w:pStyle w:val="Style32"/>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2002</w:t>
      </w:r>
      <w:r>
        <w:rPr>
          <w:color w:val="000000"/>
          <w:spacing w:val="0"/>
          <w:w w:val="100"/>
          <w:position w:val="0"/>
        </w:rPr>
        <w:t>年购股权计划，神州控股于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日授予本集团的股份期权为</w:t>
      </w:r>
      <w:r>
        <w:rPr>
          <w:rFonts w:ascii="Times New Roman" w:eastAsia="Times New Roman" w:hAnsi="Times New Roman" w:cs="Times New Roman"/>
          <w:color w:val="000000"/>
          <w:spacing w:val="0"/>
          <w:w w:val="100"/>
          <w:position w:val="0"/>
        </w:rPr>
        <w:t>8,300,000</w:t>
      </w:r>
      <w:r>
        <w:rPr>
          <w:color w:val="000000"/>
          <w:spacing w:val="0"/>
          <w:w w:val="100"/>
          <w:position w:val="0"/>
        </w:rPr>
        <w:t xml:space="preserve">股，其公允价值为人民币 </w:t>
      </w:r>
      <w:r>
        <w:rPr>
          <w:rFonts w:ascii="Times New Roman" w:eastAsia="Times New Roman" w:hAnsi="Times New Roman" w:cs="Times New Roman"/>
          <w:color w:val="000000"/>
          <w:spacing w:val="0"/>
          <w:w w:val="100"/>
          <w:position w:val="0"/>
        </w:rPr>
        <w:t>15,927,185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1.9</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，此外，神州控股于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日授予本集团的股份期权为</w:t>
      </w:r>
      <w:r>
        <w:rPr>
          <w:rFonts w:ascii="Times New Roman" w:eastAsia="Times New Roman" w:hAnsi="Times New Roman" w:cs="Times New Roman"/>
          <w:color w:val="000000"/>
          <w:spacing w:val="0"/>
          <w:w w:val="100"/>
          <w:position w:val="0"/>
        </w:rPr>
        <w:t>3,496,000</w:t>
      </w:r>
      <w:r>
        <w:rPr>
          <w:color w:val="000000"/>
          <w:spacing w:val="0"/>
          <w:w w:val="100"/>
          <w:position w:val="0"/>
        </w:rPr>
        <w:t>股，其公允价值为人民 币</w:t>
      </w:r>
      <w:r>
        <w:rPr>
          <w:rFonts w:ascii="Times New Roman" w:eastAsia="Times New Roman" w:hAnsi="Times New Roman" w:cs="Times New Roman"/>
          <w:color w:val="000000"/>
          <w:spacing w:val="0"/>
          <w:w w:val="100"/>
          <w:position w:val="0"/>
        </w:rPr>
        <w:t>16,916,368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4.84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日，本集团无在合并利润表中确认的股份期权费用。</w:t>
      </w:r>
    </w:p>
    <w:p>
      <w:pPr>
        <w:pStyle w:val="Style32"/>
        <w:keepNext w:val="0"/>
        <w:keepLines w:val="0"/>
        <w:widowControl w:val="0"/>
        <w:shd w:val="clear" w:color="auto" w:fill="auto"/>
        <w:bidi w:val="0"/>
        <w:spacing w:before="0" w:after="260" w:line="283" w:lineRule="exact"/>
        <w:ind w:left="0" w:right="0" w:firstLine="460"/>
        <w:jc w:val="both"/>
      </w:pPr>
      <w:r>
        <w:rPr>
          <w:color w:val="000000"/>
          <w:spacing w:val="0"/>
          <w:w w:val="100"/>
          <w:position w:val="0"/>
        </w:rPr>
        <w:t>在</w:t>
      </w:r>
      <w:r>
        <w:rPr>
          <w:rFonts w:ascii="Times New Roman" w:eastAsia="Times New Roman" w:hAnsi="Times New Roman" w:cs="Times New Roman"/>
          <w:color w:val="000000"/>
          <w:spacing w:val="0"/>
          <w:w w:val="100"/>
          <w:position w:val="0"/>
        </w:rPr>
        <w:t>2002</w:t>
      </w:r>
      <w:r>
        <w:rPr>
          <w:color w:val="000000"/>
          <w:spacing w:val="0"/>
          <w:w w:val="100"/>
          <w:position w:val="0"/>
        </w:rPr>
        <w:t>年购股权计划下，神州控股授予本集团的以权益结算的股份期权于授予日的公允价值，采用二项式模型，结合 授予股份期权的条款和条件，作出估计。下表列示了所用模型的输入变量：</w:t>
      </w:r>
    </w:p>
    <w:tbl>
      <w:tblPr>
        <w:tblOverlap w:val="never"/>
        <w:jc w:val="left"/>
        <w:tblLayout w:type="fixed"/>
      </w:tblPr>
      <w:tblGrid>
        <w:gridCol w:w="2914"/>
        <w:gridCol w:w="2904"/>
        <w:gridCol w:w="2918"/>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2008</w:t>
            </w:r>
            <w:r>
              <w:rPr>
                <w:b/>
                <w:bCs/>
                <w:color w:val="000000"/>
                <w:spacing w:val="0"/>
                <w:w w:val="100"/>
                <w:position w:val="0"/>
              </w:rPr>
              <w:t>年</w:t>
            </w:r>
            <w:r>
              <w:rPr>
                <w:rFonts w:ascii="Times New Roman" w:eastAsia="Times New Roman" w:hAnsi="Times New Roman" w:cs="Times New Roman"/>
                <w:b/>
                <w:bCs/>
                <w:color w:val="000000"/>
                <w:spacing w:val="0"/>
                <w:w w:val="100"/>
                <w:position w:val="0"/>
              </w:rPr>
              <w:t>5</w:t>
            </w:r>
            <w:r>
              <w:rPr>
                <w:b/>
                <w:bCs/>
                <w:color w:val="000000"/>
                <w:spacing w:val="0"/>
                <w:w w:val="100"/>
                <w:position w:val="0"/>
              </w:rPr>
              <w:t>月</w:t>
            </w:r>
            <w:r>
              <w:rPr>
                <w:rFonts w:ascii="Times New Roman" w:eastAsia="Times New Roman" w:hAnsi="Times New Roman" w:cs="Times New Roman"/>
                <w:b/>
                <w:bCs/>
                <w:color w:val="000000"/>
                <w:spacing w:val="0"/>
                <w:w w:val="100"/>
                <w:position w:val="0"/>
              </w:rPr>
              <w:t>21</w:t>
            </w:r>
            <w:r>
              <w:rPr>
                <w:b/>
                <w:bCs/>
                <w:color w:val="000000"/>
                <w:spacing w:val="0"/>
                <w:w w:val="100"/>
                <w:position w:val="0"/>
              </w:rPr>
              <w:t>日</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w:t>
            </w: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w:t>
            </w:r>
            <w:r>
              <w:rPr>
                <w:rFonts w:ascii="Times New Roman" w:eastAsia="Times New Roman" w:hAnsi="Times New Roman" w:cs="Times New Roman"/>
                <w:color w:val="000000"/>
                <w:spacing w:val="0"/>
                <w:w w:val="100"/>
                <w:position w:val="0"/>
              </w:rPr>
              <w:t>3.5</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预计波动率（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w:t>
            </w: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w:t>
            </w:r>
            <w:r>
              <w:rPr>
                <w:rFonts w:ascii="Times New Roman" w:eastAsia="Times New Roman" w:hAnsi="Times New Roman" w:cs="Times New Roman"/>
                <w:color w:val="000000"/>
                <w:spacing w:val="0"/>
                <w:w w:val="100"/>
                <w:position w:val="0"/>
              </w:rPr>
              <w:t>45</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历史波动率（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w:t>
            </w: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w:t>
            </w:r>
            <w:r>
              <w:rPr>
                <w:rFonts w:ascii="Times New Roman" w:eastAsia="Times New Roman" w:hAnsi="Times New Roman" w:cs="Times New Roman"/>
                <w:color w:val="000000"/>
                <w:spacing w:val="0"/>
                <w:w w:val="100"/>
                <w:position w:val="0"/>
              </w:rPr>
              <w:t>45</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w:t>
            </w: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w:t>
            </w:r>
            <w:r>
              <w:rPr>
                <w:rFonts w:ascii="Times New Roman" w:eastAsia="Times New Roman" w:hAnsi="Times New Roman" w:cs="Times New Roman"/>
                <w:color w:val="000000"/>
                <w:spacing w:val="0"/>
                <w:w w:val="100"/>
                <w:position w:val="0"/>
              </w:rPr>
              <w:t>2.6</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股份期权预计期限（年）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加权平均股价（每股港元）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5.89</w:t>
            </w:r>
          </w:p>
        </w:tc>
      </w:tr>
    </w:tbl>
    <w:p>
      <w:pPr>
        <w:widowControl w:val="0"/>
        <w:spacing w:after="219" w:line="1" w:lineRule="exact"/>
      </w:pPr>
    </w:p>
    <w:p>
      <w:pPr>
        <w:pStyle w:val="Style32"/>
        <w:keepNext w:val="0"/>
        <w:keepLines w:val="0"/>
        <w:widowControl w:val="0"/>
        <w:shd w:val="clear" w:color="auto" w:fill="auto"/>
        <w:bidi w:val="0"/>
        <w:spacing w:before="0" w:after="220" w:line="283" w:lineRule="exact"/>
        <w:ind w:left="0" w:right="0" w:firstLine="460"/>
        <w:jc w:val="both"/>
      </w:pPr>
      <w:r>
        <w:rPr>
          <w:color w:val="000000"/>
          <w:spacing w:val="0"/>
          <w:w w:val="100"/>
          <w:position w:val="0"/>
        </w:rPr>
        <w:t>股份期权的预计期限是根据过去</w:t>
      </w:r>
      <w:r>
        <w:rPr>
          <w:rFonts w:ascii="Times New Roman" w:eastAsia="Times New Roman" w:hAnsi="Times New Roman" w:cs="Times New Roman"/>
          <w:color w:val="000000"/>
          <w:spacing w:val="0"/>
          <w:w w:val="100"/>
          <w:position w:val="0"/>
        </w:rPr>
        <w:t>3</w:t>
      </w:r>
      <w:r>
        <w:rPr>
          <w:color w:val="000000"/>
          <w:spacing w:val="0"/>
          <w:w w:val="100"/>
          <w:position w:val="0"/>
        </w:rPr>
        <w:t>年的历史数据为基础确定的，未必反映未来可能出现的行权模式。预计波动率是基于 历史波动率对未来趋势的假设，未必与实际的结果相符。</w:t>
      </w:r>
    </w:p>
    <w:p>
      <w:pPr>
        <w:pStyle w:val="Style32"/>
        <w:keepNext w:val="0"/>
        <w:keepLines w:val="0"/>
        <w:widowControl w:val="0"/>
        <w:shd w:val="clear" w:color="auto" w:fill="auto"/>
        <w:bidi w:val="0"/>
        <w:spacing w:before="0" w:after="220" w:line="283" w:lineRule="exact"/>
        <w:ind w:left="0" w:right="0" w:firstLine="460"/>
        <w:jc w:val="left"/>
      </w:pPr>
      <w:r>
        <w:rPr>
          <w:color w:val="000000"/>
          <w:spacing w:val="0"/>
          <w:w w:val="100"/>
          <w:position w:val="0"/>
        </w:rPr>
        <w:t>计量所授出购股权的公允价值时并未考虑所授出购股权的其他特质。</w:t>
      </w:r>
    </w:p>
    <w:p>
      <w:pPr>
        <w:pStyle w:val="Style36"/>
        <w:keepNext/>
        <w:keepLines/>
        <w:widowControl w:val="0"/>
        <w:shd w:val="clear" w:color="auto" w:fill="auto"/>
        <w:tabs>
          <w:tab w:pos="618" w:val="left"/>
        </w:tabs>
        <w:bidi w:val="0"/>
        <w:spacing w:before="0" w:after="320" w:line="240" w:lineRule="auto"/>
        <w:ind w:left="0" w:right="0" w:firstLine="24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color w:val="000000"/>
          <w:spacing w:val="0"/>
          <w:w w:val="100"/>
          <w:position w:val="0"/>
        </w:rPr>
        <w:t>、</w:t>
        <w:tab/>
        <w:t>以现金结算的股份支付情况</w:t>
      </w:r>
      <w:bookmarkEnd w:id="1467"/>
      <w:bookmarkEnd w:id="1468"/>
      <w:bookmarkEnd w:id="1470"/>
    </w:p>
    <w:p>
      <w:pPr>
        <w:pStyle w:val="Style32"/>
        <w:keepNext w:val="0"/>
        <w:keepLines w:val="0"/>
        <w:widowControl w:val="0"/>
        <w:shd w:val="clear" w:color="auto" w:fill="auto"/>
        <w:bidi w:val="0"/>
        <w:spacing w:before="0" w:after="32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618" w:val="left"/>
        </w:tabs>
        <w:bidi w:val="0"/>
        <w:spacing w:before="0" w:after="320" w:line="240" w:lineRule="auto"/>
        <w:ind w:left="0" w:right="0" w:firstLine="24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color w:val="000000"/>
          <w:spacing w:val="0"/>
          <w:w w:val="100"/>
          <w:position w:val="0"/>
        </w:rPr>
        <w:t>、</w:t>
        <w:tab/>
        <w:t>股份支付的修改、终止情况</w:t>
      </w:r>
      <w:bookmarkEnd w:id="1471"/>
      <w:bookmarkEnd w:id="1472"/>
      <w:bookmarkEnd w:id="1474"/>
    </w:p>
    <w:p>
      <w:pPr>
        <w:pStyle w:val="Style30"/>
        <w:keepNext w:val="0"/>
        <w:keepLines w:val="0"/>
        <w:widowControl w:val="0"/>
        <w:shd w:val="clear" w:color="auto" w:fill="auto"/>
        <w:bidi w:val="0"/>
        <w:spacing w:before="0" w:after="0" w:line="240" w:lineRule="auto"/>
        <w:ind w:left="418" w:right="0" w:firstLine="0"/>
        <w:jc w:val="left"/>
      </w:pPr>
      <w:r>
        <w:rPr>
          <w:color w:val="000000"/>
          <w:spacing w:val="0"/>
          <w:w w:val="100"/>
          <w:position w:val="0"/>
        </w:rPr>
        <w:t>按照本计划，归属于本集团的神州控股发行在外的股份期权如下:</w:t>
      </w:r>
    </w:p>
    <w:tbl>
      <w:tblPr>
        <w:tblOverlap w:val="never"/>
        <w:jc w:val="left"/>
        <w:tblLayout w:type="fixed"/>
      </w:tblPr>
      <w:tblGrid>
        <w:gridCol w:w="2520"/>
        <w:gridCol w:w="3120"/>
        <w:gridCol w:w="3096"/>
      </w:tblGrid>
      <w:tr>
        <w:trPr>
          <w:trHeight w:val="35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3］</w:t>
            </w:r>
            <w:r>
              <w:rPr>
                <w:color w:val="000000"/>
                <w:spacing w:val="0"/>
                <w:w w:val="100"/>
                <w:position w:val="0"/>
              </w:rPr>
              <w:t>日</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加权平均行权价格 （人民币元/股）</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股份期权数量（份）</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购买标的资产合并日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 xml:space="preserve">4, 079, </w:t>
            </w:r>
            <w:r>
              <w:rPr>
                <w:color w:val="000000"/>
                <w:spacing w:val="0"/>
                <w:w w:val="100"/>
                <w:position w:val="0"/>
                <w:sz w:val="17"/>
                <w:szCs w:val="17"/>
              </w:rPr>
              <w:t xml:space="preserve">000.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失效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7"/>
                <w:szCs w:val="17"/>
              </w:rPr>
            </w:pPr>
            <w:r>
              <w:rPr>
                <w:color w:val="000000"/>
                <w:spacing w:val="0"/>
                <w:w w:val="100"/>
                <w:position w:val="0"/>
                <w:sz w:val="17"/>
                <w:szCs w:val="17"/>
              </w:rPr>
              <w:t xml:space="preserve">-39, 000. </w:t>
            </w:r>
            <w:r>
              <w:rPr>
                <w:color w:val="000000"/>
                <w:spacing w:val="0"/>
                <w:w w:val="100"/>
                <w:position w:val="0"/>
                <w:sz w:val="17"/>
                <w:szCs w:val="17"/>
              </w:rPr>
              <w:t>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 </w:t>
            </w:r>
            <w:r>
              <w:rPr>
                <w:color w:val="000000"/>
                <w:spacing w:val="0"/>
                <w:w w:val="100"/>
                <w:position w:val="0"/>
                <w:sz w:val="17"/>
                <w:szCs w:val="17"/>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7"/>
                <w:szCs w:val="17"/>
              </w:rPr>
            </w:pPr>
            <w:r>
              <w:rPr>
                <w:color w:val="000000"/>
                <w:spacing w:val="0"/>
                <w:w w:val="100"/>
                <w:position w:val="0"/>
                <w:sz w:val="17"/>
                <w:szCs w:val="17"/>
              </w:rPr>
              <w:t xml:space="preserve">-12, 000. </w:t>
            </w:r>
            <w:r>
              <w:rPr>
                <w:color w:val="000000"/>
                <w:spacing w:val="0"/>
                <w:w w:val="100"/>
                <w:position w:val="0"/>
                <w:sz w:val="17"/>
                <w:szCs w:val="17"/>
              </w:rPr>
              <w:t>00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 xml:space="preserve">4, 028, </w:t>
            </w:r>
            <w:r>
              <w:rPr>
                <w:color w:val="000000"/>
                <w:spacing w:val="0"/>
                <w:w w:val="100"/>
                <w:position w:val="0"/>
                <w:sz w:val="17"/>
                <w:szCs w:val="17"/>
              </w:rPr>
              <w:t xml:space="preserve">000. </w:t>
            </w:r>
            <w:r>
              <w:rPr>
                <w:color w:val="000000"/>
                <w:spacing w:val="0"/>
                <w:w w:val="100"/>
                <w:position w:val="0"/>
                <w:sz w:val="17"/>
                <w:szCs w:val="17"/>
              </w:rPr>
              <w:t>00</w:t>
            </w:r>
          </w:p>
        </w:tc>
      </w:tr>
    </w:tbl>
    <w:p>
      <w:pPr>
        <w:widowControl w:val="0"/>
        <w:spacing w:after="799" w:line="1" w:lineRule="exact"/>
      </w:pPr>
    </w:p>
    <w:p>
      <w:pPr>
        <w:pStyle w:val="Style28"/>
        <w:keepNext/>
        <w:keepLines/>
        <w:widowControl w:val="0"/>
        <w:shd w:val="clear" w:color="auto" w:fill="auto"/>
        <w:bidi w:val="0"/>
        <w:spacing w:before="0" w:after="360" w:line="240" w:lineRule="auto"/>
        <w:ind w:left="0" w:right="0" w:firstLine="240"/>
        <w:jc w:val="left"/>
      </w:pPr>
      <w:bookmarkStart w:id="1475" w:name="bookmark1475"/>
      <w:bookmarkStart w:id="1476" w:name="bookmark1476"/>
      <w:bookmarkStart w:id="1477" w:name="bookmark1477"/>
      <w:r>
        <w:rPr>
          <w:color w:val="000000"/>
          <w:spacing w:val="0"/>
          <w:w w:val="100"/>
          <w:position w:val="0"/>
        </w:rPr>
        <w:t>十四、承诺及或有事项</w:t>
      </w:r>
      <w:bookmarkEnd w:id="1475"/>
      <w:bookmarkEnd w:id="1476"/>
      <w:bookmarkEnd w:id="1477"/>
    </w:p>
    <w:p>
      <w:pPr>
        <w:pStyle w:val="Style36"/>
        <w:keepNext/>
        <w:keepLines/>
        <w:widowControl w:val="0"/>
        <w:shd w:val="clear" w:color="auto" w:fill="auto"/>
        <w:bidi w:val="0"/>
        <w:spacing w:before="0" w:after="320" w:line="240" w:lineRule="auto"/>
        <w:ind w:left="0" w:right="0" w:firstLine="24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78"/>
      <w:bookmarkEnd w:id="1479"/>
      <w:bookmarkEnd w:id="1480"/>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重大经营租赁：根据与出租人签订的租赁合同，不可撤销租赁的最低租赁付款如下:</w:t>
      </w:r>
    </w:p>
    <w:tbl>
      <w:tblPr>
        <w:tblOverlap w:val="never"/>
        <w:jc w:val="left"/>
        <w:tblLayout w:type="fixed"/>
      </w:tblPr>
      <w:tblGrid>
        <w:gridCol w:w="2400"/>
        <w:gridCol w:w="3115"/>
      </w:tblGrid>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79,233,590.05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11,891,118.66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3,420,486.94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2,746,563.12</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b/>
                <w:bCs/>
                <w:color w:val="000000"/>
                <w:spacing w:val="0"/>
                <w:w w:val="100"/>
                <w:position w:val="0"/>
                <w:sz w:val="20"/>
                <w:szCs w:val="20"/>
              </w:rPr>
              <w:t>97,291,758.77</w:t>
            </w:r>
          </w:p>
        </w:tc>
      </w:tr>
    </w:tbl>
    <w:p>
      <w:pPr>
        <w:widowControl w:val="0"/>
        <w:spacing w:after="499" w:line="1" w:lineRule="exact"/>
      </w:pPr>
    </w:p>
    <w:p>
      <w:pPr>
        <w:pStyle w:val="Style36"/>
        <w:keepNext/>
        <w:keepLines/>
        <w:widowControl w:val="0"/>
        <w:shd w:val="clear" w:color="auto" w:fill="auto"/>
        <w:bidi w:val="0"/>
        <w:spacing w:before="0" w:after="320" w:line="240" w:lineRule="auto"/>
        <w:ind w:left="0" w:right="0" w:firstLine="24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81"/>
      <w:bookmarkEnd w:id="1482"/>
      <w:bookmarkEnd w:id="1483"/>
    </w:p>
    <w:p>
      <w:pPr>
        <w:pStyle w:val="Style36"/>
        <w:keepNext/>
        <w:keepLines/>
        <w:widowControl w:val="0"/>
        <w:shd w:val="clear" w:color="auto" w:fill="auto"/>
        <w:bidi w:val="0"/>
        <w:spacing w:before="0" w:after="240" w:line="240" w:lineRule="auto"/>
        <w:ind w:left="0" w:right="0" w:firstLine="240"/>
        <w:jc w:val="left"/>
      </w:pPr>
      <w:bookmarkStart w:id="1481" w:name="bookmark1481"/>
      <w:bookmarkStart w:id="1482" w:name="bookmark1482"/>
      <w:bookmarkStart w:id="1484" w:name="bookmark14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81"/>
      <w:bookmarkEnd w:id="1482"/>
      <w:bookmarkEnd w:id="1484"/>
    </w:p>
    <w:p>
      <w:pPr>
        <w:pStyle w:val="Style32"/>
        <w:keepNext w:val="0"/>
        <w:keepLines w:val="0"/>
        <w:widowControl w:val="0"/>
        <w:shd w:val="clear" w:color="auto" w:fill="auto"/>
        <w:bidi w:val="0"/>
        <w:spacing w:before="0" w:after="100" w:line="267" w:lineRule="exact"/>
        <w:ind w:left="240" w:right="0" w:firstLine="460"/>
        <w:jc w:val="left"/>
      </w:pPr>
      <w:bookmarkStart w:id="1485" w:name="bookmark1485"/>
      <w:r>
        <w:rPr>
          <w:rFonts w:ascii="Times New Roman" w:eastAsia="Times New Roman" w:hAnsi="Times New Roman" w:cs="Times New Roman"/>
          <w:color w:val="000000"/>
          <w:spacing w:val="0"/>
          <w:w w:val="100"/>
          <w:position w:val="0"/>
        </w:rPr>
        <w:t>1</w:t>
      </w:r>
      <w:bookmarkEnd w:id="1485"/>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年，寰球实业（安徽）有限公司就其代理北京卓优世纪科技有限公司与神码北京签订《一次性货物采购合 同》所产生的合同纠纷向芜湖市中级人民法院提起诉讼，请求判令：（</w:t>
      </w:r>
      <w:r>
        <w:rPr>
          <w:rFonts w:ascii="Times New Roman" w:eastAsia="Times New Roman" w:hAnsi="Times New Roman" w:cs="Times New Roman"/>
          <w:color w:val="000000"/>
          <w:spacing w:val="0"/>
          <w:w w:val="100"/>
          <w:position w:val="0"/>
        </w:rPr>
        <w:t>1</w:t>
      </w:r>
      <w:r>
        <w:rPr>
          <w:color w:val="000000"/>
          <w:spacing w:val="0"/>
          <w:w w:val="100"/>
          <w:position w:val="0"/>
        </w:rPr>
        <w:t>）被告神码北京支付货款</w:t>
      </w:r>
      <w:r>
        <w:rPr>
          <w:rFonts w:ascii="Times New Roman" w:eastAsia="Times New Roman" w:hAnsi="Times New Roman" w:cs="Times New Roman"/>
          <w:color w:val="000000"/>
          <w:spacing w:val="0"/>
          <w:w w:val="100"/>
          <w:position w:val="0"/>
        </w:rPr>
        <w:t>56,972,480.00</w:t>
      </w:r>
      <w:r>
        <w:rPr>
          <w:color w:val="000000"/>
          <w:spacing w:val="0"/>
          <w:w w:val="100"/>
          <w:position w:val="0"/>
        </w:rPr>
        <w:t>元、违约金 （自逾期之日起至生效判决确定支付之日，按照逾期未付款总额每日</w:t>
      </w:r>
      <w:r>
        <w:rPr>
          <w:rFonts w:ascii="Times New Roman" w:eastAsia="Times New Roman" w:hAnsi="Times New Roman" w:cs="Times New Roman"/>
          <w:color w:val="000000"/>
          <w:spacing w:val="0"/>
          <w:w w:val="100"/>
          <w:position w:val="0"/>
        </w:rPr>
        <w:t>0.1%</w:t>
      </w:r>
      <w:r>
        <w:rPr>
          <w:color w:val="000000"/>
          <w:spacing w:val="0"/>
          <w:w w:val="100"/>
          <w:position w:val="0"/>
        </w:rPr>
        <w:t>计算；截止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日违约金共计 </w:t>
      </w:r>
      <w:r>
        <w:rPr>
          <w:rFonts w:ascii="Times New Roman" w:eastAsia="Times New Roman" w:hAnsi="Times New Roman" w:cs="Times New Roman"/>
          <w:color w:val="000000"/>
          <w:spacing w:val="0"/>
          <w:w w:val="100"/>
          <w:position w:val="0"/>
        </w:rPr>
        <w:t>5,956,850.56</w:t>
      </w:r>
      <w:r>
        <w:rPr>
          <w:color w:val="000000"/>
          <w:spacing w:val="0"/>
          <w:w w:val="100"/>
          <w:position w:val="0"/>
        </w:rPr>
        <w:t>元）以及本案诉讼费；（</w:t>
      </w:r>
      <w:r>
        <w:rPr>
          <w:rFonts w:ascii="Times New Roman" w:eastAsia="Times New Roman" w:hAnsi="Times New Roman" w:cs="Times New Roman"/>
          <w:color w:val="000000"/>
          <w:spacing w:val="0"/>
          <w:w w:val="100"/>
          <w:position w:val="0"/>
        </w:rPr>
        <w:t xml:space="preserve">2 </w:t>
      </w:r>
      <w:r>
        <w:rPr>
          <w:color w:val="000000"/>
          <w:spacing w:val="0"/>
          <w:w w:val="100"/>
          <w:position w:val="0"/>
        </w:rPr>
        <w:t>）被告北京卓优世纪科技有限公司及神码中国对上述债务承担连带责任。</w:t>
      </w:r>
    </w:p>
    <w:p>
      <w:pPr>
        <w:pStyle w:val="Style32"/>
        <w:keepNext w:val="0"/>
        <w:keepLines w:val="0"/>
        <w:widowControl w:val="0"/>
        <w:shd w:val="clear" w:color="auto" w:fill="auto"/>
        <w:bidi w:val="0"/>
        <w:spacing w:before="0" w:after="100" w:line="274" w:lineRule="exact"/>
        <w:ind w:left="240" w:right="0" w:firstLine="4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年，芜湖市中级人民法院作出（</w:t>
      </w:r>
      <w:r>
        <w:rPr>
          <w:rFonts w:ascii="Times New Roman" w:eastAsia="Times New Roman" w:hAnsi="Times New Roman" w:cs="Times New Roman"/>
          <w:color w:val="000000"/>
          <w:spacing w:val="0"/>
          <w:w w:val="100"/>
          <w:position w:val="0"/>
        </w:rPr>
        <w:t>2015</w:t>
      </w:r>
      <w:r>
        <w:rPr>
          <w:color w:val="000000"/>
          <w:spacing w:val="0"/>
          <w:w w:val="100"/>
          <w:position w:val="0"/>
        </w:rPr>
        <w:t>）芜中民二初字第</w:t>
      </w:r>
      <w:r>
        <w:rPr>
          <w:rFonts w:ascii="Times New Roman" w:eastAsia="Times New Roman" w:hAnsi="Times New Roman" w:cs="Times New Roman"/>
          <w:color w:val="000000"/>
          <w:spacing w:val="0"/>
          <w:w w:val="100"/>
          <w:position w:val="0"/>
        </w:rPr>
        <w:t>00283</w:t>
      </w:r>
      <w:r>
        <w:rPr>
          <w:color w:val="000000"/>
          <w:spacing w:val="0"/>
          <w:w w:val="100"/>
          <w:position w:val="0"/>
        </w:rPr>
        <w:t>号《民事裁定书》，裁定对北京神码、北京卓优世纪 科技有限公司及神码中国的财产在</w:t>
      </w:r>
      <w:r>
        <w:rPr>
          <w:rFonts w:ascii="Times New Roman" w:eastAsia="Times New Roman" w:hAnsi="Times New Roman" w:cs="Times New Roman"/>
          <w:color w:val="000000"/>
          <w:spacing w:val="0"/>
          <w:w w:val="100"/>
          <w:position w:val="0"/>
        </w:rPr>
        <w:t>6,500</w:t>
      </w:r>
      <w:r>
        <w:rPr>
          <w:color w:val="000000"/>
          <w:spacing w:val="0"/>
          <w:w w:val="100"/>
          <w:position w:val="0"/>
        </w:rPr>
        <w:t>万元的范围内予以保全。</w:t>
      </w:r>
    </w:p>
    <w:p>
      <w:pPr>
        <w:pStyle w:val="Style32"/>
        <w:keepNext w:val="0"/>
        <w:keepLines w:val="0"/>
        <w:widowControl w:val="0"/>
        <w:shd w:val="clear" w:color="auto" w:fill="auto"/>
        <w:bidi w:val="0"/>
        <w:spacing w:before="0" w:after="100" w:line="271" w:lineRule="exact"/>
        <w:ind w:left="240" w:right="0" w:firstLine="460"/>
        <w:jc w:val="left"/>
      </w:pPr>
      <w:r>
        <w:rPr>
          <w:color w:val="000000"/>
          <w:spacing w:val="0"/>
          <w:w w:val="100"/>
          <w:position w:val="0"/>
        </w:rPr>
        <w:t>神码北京认为寰球实业（安徽）有限公司诉讼涉及的采购合同中神码北京的公章及收货专用章均为他人非法刻制并加 盖的，神码北京并未与寰球实业（安徽）有限公司签订案件涉及协议，也未收到相关合同项下的货物，故神码北京与寰球实 业（安徽）有限公司之间不存在法律意义上的买卖合同法律关系，不应承担付款及赔偿责任。</w:t>
      </w:r>
    </w:p>
    <w:p>
      <w:pPr>
        <w:pStyle w:val="Style32"/>
        <w:keepNext w:val="0"/>
        <w:keepLines w:val="0"/>
        <w:widowControl w:val="0"/>
        <w:shd w:val="clear" w:color="auto" w:fill="auto"/>
        <w:bidi w:val="0"/>
        <w:spacing w:before="0" w:after="320" w:line="271" w:lineRule="exact"/>
        <w:ind w:left="0" w:right="0" w:firstLine="700"/>
        <w:jc w:val="left"/>
      </w:pPr>
      <w:r>
        <w:rPr>
          <w:color w:val="000000"/>
          <w:spacing w:val="0"/>
          <w:w w:val="100"/>
          <w:position w:val="0"/>
        </w:rPr>
        <w:t>截至本报告日，该案件尚在一审审理中。</w:t>
      </w:r>
    </w:p>
    <w:p>
      <w:pPr>
        <w:pStyle w:val="Style32"/>
        <w:keepNext w:val="0"/>
        <w:keepLines w:val="0"/>
        <w:widowControl w:val="0"/>
        <w:shd w:val="clear" w:color="auto" w:fill="auto"/>
        <w:bidi w:val="0"/>
        <w:spacing w:before="0" w:after="100" w:line="272" w:lineRule="exact"/>
        <w:ind w:left="240" w:right="0" w:firstLine="440"/>
        <w:jc w:val="left"/>
      </w:pPr>
      <w:bookmarkStart w:id="1486" w:name="bookmark1486"/>
      <w:r>
        <w:rPr>
          <w:rFonts w:ascii="Times New Roman" w:eastAsia="Times New Roman" w:hAnsi="Times New Roman" w:cs="Times New Roman"/>
          <w:color w:val="000000"/>
          <w:spacing w:val="0"/>
          <w:w w:val="100"/>
          <w:position w:val="0"/>
        </w:rPr>
        <w:t>2</w:t>
      </w:r>
      <w:bookmarkEnd w:id="1486"/>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月，山西省物产集团进出口有限公司（以下简称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山西物产</w:t>
      </w:r>
      <w:r>
        <w:rPr>
          <w:color w:val="000000"/>
          <w:spacing w:val="0"/>
          <w:w w:val="100"/>
          <w:position w:val="0"/>
        </w:rPr>
        <w:t>''）</w:t>
      </w:r>
      <w:r>
        <w:rPr>
          <w:color w:val="000000"/>
          <w:spacing w:val="0"/>
          <w:w w:val="100"/>
          <w:position w:val="0"/>
        </w:rPr>
        <w:t>起诉神码中国未按销售合同规定提供货物， 请求法院判令：</w:t>
      </w:r>
      <w:r>
        <w:rPr>
          <w:rFonts w:ascii="Times New Roman" w:eastAsia="Times New Roman" w:hAnsi="Times New Roman" w:cs="Times New Roman"/>
          <w:color w:val="000000"/>
          <w:spacing w:val="0"/>
          <w:w w:val="100"/>
          <w:position w:val="0"/>
        </w:rPr>
        <w:t>1</w:t>
      </w:r>
      <w:r>
        <w:rPr>
          <w:color w:val="000000"/>
          <w:spacing w:val="0"/>
          <w:w w:val="100"/>
          <w:position w:val="0"/>
        </w:rPr>
        <w:t>、双方解除合同；</w:t>
      </w:r>
      <w:r>
        <w:rPr>
          <w:rFonts w:ascii="Times New Roman" w:eastAsia="Times New Roman" w:hAnsi="Times New Roman" w:cs="Times New Roman"/>
          <w:color w:val="000000"/>
          <w:spacing w:val="0"/>
          <w:w w:val="100"/>
          <w:position w:val="0"/>
        </w:rPr>
        <w:t>2</w:t>
      </w:r>
      <w:r>
        <w:rPr>
          <w:color w:val="000000"/>
          <w:spacing w:val="0"/>
          <w:w w:val="100"/>
          <w:position w:val="0"/>
        </w:rPr>
        <w:t>、神码中国退还合同金额</w:t>
      </w:r>
      <w:r>
        <w:rPr>
          <w:rFonts w:ascii="Times New Roman" w:eastAsia="Times New Roman" w:hAnsi="Times New Roman" w:cs="Times New Roman"/>
          <w:color w:val="000000"/>
          <w:spacing w:val="0"/>
          <w:w w:val="100"/>
          <w:position w:val="0"/>
        </w:rPr>
        <w:t>33,992,678</w:t>
      </w:r>
      <w:r>
        <w:rPr>
          <w:color w:val="000000"/>
          <w:spacing w:val="0"/>
          <w:w w:val="100"/>
          <w:position w:val="0"/>
        </w:rPr>
        <w:t>元，并自神码中国收到该合同款之日起赔偿山西物 产银行同期贷款利息（自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日至实际给付之日止）；</w:t>
      </w:r>
      <w:r>
        <w:rPr>
          <w:rFonts w:ascii="Times New Roman" w:eastAsia="Times New Roman" w:hAnsi="Times New Roman" w:cs="Times New Roman"/>
          <w:color w:val="000000"/>
          <w:spacing w:val="0"/>
          <w:w w:val="100"/>
          <w:position w:val="0"/>
        </w:rPr>
        <w:t>3</w:t>
      </w:r>
      <w:r>
        <w:rPr>
          <w:color w:val="000000"/>
          <w:spacing w:val="0"/>
          <w:w w:val="100"/>
          <w:position w:val="0"/>
        </w:rPr>
        <w:t>、诉讼费由神码中国承担。神码中国认为已按合同规定发货 并取得山西物产收货确认单。北京市海淀区人民法院（</w:t>
      </w:r>
      <w:r>
        <w:rPr>
          <w:rFonts w:ascii="Times New Roman" w:eastAsia="Times New Roman" w:hAnsi="Times New Roman" w:cs="Times New Roman"/>
          <w:color w:val="000000"/>
          <w:spacing w:val="0"/>
          <w:w w:val="100"/>
          <w:position w:val="0"/>
        </w:rPr>
        <w:t>2013</w:t>
      </w:r>
      <w:r>
        <w:rPr>
          <w:color w:val="000000"/>
          <w:spacing w:val="0"/>
          <w:w w:val="100"/>
          <w:position w:val="0"/>
        </w:rPr>
        <w:t>）海民初字第</w:t>
      </w:r>
      <w:r>
        <w:rPr>
          <w:rFonts w:ascii="Times New Roman" w:eastAsia="Times New Roman" w:hAnsi="Times New Roman" w:cs="Times New Roman"/>
          <w:color w:val="000000"/>
          <w:spacing w:val="0"/>
          <w:w w:val="100"/>
          <w:position w:val="0"/>
        </w:rPr>
        <w:t>24898</w:t>
      </w:r>
      <w:r>
        <w:rPr>
          <w:color w:val="000000"/>
          <w:spacing w:val="0"/>
          <w:w w:val="100"/>
          <w:position w:val="0"/>
        </w:rPr>
        <w:t>号，作出一审判决认定神码中国与山西物产 签订的《销售合同》有效，神码中国应向山西物产返还货款及相应利息，并承担诉讼费用。</w:t>
      </w:r>
    </w:p>
    <w:p>
      <w:pPr>
        <w:pStyle w:val="Style32"/>
        <w:keepNext w:val="0"/>
        <w:keepLines w:val="0"/>
        <w:widowControl w:val="0"/>
        <w:shd w:val="clear" w:color="auto" w:fill="auto"/>
        <w:bidi w:val="0"/>
        <w:spacing w:before="0" w:after="0" w:line="269" w:lineRule="exact"/>
        <w:ind w:left="240" w:right="0" w:firstLine="440"/>
        <w:jc w:val="left"/>
      </w:pPr>
      <w:r>
        <w:rPr>
          <w:color w:val="000000"/>
          <w:spacing w:val="0"/>
          <w:w w:val="100"/>
          <w:position w:val="0"/>
        </w:rPr>
        <w:t>神码中国不服一审判决，向北京市第一中级人民法院提起上诉，</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日北京市第一中级人民法院受理，并于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日公开开庭进行了审理。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日北京市第一中级人民法院（</w:t>
      </w:r>
      <w:r>
        <w:rPr>
          <w:rFonts w:ascii="Times New Roman" w:eastAsia="Times New Roman" w:hAnsi="Times New Roman" w:cs="Times New Roman"/>
          <w:color w:val="000000"/>
          <w:spacing w:val="0"/>
          <w:w w:val="100"/>
          <w:position w:val="0"/>
        </w:rPr>
        <w:t>2015</w:t>
      </w:r>
      <w:r>
        <w:rPr>
          <w:color w:val="000000"/>
          <w:spacing w:val="0"/>
          <w:w w:val="100"/>
          <w:position w:val="0"/>
        </w:rPr>
        <w:t>）一中民（商）终字第</w:t>
      </w:r>
      <w:r>
        <w:rPr>
          <w:rFonts w:ascii="Times New Roman" w:eastAsia="Times New Roman" w:hAnsi="Times New Roman" w:cs="Times New Roman"/>
          <w:color w:val="000000"/>
          <w:spacing w:val="0"/>
          <w:w w:val="100"/>
          <w:position w:val="0"/>
        </w:rPr>
        <w:t>4547</w:t>
      </w:r>
      <w:r>
        <w:rPr>
          <w:color w:val="000000"/>
          <w:spacing w:val="0"/>
          <w:w w:val="100"/>
          <w:position w:val="0"/>
        </w:rPr>
        <w:t>号作出终审判决：</w:t>
      </w:r>
    </w:p>
    <w:p>
      <w:pPr>
        <w:pStyle w:val="Style32"/>
        <w:keepNext w:val="0"/>
        <w:keepLines w:val="0"/>
        <w:widowControl w:val="0"/>
        <w:shd w:val="clear" w:color="auto" w:fill="auto"/>
        <w:tabs>
          <w:tab w:pos="685" w:val="left"/>
        </w:tabs>
        <w:bidi w:val="0"/>
        <w:spacing w:before="0" w:after="100" w:line="269" w:lineRule="exact"/>
        <w:ind w:left="0" w:right="0" w:firstLine="240"/>
        <w:jc w:val="left"/>
      </w:pPr>
      <w:bookmarkStart w:id="1487" w:name="bookmark1487"/>
      <w:r>
        <w:rPr>
          <w:color w:val="000000"/>
          <w:spacing w:val="0"/>
          <w:w w:val="100"/>
          <w:position w:val="0"/>
          <w:sz w:val="17"/>
          <w:szCs w:val="17"/>
        </w:rPr>
        <w:t>（</w:t>
      </w:r>
      <w:bookmarkEnd w:id="1487"/>
      <w:r>
        <w:rPr>
          <w:color w:val="000000"/>
          <w:spacing w:val="0"/>
          <w:w w:val="100"/>
          <w:position w:val="0"/>
          <w:sz w:val="17"/>
          <w:szCs w:val="17"/>
        </w:rPr>
        <w:t>1）</w:t>
        <w:tab/>
      </w:r>
      <w:r>
        <w:rPr>
          <w:color w:val="000000"/>
          <w:spacing w:val="0"/>
          <w:w w:val="100"/>
          <w:position w:val="0"/>
        </w:rPr>
        <w:t>撤销北京市海淀区人民法院（</w:t>
      </w:r>
      <w:r>
        <w:rPr>
          <w:rFonts w:ascii="Times New Roman" w:eastAsia="Times New Roman" w:hAnsi="Times New Roman" w:cs="Times New Roman"/>
          <w:color w:val="000000"/>
          <w:spacing w:val="0"/>
          <w:w w:val="100"/>
          <w:position w:val="0"/>
        </w:rPr>
        <w:t>2013</w:t>
      </w:r>
      <w:r>
        <w:rPr>
          <w:color w:val="000000"/>
          <w:spacing w:val="0"/>
          <w:w w:val="100"/>
          <w:position w:val="0"/>
        </w:rPr>
        <w:t>）海民初字第</w:t>
      </w:r>
      <w:r>
        <w:rPr>
          <w:rFonts w:ascii="Times New Roman" w:eastAsia="Times New Roman" w:hAnsi="Times New Roman" w:cs="Times New Roman"/>
          <w:color w:val="000000"/>
          <w:spacing w:val="0"/>
          <w:w w:val="100"/>
          <w:position w:val="0"/>
        </w:rPr>
        <w:t>24898</w:t>
      </w:r>
      <w:r>
        <w:rPr>
          <w:color w:val="000000"/>
          <w:spacing w:val="0"/>
          <w:w w:val="100"/>
          <w:position w:val="0"/>
        </w:rPr>
        <w:t>号判决；</w:t>
      </w:r>
    </w:p>
    <w:p>
      <w:pPr>
        <w:pStyle w:val="Style32"/>
        <w:keepNext w:val="0"/>
        <w:keepLines w:val="0"/>
        <w:widowControl w:val="0"/>
        <w:shd w:val="clear" w:color="auto" w:fill="auto"/>
        <w:tabs>
          <w:tab w:pos="685" w:val="left"/>
        </w:tabs>
        <w:bidi w:val="0"/>
        <w:spacing w:before="0" w:after="100" w:line="272" w:lineRule="exact"/>
        <w:ind w:left="0" w:right="0" w:firstLine="240"/>
        <w:jc w:val="left"/>
      </w:pPr>
      <w:bookmarkStart w:id="1488" w:name="bookmark1488"/>
      <w:r>
        <w:rPr>
          <w:color w:val="000000"/>
          <w:spacing w:val="0"/>
          <w:w w:val="100"/>
          <w:position w:val="0"/>
          <w:sz w:val="17"/>
          <w:szCs w:val="17"/>
        </w:rPr>
        <w:t>（</w:t>
      </w:r>
      <w:bookmarkEnd w:id="1488"/>
      <w:r>
        <w:rPr>
          <w:color w:val="000000"/>
          <w:spacing w:val="0"/>
          <w:w w:val="100"/>
          <w:position w:val="0"/>
          <w:sz w:val="17"/>
          <w:szCs w:val="17"/>
        </w:rPr>
        <w:t>2）</w:t>
        <w:tab/>
      </w:r>
      <w:r>
        <w:rPr>
          <w:color w:val="000000"/>
          <w:spacing w:val="0"/>
          <w:w w:val="100"/>
          <w:position w:val="0"/>
        </w:rPr>
        <w:t>驳回山西省物产集团进出口有限公司的全部诉讼请求。</w:t>
      </w:r>
    </w:p>
    <w:p>
      <w:pPr>
        <w:pStyle w:val="Style32"/>
        <w:keepNext w:val="0"/>
        <w:keepLines w:val="0"/>
        <w:widowControl w:val="0"/>
        <w:shd w:val="clear" w:color="auto" w:fill="auto"/>
        <w:bidi w:val="0"/>
        <w:spacing w:before="0" w:after="100" w:line="283" w:lineRule="exact"/>
        <w:ind w:left="24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月，神码中国收到北京市高级人民法院《民事裁定书》</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京民审</w:t>
      </w:r>
      <w:r>
        <w:rPr>
          <w:rFonts w:ascii="Times New Roman" w:eastAsia="Times New Roman" w:hAnsi="Times New Roman" w:cs="Times New Roman"/>
          <w:color w:val="000000"/>
          <w:spacing w:val="0"/>
          <w:w w:val="100"/>
          <w:position w:val="0"/>
        </w:rPr>
        <w:t>1560</w:t>
      </w:r>
      <w:r>
        <w:rPr>
          <w:color w:val="000000"/>
          <w:spacing w:val="0"/>
          <w:w w:val="100"/>
          <w:position w:val="0"/>
        </w:rPr>
        <w:t>号，北京市高级人民法院受理山西物 产的再审申请，再审期间，中止原判决的执行。</w:t>
      </w:r>
    </w:p>
    <w:p>
      <w:pPr>
        <w:pStyle w:val="Style32"/>
        <w:keepNext w:val="0"/>
        <w:keepLines w:val="0"/>
        <w:widowControl w:val="0"/>
        <w:shd w:val="clear" w:color="auto" w:fill="auto"/>
        <w:bidi w:val="0"/>
        <w:spacing w:before="0" w:after="100" w:line="272" w:lineRule="exact"/>
        <w:ind w:left="0" w:right="0" w:firstLine="640"/>
        <w:jc w:val="left"/>
      </w:pPr>
      <w:r>
        <w:rPr>
          <w:color w:val="000000"/>
          <w:spacing w:val="0"/>
          <w:w w:val="100"/>
          <w:position w:val="0"/>
        </w:rPr>
        <w:t>截至本报告日，该案件尚在审理中。</w:t>
      </w:r>
    </w:p>
    <w:p>
      <w:pPr>
        <w:pStyle w:val="Style32"/>
        <w:keepNext w:val="0"/>
        <w:keepLines w:val="0"/>
        <w:widowControl w:val="0"/>
        <w:shd w:val="clear" w:color="auto" w:fill="auto"/>
        <w:bidi w:val="0"/>
        <w:spacing w:before="0" w:after="560" w:line="272" w:lineRule="exact"/>
        <w:ind w:left="0" w:right="0" w:firstLine="640"/>
        <w:jc w:val="left"/>
      </w:pPr>
      <w:bookmarkStart w:id="1489" w:name="bookmark1489"/>
      <w:r>
        <w:rPr>
          <w:rFonts w:ascii="Times New Roman" w:eastAsia="Times New Roman" w:hAnsi="Times New Roman" w:cs="Times New Roman"/>
          <w:color w:val="000000"/>
          <w:spacing w:val="0"/>
          <w:w w:val="100"/>
          <w:position w:val="0"/>
        </w:rPr>
        <w:t>3</w:t>
      </w:r>
      <w:bookmarkEnd w:id="1489"/>
      <w:r>
        <w:rPr>
          <w:color w:val="000000"/>
          <w:spacing w:val="0"/>
          <w:w w:val="100"/>
          <w:position w:val="0"/>
        </w:rPr>
        <w:t>、除上述事项外，本集团无须作披露的其他或有事项。</w:t>
      </w:r>
    </w:p>
    <w:p>
      <w:pPr>
        <w:pStyle w:val="Style36"/>
        <w:keepNext/>
        <w:keepLines/>
        <w:widowControl w:val="0"/>
        <w:shd w:val="clear" w:color="auto" w:fill="auto"/>
        <w:bidi w:val="0"/>
        <w:spacing w:before="0" w:after="240" w:line="240" w:lineRule="auto"/>
        <w:ind w:left="0" w:right="0" w:firstLine="24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490"/>
      <w:bookmarkEnd w:id="1491"/>
      <w:bookmarkEnd w:id="1492"/>
    </w:p>
    <w:p>
      <w:pPr>
        <w:pStyle w:val="Style32"/>
        <w:keepNext w:val="0"/>
        <w:keepLines w:val="0"/>
        <w:widowControl w:val="0"/>
        <w:shd w:val="clear" w:color="auto" w:fill="auto"/>
        <w:bidi w:val="0"/>
        <w:spacing w:before="0" w:after="340" w:line="270" w:lineRule="exact"/>
        <w:ind w:left="0" w:right="0" w:firstLine="24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40" w:line="240" w:lineRule="auto"/>
        <w:ind w:left="0" w:right="0" w:firstLine="240"/>
        <w:jc w:val="left"/>
      </w:pPr>
      <w:bookmarkStart w:id="1493" w:name="bookmark1493"/>
      <w:bookmarkStart w:id="1494" w:name="bookmark1494"/>
      <w:bookmarkStart w:id="1495" w:name="bookmark1495"/>
      <w:r>
        <w:rPr>
          <w:color w:val="000000"/>
          <w:spacing w:val="0"/>
          <w:w w:val="100"/>
          <w:position w:val="0"/>
        </w:rPr>
        <w:t>十五、资产负债表日后事项</w:t>
      </w:r>
      <w:bookmarkEnd w:id="1493"/>
      <w:bookmarkEnd w:id="1494"/>
      <w:bookmarkEnd w:id="1495"/>
    </w:p>
    <w:p>
      <w:pPr>
        <w:pStyle w:val="Style36"/>
        <w:keepNext/>
        <w:keepLines/>
        <w:widowControl w:val="0"/>
        <w:shd w:val="clear" w:color="auto" w:fill="auto"/>
        <w:tabs>
          <w:tab w:pos="608" w:val="left"/>
        </w:tabs>
        <w:bidi w:val="0"/>
        <w:spacing w:before="0" w:after="240" w:line="240" w:lineRule="auto"/>
        <w:ind w:left="0" w:right="0" w:firstLine="24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1</w:t>
      </w:r>
      <w:bookmarkEnd w:id="1498"/>
      <w:r>
        <w:rPr>
          <w:color w:val="000000"/>
          <w:spacing w:val="0"/>
          <w:w w:val="100"/>
          <w:position w:val="0"/>
        </w:rPr>
        <w:t>、</w:t>
        <w:tab/>
        <w:t>重要的非调整事项</w:t>
      </w:r>
      <w:bookmarkEnd w:id="1496"/>
      <w:bookmarkEnd w:id="1497"/>
      <w:bookmarkEnd w:id="1499"/>
    </w:p>
    <w:p>
      <w:pPr>
        <w:pStyle w:val="Style32"/>
        <w:keepNext w:val="0"/>
        <w:keepLines w:val="0"/>
        <w:widowControl w:val="0"/>
        <w:shd w:val="clear" w:color="auto" w:fill="auto"/>
        <w:bidi w:val="0"/>
        <w:spacing w:before="0" w:after="340" w:line="270" w:lineRule="exact"/>
        <w:ind w:left="0" w:right="0" w:firstLine="240"/>
        <w:jc w:val="left"/>
      </w:pPr>
      <w:r>
        <w:rPr>
          <w:color w:val="000000"/>
          <w:spacing w:val="0"/>
          <w:w w:val="100"/>
          <w:position w:val="0"/>
        </w:rPr>
        <w:t>无</w:t>
      </w:r>
    </w:p>
    <w:p>
      <w:pPr>
        <w:pStyle w:val="Style36"/>
        <w:keepNext/>
        <w:keepLines/>
        <w:widowControl w:val="0"/>
        <w:shd w:val="clear" w:color="auto" w:fill="auto"/>
        <w:tabs>
          <w:tab w:pos="618" w:val="left"/>
        </w:tabs>
        <w:bidi w:val="0"/>
        <w:spacing w:before="0" w:after="240" w:line="240" w:lineRule="auto"/>
        <w:ind w:left="0" w:right="0" w:firstLine="24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color w:val="000000"/>
          <w:spacing w:val="0"/>
          <w:w w:val="100"/>
          <w:position w:val="0"/>
        </w:rPr>
        <w:t>、</w:t>
        <w:tab/>
        <w:t>利润分配情况</w:t>
      </w:r>
      <w:bookmarkEnd w:id="1500"/>
      <w:bookmarkEnd w:id="1501"/>
      <w:bookmarkEnd w:id="1503"/>
    </w:p>
    <w:p>
      <w:pPr>
        <w:pStyle w:val="Style32"/>
        <w:keepNext w:val="0"/>
        <w:keepLines w:val="0"/>
        <w:widowControl w:val="0"/>
        <w:shd w:val="clear" w:color="auto" w:fill="auto"/>
        <w:bidi w:val="0"/>
        <w:spacing w:before="0" w:after="340" w:line="270" w:lineRule="exact"/>
        <w:ind w:left="0" w:right="0" w:firstLine="240"/>
        <w:jc w:val="left"/>
      </w:pPr>
      <w:r>
        <w:rPr>
          <w:color w:val="000000"/>
          <w:spacing w:val="0"/>
          <w:w w:val="100"/>
          <w:position w:val="0"/>
        </w:rPr>
        <w:t>无</w:t>
      </w:r>
    </w:p>
    <w:p>
      <w:pPr>
        <w:pStyle w:val="Style36"/>
        <w:keepNext/>
        <w:keepLines/>
        <w:widowControl w:val="0"/>
        <w:shd w:val="clear" w:color="auto" w:fill="auto"/>
        <w:tabs>
          <w:tab w:pos="618" w:val="left"/>
        </w:tabs>
        <w:bidi w:val="0"/>
        <w:spacing w:before="0" w:after="240" w:line="240" w:lineRule="auto"/>
        <w:ind w:left="0" w:right="0" w:firstLine="24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color w:val="000000"/>
          <w:spacing w:val="0"/>
          <w:w w:val="100"/>
          <w:position w:val="0"/>
        </w:rPr>
        <w:t>、</w:t>
        <w:tab/>
        <w:t>销售退回</w:t>
      </w:r>
      <w:bookmarkEnd w:id="1504"/>
      <w:bookmarkEnd w:id="1505"/>
      <w:bookmarkEnd w:id="1507"/>
    </w:p>
    <w:p>
      <w:pPr>
        <w:pStyle w:val="Style32"/>
        <w:keepNext w:val="0"/>
        <w:keepLines w:val="0"/>
        <w:widowControl w:val="0"/>
        <w:shd w:val="clear" w:color="auto" w:fill="auto"/>
        <w:bidi w:val="0"/>
        <w:spacing w:before="0" w:after="340" w:line="270" w:lineRule="exact"/>
        <w:ind w:left="0" w:right="0" w:firstLine="240"/>
        <w:jc w:val="left"/>
      </w:pPr>
      <w:r>
        <w:rPr>
          <w:color w:val="000000"/>
          <w:spacing w:val="0"/>
          <w:w w:val="100"/>
          <w:position w:val="0"/>
        </w:rPr>
        <w:t>无</w:t>
      </w:r>
    </w:p>
    <w:p>
      <w:pPr>
        <w:pStyle w:val="Style36"/>
        <w:keepNext/>
        <w:keepLines/>
        <w:widowControl w:val="0"/>
        <w:shd w:val="clear" w:color="auto" w:fill="auto"/>
        <w:tabs>
          <w:tab w:pos="618" w:val="left"/>
        </w:tabs>
        <w:bidi w:val="0"/>
        <w:spacing w:before="0" w:after="240" w:line="240" w:lineRule="auto"/>
        <w:ind w:left="0" w:right="0" w:firstLine="24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color w:val="000000"/>
          <w:spacing w:val="0"/>
          <w:w w:val="100"/>
          <w:position w:val="0"/>
        </w:rPr>
        <w:t>、</w:t>
        <w:tab/>
        <w:t>其他资产负债表日后事项说明</w:t>
      </w:r>
      <w:bookmarkEnd w:id="1508"/>
      <w:bookmarkEnd w:id="1509"/>
      <w:bookmarkEnd w:id="1511"/>
    </w:p>
    <w:p>
      <w:pPr>
        <w:pStyle w:val="Style32"/>
        <w:keepNext w:val="0"/>
        <w:keepLines w:val="0"/>
        <w:widowControl w:val="0"/>
        <w:shd w:val="clear" w:color="auto" w:fill="auto"/>
        <w:bidi w:val="0"/>
        <w:spacing w:before="0" w:after="100" w:line="270" w:lineRule="exact"/>
        <w:ind w:left="0" w:right="0" w:firstLine="64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日，本公司召开第八届董事会第十六次会议，会议审议通过了：</w:t>
      </w:r>
    </w:p>
    <w:p>
      <w:pPr>
        <w:pStyle w:val="Style32"/>
        <w:keepNext w:val="0"/>
        <w:keepLines w:val="0"/>
        <w:widowControl w:val="0"/>
        <w:shd w:val="clear" w:color="auto" w:fill="auto"/>
        <w:tabs>
          <w:tab w:pos="1227" w:val="left"/>
        </w:tabs>
        <w:bidi w:val="0"/>
        <w:spacing w:before="0" w:after="100" w:line="269" w:lineRule="exact"/>
        <w:ind w:left="240" w:right="0" w:firstLine="440"/>
        <w:jc w:val="left"/>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w:t>
        <w:tab/>
        <w:t>本集团拟开展名义本金不超过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亿美元（或等值其他币种）额度的套期保值型衍生品投资，该申请额度在自 </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年年度股东大会审议通过之日起至</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年年度股东大会召开之日止的有效期限内可循环使用，且在任一时间点，衍生 品名义本金不超过</w:t>
      </w:r>
      <w:r>
        <w:rPr>
          <w:rFonts w:ascii="Times New Roman" w:eastAsia="Times New Roman" w:hAnsi="Times New Roman" w:cs="Times New Roman"/>
          <w:color w:val="000000"/>
          <w:spacing w:val="0"/>
          <w:w w:val="100"/>
          <w:position w:val="0"/>
        </w:rPr>
        <w:t>20</w:t>
      </w:r>
      <w:r>
        <w:rPr>
          <w:color w:val="000000"/>
          <w:spacing w:val="0"/>
          <w:w w:val="100"/>
          <w:position w:val="0"/>
        </w:rPr>
        <w:t>亿美元（或等值其他币种）。该议案尚需提交股东大会批准。</w:t>
      </w:r>
    </w:p>
    <w:p>
      <w:pPr>
        <w:pStyle w:val="Style32"/>
        <w:keepNext w:val="0"/>
        <w:keepLines w:val="0"/>
        <w:widowControl w:val="0"/>
        <w:shd w:val="clear" w:color="auto" w:fill="auto"/>
        <w:tabs>
          <w:tab w:pos="1222" w:val="left"/>
        </w:tabs>
        <w:bidi w:val="0"/>
        <w:spacing w:before="0" w:after="100" w:line="270" w:lineRule="exact"/>
        <w:ind w:left="240" w:right="0" w:firstLine="440"/>
        <w:jc w:val="left"/>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w:t>
        <w:tab/>
        <w:t>本集团拟使用自有资金进行委托理财投资，委托理财投资额度不超过人民币</w:t>
      </w:r>
      <w:r>
        <w:rPr>
          <w:rFonts w:ascii="Times New Roman" w:eastAsia="Times New Roman" w:hAnsi="Times New Roman" w:cs="Times New Roman"/>
          <w:color w:val="000000"/>
          <w:spacing w:val="0"/>
          <w:w w:val="100"/>
          <w:position w:val="0"/>
        </w:rPr>
        <w:t>20</w:t>
      </w:r>
      <w:r>
        <w:rPr>
          <w:color w:val="000000"/>
          <w:spacing w:val="0"/>
          <w:w w:val="100"/>
          <w:position w:val="0"/>
        </w:rPr>
        <w:t>亿元，该资金额度在自</w:t>
      </w:r>
      <w:r>
        <w:rPr>
          <w:rFonts w:ascii="Times New Roman" w:eastAsia="Times New Roman" w:hAnsi="Times New Roman" w:cs="Times New Roman"/>
          <w:color w:val="000000"/>
          <w:spacing w:val="0"/>
          <w:w w:val="100"/>
          <w:position w:val="0"/>
        </w:rPr>
        <w:t>2016</w:t>
      </w:r>
      <w:r>
        <w:rPr>
          <w:color w:val="000000"/>
          <w:spacing w:val="0"/>
          <w:w w:val="100"/>
          <w:position w:val="0"/>
        </w:rPr>
        <w:t>年年 度股东大会审议通过之日起至</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年年度股东大会召开之日止的有效期间内可循环滚动使用。委托理财投资为中短期的低 风险投资，其中保本型理财产品比例不低于</w:t>
      </w:r>
      <w:r>
        <w:rPr>
          <w:rFonts w:ascii="Times New Roman" w:eastAsia="Times New Roman" w:hAnsi="Times New Roman" w:cs="Times New Roman"/>
          <w:color w:val="000000"/>
          <w:spacing w:val="0"/>
          <w:w w:val="100"/>
          <w:position w:val="0"/>
        </w:rPr>
        <w:t>20%</w:t>
      </w:r>
      <w:r>
        <w:rPr>
          <w:color w:val="000000"/>
          <w:spacing w:val="0"/>
          <w:w w:val="100"/>
          <w:position w:val="0"/>
        </w:rPr>
        <w:t>。投资产品的期限不超过两年，其中投资期限一年期以内的委托理财投资 不低于总投资金额的</w:t>
      </w:r>
      <w:r>
        <w:rPr>
          <w:rFonts w:ascii="Times New Roman" w:eastAsia="Times New Roman" w:hAnsi="Times New Roman" w:cs="Times New Roman"/>
          <w:color w:val="000000"/>
          <w:spacing w:val="0"/>
          <w:w w:val="100"/>
          <w:position w:val="0"/>
        </w:rPr>
        <w:t>60%</w:t>
      </w:r>
      <w:r>
        <w:rPr>
          <w:color w:val="000000"/>
          <w:spacing w:val="0"/>
          <w:w w:val="100"/>
          <w:position w:val="0"/>
        </w:rPr>
        <w:t>，一年至两年期的委托理财投资不超过总投资金额的</w:t>
      </w:r>
      <w:r>
        <w:rPr>
          <w:rFonts w:ascii="Times New Roman" w:eastAsia="Times New Roman" w:hAnsi="Times New Roman" w:cs="Times New Roman"/>
          <w:color w:val="000000"/>
          <w:spacing w:val="0"/>
          <w:w w:val="100"/>
          <w:position w:val="0"/>
        </w:rPr>
        <w:t>40%</w:t>
      </w:r>
      <w:r>
        <w:rPr>
          <w:color w:val="000000"/>
          <w:spacing w:val="0"/>
          <w:w w:val="100"/>
          <w:position w:val="0"/>
        </w:rPr>
        <w:t>。此议案尚需提交股东大会批准。</w:t>
      </w:r>
    </w:p>
    <w:p>
      <w:pPr>
        <w:pStyle w:val="Style32"/>
        <w:keepNext w:val="0"/>
        <w:keepLines w:val="0"/>
        <w:widowControl w:val="0"/>
        <w:shd w:val="clear" w:color="auto" w:fill="auto"/>
        <w:tabs>
          <w:tab w:pos="1218" w:val="left"/>
        </w:tabs>
        <w:bidi w:val="0"/>
        <w:spacing w:before="0" w:after="80" w:line="270" w:lineRule="exact"/>
        <w:ind w:left="240" w:right="0" w:firstLine="440"/>
        <w:jc w:val="left"/>
      </w:pPr>
      <w:bookmarkStart w:id="1514" w:name="bookmark1514"/>
      <w:r>
        <w:rPr>
          <w:color w:val="000000"/>
          <w:spacing w:val="0"/>
          <w:w w:val="100"/>
          <w:position w:val="0"/>
        </w:rPr>
        <w:t>（</w:t>
      </w:r>
      <w:bookmarkEnd w:id="1514"/>
      <w:r>
        <w:rPr>
          <w:rFonts w:ascii="Times New Roman" w:eastAsia="Times New Roman" w:hAnsi="Times New Roman" w:cs="Times New Roman"/>
          <w:color w:val="000000"/>
          <w:spacing w:val="0"/>
          <w:w w:val="100"/>
          <w:position w:val="0"/>
        </w:rPr>
        <w:t>3</w:t>
      </w:r>
      <w:r>
        <w:rPr>
          <w:color w:val="000000"/>
          <w:spacing w:val="0"/>
          <w:w w:val="100"/>
          <w:position w:val="0"/>
        </w:rPr>
        <w:t>）</w:t>
        <w:tab/>
        <w:t>本集团拟向业务相关方（包括但不限于银行、金融机构及供应商等）申请授信或签署其他履约义务（含已经授 信或履约、新增授信或履约及现有授信或履约的展期、变更等），并由本公司向子公司提供担保或子公司间互相提供担 保，担保总额不超过等额</w:t>
      </w:r>
      <w:r>
        <w:rPr>
          <w:rFonts w:ascii="Times New Roman" w:eastAsia="Times New Roman" w:hAnsi="Times New Roman" w:cs="Times New Roman"/>
          <w:color w:val="000000"/>
          <w:spacing w:val="0"/>
          <w:w w:val="100"/>
          <w:position w:val="0"/>
        </w:rPr>
        <w:t>500</w:t>
      </w:r>
      <w:r>
        <w:rPr>
          <w:color w:val="000000"/>
          <w:spacing w:val="0"/>
          <w:w w:val="100"/>
          <w:position w:val="0"/>
        </w:rPr>
        <w:t>亿人民币（含正在执行的担保、新增担保及原有担保展期或续保），担保责任为连带责任保证 担保、抵押担保、质押担保等。额度使用期限为自获</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年年度股东大会审议通过之日起至</w:t>
      </w:r>
      <w:r>
        <w:rPr>
          <w:rFonts w:ascii="Times New Roman" w:eastAsia="Times New Roman" w:hAnsi="Times New Roman" w:cs="Times New Roman"/>
          <w:color w:val="000000"/>
          <w:spacing w:val="0"/>
          <w:w w:val="100"/>
          <w:position w:val="0"/>
        </w:rPr>
        <w:t>2 017</w:t>
      </w:r>
      <w:r>
        <w:rPr>
          <w:color w:val="000000"/>
          <w:spacing w:val="0"/>
          <w:w w:val="100"/>
          <w:position w:val="0"/>
        </w:rPr>
        <w:t xml:space="preserve">年年度股东大会召开之日 </w:t>
      </w:r>
      <w:r>
        <w:rPr>
          <w:color w:val="000000"/>
          <w:spacing w:val="0"/>
          <w:w w:val="100"/>
          <w:position w:val="0"/>
        </w:rPr>
        <w:t>止，在上述额度内发生的具体担保事项，授权公司董事长或其授权人具体负责签订相关协议，不再另行召开董事会或股东 大会。超出上述额度的担保，按照相关规定由董事会或股东大会另行审议作出决议后才能实施。此议案尚需提交股东大会 批准。</w:t>
      </w:r>
    </w:p>
    <w:p>
      <w:pPr>
        <w:pStyle w:val="Style32"/>
        <w:keepNext w:val="0"/>
        <w:keepLines w:val="0"/>
        <w:widowControl w:val="0"/>
        <w:shd w:val="clear" w:color="auto" w:fill="auto"/>
        <w:tabs>
          <w:tab w:pos="1218" w:val="left"/>
        </w:tabs>
        <w:bidi w:val="0"/>
        <w:spacing w:before="0" w:after="80" w:line="278" w:lineRule="exact"/>
        <w:ind w:left="240" w:right="0" w:firstLine="460"/>
        <w:jc w:val="both"/>
      </w:pPr>
      <w:bookmarkStart w:id="1515" w:name="bookmark1515"/>
      <w:r>
        <w:rPr>
          <w:color w:val="000000"/>
          <w:spacing w:val="0"/>
          <w:w w:val="100"/>
          <w:position w:val="0"/>
        </w:rPr>
        <w:t>（</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w:t>
        <w:tab/>
        <w:t>本公司、神码上海、神码广州信息、北京神州和北京神码供应链为神码中国与富国商通融商业保理有限责任公 司签订的主经销商协议提供连带保证责任担保，担保金额为人民币</w:t>
      </w:r>
      <w:r>
        <w:rPr>
          <w:rFonts w:ascii="Times New Roman" w:eastAsia="Times New Roman" w:hAnsi="Times New Roman" w:cs="Times New Roman"/>
          <w:color w:val="000000"/>
          <w:spacing w:val="0"/>
          <w:w w:val="100"/>
          <w:position w:val="0"/>
        </w:rPr>
        <w:t>11</w:t>
      </w:r>
      <w:r>
        <w:rPr>
          <w:color w:val="000000"/>
          <w:spacing w:val="0"/>
          <w:w w:val="100"/>
          <w:position w:val="0"/>
        </w:rPr>
        <w:t>亿元，担保期限为最后一笔被担保债务的最终到期日 后满两年之日终止。</w:t>
      </w:r>
    </w:p>
    <w:p>
      <w:pPr>
        <w:pStyle w:val="Style32"/>
        <w:keepNext w:val="0"/>
        <w:keepLines w:val="0"/>
        <w:widowControl w:val="0"/>
        <w:shd w:val="clear" w:color="auto" w:fill="auto"/>
        <w:tabs>
          <w:tab w:pos="1140" w:val="left"/>
        </w:tabs>
        <w:bidi w:val="0"/>
        <w:spacing w:before="0" w:after="220" w:line="274" w:lineRule="exact"/>
        <w:ind w:left="0" w:right="0" w:firstLine="700"/>
        <w:jc w:val="left"/>
      </w:pPr>
      <w:bookmarkStart w:id="1516" w:name="bookmark1516"/>
      <w:r>
        <w:rPr>
          <w:color w:val="000000"/>
          <w:spacing w:val="0"/>
          <w:w w:val="100"/>
          <w:position w:val="0"/>
        </w:rPr>
        <w:t>（</w:t>
      </w:r>
      <w:bookmarkEnd w:id="1516"/>
      <w:r>
        <w:rPr>
          <w:rFonts w:ascii="Times New Roman" w:eastAsia="Times New Roman" w:hAnsi="Times New Roman" w:cs="Times New Roman"/>
          <w:color w:val="000000"/>
          <w:spacing w:val="0"/>
          <w:w w:val="100"/>
          <w:position w:val="0"/>
        </w:rPr>
        <w:t>5</w:t>
      </w:r>
      <w:r>
        <w:rPr>
          <w:color w:val="000000"/>
          <w:spacing w:val="0"/>
          <w:w w:val="100"/>
          <w:position w:val="0"/>
        </w:rPr>
        <w:t>）</w:t>
        <w:tab/>
        <w:t>神码中国拟以自有资金人民币</w:t>
      </w:r>
      <w:r>
        <w:rPr>
          <w:rFonts w:ascii="Times New Roman" w:eastAsia="Times New Roman" w:hAnsi="Times New Roman" w:cs="Times New Roman"/>
          <w:color w:val="000000"/>
          <w:spacing w:val="0"/>
          <w:w w:val="100"/>
          <w:position w:val="0"/>
        </w:rPr>
        <w:t>9</w:t>
      </w:r>
      <w:r>
        <w:rPr>
          <w:color w:val="000000"/>
          <w:spacing w:val="0"/>
          <w:w w:val="100"/>
          <w:position w:val="0"/>
        </w:rPr>
        <w:t>亿元向神码深圳增资，增资完成后，神码深圳注册资本变更为人民币</w:t>
      </w:r>
      <w:r>
        <w:rPr>
          <w:rFonts w:ascii="Times New Roman" w:eastAsia="Times New Roman" w:hAnsi="Times New Roman" w:cs="Times New Roman"/>
          <w:color w:val="000000"/>
          <w:spacing w:val="0"/>
          <w:w w:val="100"/>
          <w:position w:val="0"/>
        </w:rPr>
        <w:t>10</w:t>
      </w:r>
      <w:r>
        <w:rPr>
          <w:color w:val="000000"/>
          <w:spacing w:val="0"/>
          <w:w w:val="100"/>
          <w:position w:val="0"/>
        </w:rPr>
        <w:t>亿元。</w:t>
      </w:r>
    </w:p>
    <w:p>
      <w:pPr>
        <w:pStyle w:val="Style32"/>
        <w:keepNext w:val="0"/>
        <w:keepLines w:val="0"/>
        <w:widowControl w:val="0"/>
        <w:shd w:val="clear" w:color="auto" w:fill="auto"/>
        <w:bidi w:val="0"/>
        <w:spacing w:before="0" w:after="320" w:line="317" w:lineRule="auto"/>
        <w:ind w:left="0" w:right="0" w:firstLine="700"/>
        <w:jc w:val="left"/>
      </w:pPr>
      <w:r>
        <w:rPr>
          <w:rFonts w:ascii="Times New Roman" w:eastAsia="Times New Roman" w:hAnsi="Times New Roman" w:cs="Times New Roman"/>
          <w:color w:val="000000"/>
          <w:spacing w:val="0"/>
          <w:w w:val="100"/>
          <w:position w:val="0"/>
        </w:rPr>
        <w:t>2</w:t>
      </w:r>
      <w:r>
        <w:rPr>
          <w:color w:val="000000"/>
          <w:spacing w:val="0"/>
          <w:w w:val="100"/>
          <w:position w:val="0"/>
        </w:rPr>
        <w:t>、截至报告日，除上述事项外，本集团无需披露的其他重大资产负债表日后事项。</w:t>
      </w:r>
    </w:p>
    <w:p>
      <w:pPr>
        <w:pStyle w:val="Style28"/>
        <w:keepNext/>
        <w:keepLines/>
        <w:widowControl w:val="0"/>
        <w:shd w:val="clear" w:color="auto" w:fill="auto"/>
        <w:bidi w:val="0"/>
        <w:spacing w:before="0" w:after="320" w:line="240" w:lineRule="auto"/>
        <w:ind w:left="0" w:right="0" w:firstLine="240"/>
        <w:jc w:val="left"/>
      </w:pPr>
      <w:bookmarkStart w:id="1517" w:name="bookmark1517"/>
      <w:bookmarkStart w:id="1518" w:name="bookmark1518"/>
      <w:bookmarkStart w:id="1519" w:name="bookmark1519"/>
      <w:r>
        <w:rPr>
          <w:color w:val="000000"/>
          <w:spacing w:val="0"/>
          <w:w w:val="100"/>
          <w:position w:val="0"/>
        </w:rPr>
        <w:t>十六、其他重要事项</w:t>
      </w:r>
      <w:bookmarkEnd w:id="1517"/>
      <w:bookmarkEnd w:id="1518"/>
      <w:bookmarkEnd w:id="1519"/>
    </w:p>
    <w:p>
      <w:pPr>
        <w:pStyle w:val="Style36"/>
        <w:keepNext/>
        <w:keepLines/>
        <w:widowControl w:val="0"/>
        <w:shd w:val="clear" w:color="auto" w:fill="auto"/>
        <w:bidi w:val="0"/>
        <w:spacing w:before="0" w:after="80" w:line="391" w:lineRule="auto"/>
        <w:ind w:left="0" w:right="0" w:firstLine="24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20"/>
      <w:bookmarkEnd w:id="1521"/>
      <w:bookmarkEnd w:id="1522"/>
    </w:p>
    <w:p>
      <w:pPr>
        <w:pStyle w:val="Style24"/>
        <w:keepNext w:val="0"/>
        <w:keepLines w:val="0"/>
        <w:widowControl w:val="0"/>
        <w:shd w:val="clear" w:color="auto" w:fill="auto"/>
        <w:bidi w:val="0"/>
        <w:spacing w:before="0" w:after="320" w:line="374" w:lineRule="exact"/>
        <w:ind w:left="240" w:right="0" w:firstLine="460"/>
        <w:jc w:val="left"/>
        <w:rPr>
          <w:sz w:val="22"/>
          <w:szCs w:val="22"/>
        </w:rPr>
      </w:pPr>
      <w:r>
        <w:rPr>
          <w:color w:val="000000"/>
          <w:spacing w:val="0"/>
          <w:w w:val="100"/>
          <w:position w:val="0"/>
          <w:sz w:val="22"/>
          <w:szCs w:val="22"/>
        </w:rPr>
        <w:t>本分部逾</w:t>
      </w:r>
      <w:r>
        <w:rPr>
          <w:rFonts w:ascii="Times New Roman" w:eastAsia="Times New Roman" w:hAnsi="Times New Roman" w:cs="Times New Roman"/>
          <w:color w:val="000000"/>
          <w:spacing w:val="0"/>
          <w:w w:val="100"/>
          <w:position w:val="0"/>
          <w:sz w:val="22"/>
          <w:szCs w:val="22"/>
        </w:rPr>
        <w:t>99.68%</w:t>
      </w:r>
      <w:r>
        <w:rPr>
          <w:color w:val="000000"/>
          <w:spacing w:val="0"/>
          <w:w w:val="100"/>
          <w:position w:val="0"/>
          <w:sz w:val="22"/>
          <w:szCs w:val="22"/>
        </w:rPr>
        <w:t>的收入源自销售</w:t>
      </w:r>
      <w:r>
        <w:rPr>
          <w:rFonts w:ascii="Times New Roman" w:eastAsia="Times New Roman" w:hAnsi="Times New Roman" w:cs="Times New Roman"/>
          <w:color w:val="000000"/>
          <w:spacing w:val="0"/>
          <w:w w:val="100"/>
          <w:position w:val="0"/>
          <w:sz w:val="22"/>
          <w:szCs w:val="22"/>
        </w:rPr>
        <w:t>IT</w:t>
      </w:r>
      <w:r>
        <w:rPr>
          <w:color w:val="000000"/>
          <w:spacing w:val="0"/>
          <w:w w:val="100"/>
          <w:position w:val="0"/>
          <w:sz w:val="22"/>
          <w:szCs w:val="22"/>
        </w:rPr>
        <w:t>产品，由管理层对其进行统一、集中管理；管理层定期评价 本分部的整体的财务状况、经营成果和现金流量。故本集团只有一个分部。</w:t>
      </w:r>
    </w:p>
    <w:p>
      <w:pPr>
        <w:pStyle w:val="Style28"/>
        <w:keepNext/>
        <w:keepLines/>
        <w:widowControl w:val="0"/>
        <w:shd w:val="clear" w:color="auto" w:fill="auto"/>
        <w:bidi w:val="0"/>
        <w:spacing w:before="0" w:after="320" w:line="240" w:lineRule="auto"/>
        <w:ind w:left="240" w:right="0" w:firstLine="0"/>
        <w:jc w:val="left"/>
      </w:pPr>
      <w:bookmarkStart w:id="1523" w:name="bookmark1523"/>
      <w:bookmarkStart w:id="1524" w:name="bookmark1524"/>
      <w:bookmarkStart w:id="1525" w:name="bookmark1525"/>
      <w:r>
        <w:rPr>
          <w:color w:val="000000"/>
          <w:spacing w:val="0"/>
          <w:w w:val="100"/>
          <w:position w:val="0"/>
        </w:rPr>
        <w:t>十七、母公司财务报表主要项目注释</w:t>
      </w:r>
      <w:bookmarkEnd w:id="1523"/>
      <w:bookmarkEnd w:id="1524"/>
      <w:bookmarkEnd w:id="1525"/>
    </w:p>
    <w:p>
      <w:pPr>
        <w:pStyle w:val="Style36"/>
        <w:keepNext/>
        <w:keepLines/>
        <w:widowControl w:val="0"/>
        <w:shd w:val="clear" w:color="auto" w:fill="auto"/>
        <w:bidi w:val="0"/>
        <w:spacing w:before="0" w:after="0" w:line="391" w:lineRule="auto"/>
        <w:ind w:left="24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26"/>
      <w:bookmarkEnd w:id="1527"/>
      <w:bookmarkEnd w:id="1528"/>
    </w:p>
    <w:p>
      <w:pPr>
        <w:pStyle w:val="Style36"/>
        <w:keepNext/>
        <w:keepLines/>
        <w:widowControl w:val="0"/>
        <w:shd w:val="clear" w:color="auto" w:fill="auto"/>
        <w:bidi w:val="0"/>
        <w:spacing w:before="0" w:after="320" w:line="374" w:lineRule="exact"/>
        <w:ind w:left="240" w:right="0" w:firstLine="0"/>
        <w:jc w:val="left"/>
      </w:pPr>
      <w:bookmarkStart w:id="1526" w:name="bookmark1526"/>
      <w:bookmarkStart w:id="1527" w:name="bookmark1527"/>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26"/>
      <w:bookmarkEnd w:id="1527"/>
      <w:bookmarkEnd w:id="1529"/>
    </w:p>
    <w:p>
      <w:pPr>
        <w:pStyle w:val="Style30"/>
        <w:keepNext w:val="0"/>
        <w:keepLines w:val="0"/>
        <w:widowControl w:val="0"/>
        <w:shd w:val="clear" w:color="auto" w:fill="auto"/>
        <w:bidi w:val="0"/>
        <w:spacing w:before="0" w:after="0" w:line="240" w:lineRule="auto"/>
        <w:ind w:left="9072" w:right="0" w:firstLine="0"/>
        <w:jc w:val="left"/>
      </w:pPr>
      <w:r>
        <w:rPr>
          <w:color w:val="000000"/>
          <w:spacing w:val="0"/>
          <w:w w:val="100"/>
          <w:position w:val="0"/>
        </w:rPr>
        <w:t>单位：元</w:t>
      </w:r>
    </w:p>
    <w:tbl>
      <w:tblPr>
        <w:tblOverlap w:val="never"/>
        <w:jc w:val="center"/>
        <w:tblLayout w:type="fixed"/>
      </w:tblPr>
      <w:tblGrid>
        <w:gridCol w:w="1642"/>
        <w:gridCol w:w="1061"/>
        <w:gridCol w:w="758"/>
        <w:gridCol w:w="658"/>
        <w:gridCol w:w="461"/>
        <w:gridCol w:w="974"/>
        <w:gridCol w:w="1258"/>
        <w:gridCol w:w="763"/>
        <w:gridCol w:w="1224"/>
        <w:gridCol w:w="706"/>
        <w:gridCol w:w="1142"/>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124,802.95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124,802.95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112,605,865.95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27,375,542.08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85,230,323.87</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124,802.95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124,802.95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112,605,865.95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27,375,542.08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85,230,323.87</w:t>
            </w:r>
          </w:p>
        </w:tc>
      </w:tr>
    </w:tbl>
    <w:p>
      <w:pPr>
        <w:pStyle w:val="Style30"/>
        <w:keepNext w:val="0"/>
        <w:keepLines w:val="0"/>
        <w:widowControl w:val="0"/>
        <w:shd w:val="clear" w:color="auto" w:fill="auto"/>
        <w:bidi w:val="0"/>
        <w:spacing w:before="0" w:after="0" w:line="240" w:lineRule="auto"/>
        <w:ind w:left="240" w:right="0" w:firstLine="0"/>
        <w:jc w:val="left"/>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0" w:line="278" w:lineRule="exact"/>
        <w:ind w:left="2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组合中，按账龄分析法计提坏账准备的其他应收款：</w:t>
      </w:r>
    </w:p>
    <w:p>
      <w:pPr>
        <w:pStyle w:val="Style32"/>
        <w:keepNext w:val="0"/>
        <w:keepLines w:val="0"/>
        <w:widowControl w:val="0"/>
        <w:shd w:val="clear" w:color="auto" w:fill="auto"/>
        <w:bidi w:val="0"/>
        <w:spacing w:before="0" w:after="0" w:line="278" w:lineRule="exact"/>
        <w:ind w:left="2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278" w:lineRule="exact"/>
        <w:ind w:left="24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0" w:line="278" w:lineRule="exact"/>
        <w:ind w:left="2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组合中，采用其他方法计提坏账准备的其他应收款：</w:t>
      </w:r>
    </w:p>
    <w:p>
      <w:pPr>
        <w:pStyle w:val="Style32"/>
        <w:keepNext w:val="0"/>
        <w:keepLines w:val="0"/>
        <w:widowControl w:val="0"/>
        <w:shd w:val="clear" w:color="auto" w:fill="auto"/>
        <w:bidi w:val="0"/>
        <w:spacing w:before="0" w:after="320" w:line="278" w:lineRule="exact"/>
        <w:ind w:left="2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733" w:val="left"/>
        </w:tabs>
        <w:bidi w:val="0"/>
        <w:spacing w:before="0" w:after="220" w:line="240" w:lineRule="auto"/>
        <w:ind w:left="24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30"/>
      <w:bookmarkEnd w:id="1531"/>
      <w:bookmarkEnd w:id="1533"/>
    </w:p>
    <w:p>
      <w:pPr>
        <w:pStyle w:val="Style32"/>
        <w:keepNext w:val="0"/>
        <w:keepLines w:val="0"/>
        <w:widowControl w:val="0"/>
        <w:shd w:val="clear" w:color="auto" w:fill="auto"/>
        <w:bidi w:val="0"/>
        <w:spacing w:before="0" w:after="320" w:line="278" w:lineRule="exact"/>
        <w:ind w:left="0" w:right="0" w:firstLine="5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27,039,733.83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6"/>
        <w:keepNext/>
        <w:keepLines/>
        <w:widowControl w:val="0"/>
        <w:shd w:val="clear" w:color="auto" w:fill="auto"/>
        <w:tabs>
          <w:tab w:pos="733" w:val="left"/>
        </w:tabs>
        <w:bidi w:val="0"/>
        <w:spacing w:before="0" w:after="220" w:line="240" w:lineRule="auto"/>
        <w:ind w:left="0" w:right="0" w:firstLine="24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534"/>
      <w:bookmarkEnd w:id="1535"/>
      <w:bookmarkEnd w:id="1537"/>
    </w:p>
    <w:p>
      <w:pPr>
        <w:pStyle w:val="Style32"/>
        <w:keepNext w:val="0"/>
        <w:keepLines w:val="0"/>
        <w:widowControl w:val="0"/>
        <w:shd w:val="clear" w:color="auto" w:fill="auto"/>
        <w:bidi w:val="0"/>
        <w:spacing w:before="0" w:after="220" w:line="278" w:lineRule="exact"/>
        <w:ind w:left="0" w:right="740" w:firstLine="0"/>
        <w:jc w:val="right"/>
      </w:pPr>
      <w:r>
        <w:rPr>
          <w:color w:val="000000"/>
          <w:spacing w:val="0"/>
          <w:w w:val="100"/>
          <w:position w:val="0"/>
        </w:rPr>
        <w:t>单位： 元</w:t>
      </w:r>
      <w:r>
        <w:br w:type="page"/>
      </w:r>
    </w:p>
    <w:tbl>
      <w:tblPr>
        <w:tblOverlap w:val="never"/>
        <w:jc w:val="center"/>
        <w:tblLayout w:type="fixed"/>
      </w:tblPr>
      <w:tblGrid>
        <w:gridCol w:w="4987"/>
        <w:gridCol w:w="459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335,808.25</w:t>
            </w:r>
          </w:p>
        </w:tc>
      </w:tr>
    </w:tbl>
    <w:p>
      <w:pPr>
        <w:widowControl w:val="0"/>
        <w:spacing w:after="539" w:line="1" w:lineRule="exact"/>
      </w:pPr>
    </w:p>
    <w:p>
      <w:pPr>
        <w:pStyle w:val="Style36"/>
        <w:keepNext/>
        <w:keepLines/>
        <w:widowControl w:val="0"/>
        <w:numPr>
          <w:ilvl w:val="0"/>
          <w:numId w:val="41"/>
        </w:numPr>
        <w:shd w:val="clear" w:color="auto" w:fill="auto"/>
        <w:bidi w:val="0"/>
        <w:spacing w:before="0" w:line="240" w:lineRule="auto"/>
        <w:ind w:left="0" w:right="0" w:firstLine="36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其他应收款按款项性质分类情况</w:t>
      </w:r>
      <w:bookmarkEnd w:id="1538"/>
      <w:bookmarkEnd w:id="1539"/>
      <w:bookmarkEnd w:id="15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10"/>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175,576.80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112,430,289.15</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124,802.95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112,605,865.95</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24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542"/>
      <w:bookmarkEnd w:id="1543"/>
      <w:bookmarkEnd w:id="1544"/>
    </w:p>
    <w:p>
      <w:pPr>
        <w:pStyle w:val="Style30"/>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4,015,471,500.00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4,015,471,500.00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388,650,000.00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106,470,000.00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282,180,000.00</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4,015,471,500.00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4,015,471,500.00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388,650,000.00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106,470,000.00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282,180,000.00</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36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45"/>
      <w:bookmarkEnd w:id="1546"/>
      <w:bookmarkEnd w:id="1547"/>
    </w:p>
    <w:p>
      <w:pPr>
        <w:pStyle w:val="Style30"/>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1450"/>
        <w:gridCol w:w="1334"/>
        <w:gridCol w:w="1339"/>
        <w:gridCol w:w="1334"/>
        <w:gridCol w:w="1334"/>
        <w:gridCol w:w="1387"/>
        <w:gridCol w:w="1402"/>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减值准备期末余 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深圳市深信西部 房地产有限公司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118,300,000.00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118,300,000.00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深圳市泰丰科技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深圳市华宝(集 团)饲料有限公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深圳市深信泰丰 投资发展有限公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pPr>
            <w:r>
              <w:rPr>
                <w:color w:val="000000"/>
                <w:spacing w:val="0"/>
                <w:w w:val="100"/>
                <w:position w:val="0"/>
              </w:rPr>
              <w:t>深圳市龙岗区华 宝经济发展有限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神州控股下属</w:t>
            </w:r>
            <w:r>
              <w:rPr>
                <w:rFonts w:ascii="Times New Roman" w:eastAsia="Times New Roman" w:hAnsi="Times New Roman" w:cs="Times New Roman"/>
                <w:color w:val="000000"/>
                <w:spacing w:val="0"/>
                <w:w w:val="100"/>
                <w:position w:val="0"/>
              </w:rPr>
              <w:t>IT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分销业务公司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388,650,000.00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4,015,471,500.00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388,650,000.00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4,015,471,500.00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24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color w:val="000000"/>
          <w:spacing w:val="0"/>
          <w:w w:val="100"/>
          <w:position w:val="0"/>
        </w:rPr>
        <w:t>、投资收益</w:t>
      </w:r>
      <w:bookmarkEnd w:id="1548"/>
      <w:bookmarkEnd w:id="1549"/>
      <w:bookmarkEnd w:id="1551"/>
    </w:p>
    <w:p>
      <w:pPr>
        <w:pStyle w:val="Style30"/>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3326"/>
        <w:gridCol w:w="3058"/>
        <w:gridCol w:w="3197"/>
      </w:tblGrid>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26"/>
        <w:gridCol w:w="3058"/>
        <w:gridCol w:w="3197"/>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-25,574,100.00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6,889,834.64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15,001,000.24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1,422,478.80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-17,261,786.56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15,001,000.24</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22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color w:val="000000"/>
          <w:spacing w:val="0"/>
          <w:w w:val="100"/>
          <w:position w:val="0"/>
        </w:rPr>
        <w:t>、其他</w:t>
      </w:r>
      <w:bookmarkEnd w:id="1552"/>
      <w:bookmarkEnd w:id="1553"/>
      <w:bookmarkEnd w:id="1555"/>
    </w:p>
    <w:p>
      <w:pPr>
        <w:pStyle w:val="Style28"/>
        <w:keepNext/>
        <w:keepLines/>
        <w:widowControl w:val="0"/>
        <w:shd w:val="clear" w:color="auto" w:fill="auto"/>
        <w:bidi w:val="0"/>
        <w:spacing w:before="0" w:after="300" w:line="240" w:lineRule="auto"/>
        <w:ind w:left="0" w:right="0" w:firstLine="220"/>
        <w:jc w:val="left"/>
      </w:pPr>
      <w:bookmarkStart w:id="1556" w:name="bookmark1556"/>
      <w:bookmarkStart w:id="1557" w:name="bookmark1557"/>
      <w:bookmarkStart w:id="1558" w:name="bookmark1558"/>
      <w:r>
        <w:rPr>
          <w:color w:val="000000"/>
          <w:spacing w:val="0"/>
          <w:w w:val="100"/>
          <w:position w:val="0"/>
        </w:rPr>
        <w:t>十八、补充资料</w:t>
      </w:r>
      <w:bookmarkEnd w:id="1556"/>
      <w:bookmarkEnd w:id="1557"/>
      <w:bookmarkEnd w:id="1558"/>
    </w:p>
    <w:p>
      <w:pPr>
        <w:pStyle w:val="Style36"/>
        <w:keepNext/>
        <w:keepLines/>
        <w:widowControl w:val="0"/>
        <w:shd w:val="clear" w:color="auto" w:fill="auto"/>
        <w:bidi w:val="0"/>
        <w:spacing w:before="0" w:after="300" w:line="240" w:lineRule="auto"/>
        <w:ind w:left="0" w:right="0" w:firstLine="22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59"/>
      <w:bookmarkEnd w:id="1560"/>
      <w:bookmarkEnd w:id="1561"/>
    </w:p>
    <w:p>
      <w:pPr>
        <w:pStyle w:val="Style32"/>
        <w:keepNext w:val="0"/>
        <w:keepLines w:val="0"/>
        <w:widowControl w:val="0"/>
        <w:shd w:val="clear" w:color="auto" w:fill="auto"/>
        <w:bidi w:val="0"/>
        <w:spacing w:before="0" w:after="40" w:line="240" w:lineRule="auto"/>
        <w:ind w:left="0" w:right="0" w:firstLine="2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单位：元</w:t>
      </w:r>
    </w:p>
    <w:tbl>
      <w:tblPr>
        <w:tblOverlap w:val="never"/>
        <w:jc w:val="center"/>
        <w:tblLayout w:type="fixed"/>
      </w:tblPr>
      <w:tblGrid>
        <w:gridCol w:w="3326"/>
        <w:gridCol w:w="3058"/>
        <w:gridCol w:w="3197"/>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-769,599.58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40,879,234.50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left"/>
            </w:pPr>
            <w:r>
              <w:rPr>
                <w:color w:val="000000"/>
                <w:spacing w:val="0"/>
                <w:w w:val="100"/>
                <w:position w:val="0"/>
              </w:rPr>
              <w:t>详见第九节财务报告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 表注释</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52</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，除</w:t>
            </w:r>
            <w:r>
              <w:rPr>
                <w:rFonts w:ascii="Times New Roman" w:eastAsia="Times New Roman" w:hAnsi="Times New Roman" w:cs="Times New Roman"/>
                <w:color w:val="000000"/>
                <w:spacing w:val="0"/>
                <w:w w:val="100"/>
                <w:position w:val="0"/>
              </w:rPr>
              <w:t>“</w:t>
            </w:r>
            <w:r>
              <w:rPr>
                <w:color w:val="000000"/>
                <w:spacing w:val="0"/>
                <w:w w:val="100"/>
                <w:position w:val="0"/>
              </w:rPr>
              <w:t>软件 退税、上海市长宁财政局奖励</w:t>
            </w:r>
            <w:r>
              <w:rPr>
                <w:rFonts w:ascii="Times New Roman" w:eastAsia="Times New Roman" w:hAnsi="Times New Roman" w:cs="Times New Roman"/>
                <w:color w:val="000000"/>
                <w:spacing w:val="0"/>
                <w:w w:val="100"/>
                <w:position w:val="0"/>
              </w:rPr>
              <w:t>”</w:t>
            </w:r>
            <w:r>
              <w:rPr>
                <w:color w:val="000000"/>
                <w:spacing w:val="0"/>
                <w:w w:val="100"/>
                <w:position w:val="0"/>
              </w:rPr>
              <w:t>外，均 为非经常性损益。</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5,239,195.51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6,889,834.64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-9,653,356.47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主要为公司在报告期内处置子公司安置 员工给予的经济补偿及整合费用</w:t>
            </w:r>
          </w:p>
        </w:tc>
      </w:tr>
      <w:tr>
        <w:trPr>
          <w:trHeight w:val="12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1,422,478.80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-16,414,124.10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股份增发项目相关费用</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解除劳动合同给予员工补偿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200,312,867.75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为公司报告期内处置五家子公司获取的 收益。</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11,632,112.69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214,273,967.37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60" w:line="233" w:lineRule="exact"/>
        <w:ind w:left="0" w:right="0" w:firstLine="0"/>
        <w:jc w:val="distribute"/>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30"/>
        <w:keepNext w:val="0"/>
        <w:keepLines w:val="0"/>
        <w:widowControl w:val="0"/>
        <w:shd w:val="clear" w:color="auto" w:fill="auto"/>
        <w:bidi w:val="0"/>
        <w:spacing w:before="0" w:after="0" w:line="271" w:lineRule="auto"/>
        <w:ind w:left="0" w:right="0" w:firstLine="0"/>
        <w:jc w:val="distribute"/>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299" w:line="1" w:lineRule="exact"/>
      </w:pPr>
    </w:p>
    <w:p>
      <w:pPr>
        <w:pStyle w:val="Style36"/>
        <w:keepNext/>
        <w:keepLines/>
        <w:widowControl w:val="0"/>
        <w:shd w:val="clear" w:color="auto" w:fill="auto"/>
        <w:bidi w:val="0"/>
        <w:spacing w:before="0" w:after="300" w:line="240" w:lineRule="auto"/>
        <w:ind w:left="0" w:right="0" w:firstLine="220"/>
        <w:jc w:val="left"/>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62"/>
      <w:bookmarkEnd w:id="1563"/>
      <w:bookmarkEnd w:id="1564"/>
    </w:p>
    <w:tbl>
      <w:tblPr>
        <w:tblOverlap w:val="never"/>
        <w:jc w:val="center"/>
        <w:tblLayout w:type="fixed"/>
      </w:tblPr>
      <w:tblGrid>
        <w:gridCol w:w="2664"/>
        <w:gridCol w:w="3082"/>
        <w:gridCol w:w="1910"/>
        <w:gridCol w:w="1925"/>
      </w:tblGrid>
      <w:tr>
        <w:trPr>
          <w:trHeight w:val="33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30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bl>
    <w:tbl>
      <w:tblPr>
        <w:tblOverlap w:val="never"/>
        <w:jc w:val="center"/>
        <w:tblLayout w:type="fixed"/>
      </w:tblPr>
      <w:tblGrid>
        <w:gridCol w:w="2664"/>
        <w:gridCol w:w="3082"/>
        <w:gridCol w:w="1910"/>
        <w:gridCol w:w="1925"/>
      </w:tblGrid>
      <w:tr>
        <w:trPr>
          <w:trHeight w:val="298"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94"/>
        <w:keepNext w:val="0"/>
        <w:keepLines w:val="0"/>
        <w:widowControl w:val="0"/>
        <w:shd w:val="clear" w:color="auto" w:fill="auto"/>
        <w:tabs>
          <w:tab w:pos="638" w:val="left"/>
        </w:tabs>
        <w:bidi w:val="0"/>
        <w:spacing w:before="0" w:line="288" w:lineRule="exact"/>
        <w:ind w:left="240" w:right="0"/>
        <w:jc w:val="left"/>
        <w:rPr>
          <w:sz w:val="20"/>
          <w:szCs w:val="20"/>
        </w:rPr>
      </w:pPr>
      <w:bookmarkStart w:id="1565" w:name="bookmark1565"/>
      <w:r>
        <w:rPr>
          <w:rFonts w:ascii="Times New Roman" w:eastAsia="Times New Roman" w:hAnsi="Times New Roman" w:cs="Times New Roman"/>
          <w:b/>
          <w:bCs/>
          <w:color w:val="000000"/>
          <w:spacing w:val="0"/>
          <w:w w:val="100"/>
          <w:position w:val="0"/>
          <w:sz w:val="20"/>
          <w:szCs w:val="20"/>
        </w:rPr>
        <w:t>3</w:t>
      </w:r>
      <w:bookmarkEnd w:id="1565"/>
      <w:r>
        <w:rPr>
          <w:b/>
          <w:bCs/>
          <w:color w:val="000000"/>
          <w:spacing w:val="0"/>
          <w:w w:val="100"/>
          <w:position w:val="0"/>
          <w:sz w:val="20"/>
          <w:szCs w:val="20"/>
        </w:rPr>
        <w:t>、</w:t>
        <w:tab/>
        <w:t>境内外会计准则下会计数据差异</w:t>
      </w:r>
    </w:p>
    <w:p>
      <w:pPr>
        <w:pStyle w:val="Style94"/>
        <w:keepNext w:val="0"/>
        <w:keepLines w:val="0"/>
        <w:widowControl w:val="0"/>
        <w:numPr>
          <w:ilvl w:val="0"/>
          <w:numId w:val="43"/>
        </w:numPr>
        <w:shd w:val="clear" w:color="auto" w:fill="auto"/>
        <w:tabs>
          <w:tab w:pos="753" w:val="left"/>
        </w:tabs>
        <w:bidi w:val="0"/>
        <w:spacing w:before="0" w:line="288" w:lineRule="exact"/>
        <w:ind w:left="240" w:right="0"/>
        <w:jc w:val="left"/>
        <w:rPr>
          <w:sz w:val="20"/>
          <w:szCs w:val="20"/>
        </w:rPr>
      </w:pPr>
      <w:bookmarkStart w:id="1566" w:name="bookmark1566"/>
      <w:bookmarkEnd w:id="1566"/>
      <w:r>
        <w:rPr>
          <w:b/>
          <w:bCs/>
          <w:color w:val="000000"/>
          <w:spacing w:val="0"/>
          <w:w w:val="100"/>
          <w:position w:val="0"/>
          <w:sz w:val="20"/>
          <w:szCs w:val="20"/>
        </w:rPr>
        <w:t>同时按照国际会计准则与按中国会计准则披露的财务报告中净利润和净资产差异情况</w:t>
      </w:r>
    </w:p>
    <w:p>
      <w:pPr>
        <w:pStyle w:val="Style32"/>
        <w:keepNext w:val="0"/>
        <w:keepLines w:val="0"/>
        <w:widowControl w:val="0"/>
        <w:shd w:val="clear" w:color="auto" w:fill="auto"/>
        <w:bidi w:val="0"/>
        <w:spacing w:before="0" w:after="280" w:line="240" w:lineRule="auto"/>
        <w:ind w:left="24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4"/>
        <w:keepNext w:val="0"/>
        <w:keepLines w:val="0"/>
        <w:widowControl w:val="0"/>
        <w:numPr>
          <w:ilvl w:val="0"/>
          <w:numId w:val="43"/>
        </w:numPr>
        <w:shd w:val="clear" w:color="auto" w:fill="auto"/>
        <w:tabs>
          <w:tab w:pos="753" w:val="left"/>
        </w:tabs>
        <w:bidi w:val="0"/>
        <w:spacing w:before="0" w:line="288" w:lineRule="exact"/>
        <w:ind w:left="240" w:right="0"/>
        <w:jc w:val="left"/>
        <w:rPr>
          <w:sz w:val="20"/>
          <w:szCs w:val="20"/>
        </w:rPr>
      </w:pPr>
      <w:bookmarkStart w:id="1567" w:name="bookmark1567"/>
      <w:bookmarkEnd w:id="1567"/>
      <w:r>
        <w:rPr>
          <w:b/>
          <w:bCs/>
          <w:color w:val="000000"/>
          <w:spacing w:val="0"/>
          <w:w w:val="100"/>
          <w:position w:val="0"/>
          <w:sz w:val="20"/>
          <w:szCs w:val="20"/>
        </w:rPr>
        <w:t>同时按照境外会计准则与按中国会计准则披露的财务报告中净利润和净资产差异情况</w:t>
      </w:r>
    </w:p>
    <w:p>
      <w:pPr>
        <w:pStyle w:val="Style32"/>
        <w:keepNext w:val="0"/>
        <w:keepLines w:val="0"/>
        <w:widowControl w:val="0"/>
        <w:shd w:val="clear" w:color="auto" w:fill="auto"/>
        <w:bidi w:val="0"/>
        <w:spacing w:before="0" w:after="280" w:line="240" w:lineRule="auto"/>
        <w:ind w:left="24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4"/>
        <w:keepNext w:val="0"/>
        <w:keepLines w:val="0"/>
        <w:widowControl w:val="0"/>
        <w:numPr>
          <w:ilvl w:val="0"/>
          <w:numId w:val="43"/>
        </w:numPr>
        <w:shd w:val="clear" w:color="auto" w:fill="auto"/>
        <w:bidi w:val="0"/>
        <w:spacing w:before="0" w:line="288" w:lineRule="exact"/>
        <w:ind w:left="240" w:right="0"/>
        <w:jc w:val="left"/>
        <w:rPr>
          <w:sz w:val="20"/>
          <w:szCs w:val="20"/>
        </w:rPr>
      </w:pPr>
      <w:bookmarkStart w:id="1568" w:name="bookmark1568"/>
      <w:bookmarkEnd w:id="1568"/>
      <w:r>
        <w:rPr>
          <w:b/>
          <w:bCs/>
          <w:color w:val="000000"/>
          <w:spacing w:val="0"/>
          <w:w w:val="100"/>
          <w:position w:val="0"/>
          <w:sz w:val="20"/>
          <w:szCs w:val="20"/>
        </w:rPr>
        <w:t xml:space="preserve"> 境内外会计准则下会计数据差异原因说明，对已经境外审计机构审计的数据进行差异调节的，应注 明该境外机构的名称</w:t>
      </w:r>
    </w:p>
    <w:p>
      <w:pPr>
        <w:pStyle w:val="Style94"/>
        <w:keepNext w:val="0"/>
        <w:keepLines w:val="0"/>
        <w:widowControl w:val="0"/>
        <w:shd w:val="clear" w:color="auto" w:fill="auto"/>
        <w:tabs>
          <w:tab w:pos="638" w:val="left"/>
        </w:tabs>
        <w:bidi w:val="0"/>
        <w:spacing w:before="0" w:line="288" w:lineRule="exact"/>
        <w:ind w:left="240" w:right="0"/>
        <w:jc w:val="left"/>
        <w:rPr>
          <w:sz w:val="20"/>
          <w:szCs w:val="20"/>
        </w:rPr>
        <w:sectPr>
          <w:headerReference w:type="default" r:id="rId41"/>
          <w:footerReference w:type="default" r:id="rId42"/>
          <w:footnotePr>
            <w:pos w:val="pageBottom"/>
            <w:numFmt w:val="decimal"/>
            <w:numRestart w:val="continuous"/>
          </w:footnotePr>
          <w:pgSz w:w="11900" w:h="16840"/>
          <w:pgMar w:top="1383" w:right="572" w:bottom="1441" w:left="681" w:header="0" w:footer="3" w:gutter="0"/>
          <w:cols w:space="720"/>
          <w:noEndnote/>
          <w:rtlGutter w:val="0"/>
          <w:docGrid w:linePitch="360"/>
        </w:sectPr>
      </w:pPr>
      <w:bookmarkStart w:id="1569" w:name="bookmark1569"/>
      <w:r>
        <w:rPr>
          <w:rFonts w:ascii="Times New Roman" w:eastAsia="Times New Roman" w:hAnsi="Times New Roman" w:cs="Times New Roman"/>
          <w:b/>
          <w:bCs/>
          <w:color w:val="000000"/>
          <w:spacing w:val="0"/>
          <w:w w:val="100"/>
          <w:position w:val="0"/>
          <w:sz w:val="20"/>
          <w:szCs w:val="20"/>
        </w:rPr>
        <w:t>4</w:t>
      </w:r>
      <w:bookmarkEnd w:id="1569"/>
      <w:r>
        <w:rPr>
          <w:b/>
          <w:bCs/>
          <w:color w:val="000000"/>
          <w:spacing w:val="0"/>
          <w:w w:val="100"/>
          <w:position w:val="0"/>
          <w:sz w:val="20"/>
          <w:szCs w:val="20"/>
        </w:rPr>
        <w:t>、</w:t>
        <w:tab/>
        <w:t>其他</w:t>
      </w:r>
    </w:p>
    <w:p>
      <w:pPr>
        <w:pStyle w:val="Style12"/>
        <w:keepNext/>
        <w:keepLines/>
        <w:widowControl w:val="0"/>
        <w:shd w:val="clear" w:color="auto" w:fill="auto"/>
        <w:bidi w:val="0"/>
        <w:spacing w:before="0" w:after="980" w:line="240" w:lineRule="auto"/>
        <w:ind w:left="0" w:right="0" w:firstLine="0"/>
        <w:jc w:val="center"/>
      </w:pPr>
      <w:bookmarkStart w:id="1570" w:name="bookmark1570"/>
      <w:bookmarkStart w:id="1571" w:name="bookmark1571"/>
      <w:bookmarkStart w:id="1572" w:name="bookmark1572"/>
      <w:r>
        <w:rPr>
          <w:color w:val="000000"/>
          <w:spacing w:val="0"/>
          <w:w w:val="100"/>
          <w:position w:val="0"/>
        </w:rPr>
        <w:t>第十二节备查文件目录</w:t>
      </w:r>
      <w:bookmarkEnd w:id="1570"/>
      <w:bookmarkEnd w:id="1571"/>
      <w:bookmarkEnd w:id="1572"/>
    </w:p>
    <w:p>
      <w:pPr>
        <w:pStyle w:val="Style94"/>
        <w:keepNext w:val="0"/>
        <w:keepLines w:val="0"/>
        <w:widowControl w:val="0"/>
        <w:shd w:val="clear" w:color="auto" w:fill="auto"/>
        <w:tabs>
          <w:tab w:pos="699" w:val="left"/>
        </w:tabs>
        <w:bidi w:val="0"/>
        <w:spacing w:before="0" w:after="160" w:line="240" w:lineRule="auto"/>
        <w:ind w:left="0" w:right="0" w:firstLine="240"/>
        <w:jc w:val="left"/>
      </w:pPr>
      <w:bookmarkStart w:id="1573" w:name="bookmark1573"/>
      <w:bookmarkStart w:id="1574" w:name="bookmark1574"/>
      <w:r>
        <w:rPr>
          <w:color w:val="000000"/>
          <w:spacing w:val="0"/>
          <w:w w:val="100"/>
          <w:position w:val="0"/>
        </w:rPr>
        <w:t>一</w:t>
      </w:r>
      <w:bookmarkEnd w:id="1574"/>
      <w:r>
        <w:rPr>
          <w:color w:val="000000"/>
          <w:spacing w:val="0"/>
          <w:w w:val="100"/>
          <w:position w:val="0"/>
        </w:rPr>
        <w:t>、</w:t>
        <w:tab/>
        <w:t>载有公司负责人、主管会计工作负责人、会计机构负责人签名并盖章的财务报表；</w:t>
      </w:r>
      <w:bookmarkEnd w:id="1573"/>
    </w:p>
    <w:p>
      <w:pPr>
        <w:pStyle w:val="Style94"/>
        <w:keepNext w:val="0"/>
        <w:keepLines w:val="0"/>
        <w:widowControl w:val="0"/>
        <w:shd w:val="clear" w:color="auto" w:fill="auto"/>
        <w:tabs>
          <w:tab w:pos="699" w:val="left"/>
        </w:tabs>
        <w:bidi w:val="0"/>
        <w:spacing w:before="0" w:after="160" w:line="240" w:lineRule="auto"/>
        <w:ind w:left="0" w:right="0" w:firstLine="240"/>
        <w:jc w:val="left"/>
      </w:pPr>
      <w:bookmarkStart w:id="1575" w:name="bookmark1575"/>
      <w:r>
        <w:rPr>
          <w:color w:val="000000"/>
          <w:spacing w:val="0"/>
          <w:w w:val="100"/>
          <w:position w:val="0"/>
        </w:rPr>
        <w:t>二</w:t>
      </w:r>
      <w:bookmarkEnd w:id="1575"/>
      <w:r>
        <w:rPr>
          <w:color w:val="000000"/>
          <w:spacing w:val="0"/>
          <w:w w:val="100"/>
          <w:position w:val="0"/>
        </w:rPr>
        <w:t>、</w:t>
        <w:tab/>
        <w:t>载有信永中和会计师事务所（特殊普通合伙）盖章、注册会计师签字并盖章的审计报告原件；</w:t>
      </w:r>
    </w:p>
    <w:p>
      <w:pPr>
        <w:pStyle w:val="Style94"/>
        <w:keepNext w:val="0"/>
        <w:keepLines w:val="0"/>
        <w:widowControl w:val="0"/>
        <w:shd w:val="clear" w:color="auto" w:fill="auto"/>
        <w:tabs>
          <w:tab w:pos="704" w:val="left"/>
        </w:tabs>
        <w:bidi w:val="0"/>
        <w:spacing w:before="0" w:after="160" w:line="240" w:lineRule="auto"/>
        <w:ind w:left="0" w:right="0" w:firstLine="240"/>
        <w:jc w:val="left"/>
      </w:pPr>
      <w:bookmarkStart w:id="1576" w:name="bookmark1576"/>
      <w:r>
        <w:rPr>
          <w:color w:val="000000"/>
          <w:spacing w:val="0"/>
          <w:w w:val="100"/>
          <w:position w:val="0"/>
        </w:rPr>
        <w:t>三</w:t>
      </w:r>
      <w:bookmarkEnd w:id="1576"/>
      <w:r>
        <w:rPr>
          <w:color w:val="000000"/>
          <w:spacing w:val="0"/>
          <w:w w:val="100"/>
          <w:position w:val="0"/>
        </w:rPr>
        <w:t>、</w:t>
        <w:tab/>
        <w:t>报告期内在中国证监会指定报纸上公开披露过的所有公司文件的正本及公告的原稿；</w:t>
      </w:r>
    </w:p>
    <w:p>
      <w:pPr>
        <w:pStyle w:val="Style94"/>
        <w:keepNext w:val="0"/>
        <w:keepLines w:val="0"/>
        <w:widowControl w:val="0"/>
        <w:shd w:val="clear" w:color="auto" w:fill="auto"/>
        <w:tabs>
          <w:tab w:pos="704" w:val="left"/>
        </w:tabs>
        <w:bidi w:val="0"/>
        <w:spacing w:before="0" w:after="1200" w:line="240" w:lineRule="auto"/>
        <w:ind w:left="0" w:right="0" w:firstLine="240"/>
        <w:jc w:val="left"/>
      </w:pPr>
      <w:bookmarkStart w:id="1577" w:name="bookmark1577"/>
      <w:r>
        <w:rPr>
          <w:color w:val="000000"/>
          <w:spacing w:val="0"/>
          <w:w w:val="100"/>
          <w:position w:val="0"/>
        </w:rPr>
        <w:t>四</w:t>
      </w:r>
      <w:bookmarkEnd w:id="1577"/>
      <w:r>
        <w:rPr>
          <w:color w:val="000000"/>
          <w:spacing w:val="0"/>
          <w:w w:val="100"/>
          <w:position w:val="0"/>
        </w:rPr>
        <w:t>、</w:t>
        <w:tab/>
        <w:t>载有董事长签名的年度报告文本。</w:t>
      </w:r>
    </w:p>
    <w:p>
      <w:pPr>
        <w:pStyle w:val="Style94"/>
        <w:keepNext w:val="0"/>
        <w:keepLines w:val="0"/>
        <w:widowControl w:val="0"/>
        <w:shd w:val="clear" w:color="auto" w:fill="auto"/>
        <w:bidi w:val="0"/>
        <w:spacing w:before="0" w:after="160" w:line="240" w:lineRule="auto"/>
        <w:ind w:left="0" w:right="740" w:firstLine="0"/>
        <w:jc w:val="right"/>
      </w:pPr>
      <w:r>
        <w:rPr>
          <w:color w:val="000000"/>
          <w:spacing w:val="0"/>
          <w:w w:val="100"/>
          <w:position w:val="0"/>
        </w:rPr>
        <w:t>神州数码集团股份有限公司董事会</w:t>
      </w:r>
    </w:p>
    <w:p>
      <w:pPr>
        <w:pStyle w:val="Style94"/>
        <w:keepNext w:val="0"/>
        <w:keepLines w:val="0"/>
        <w:widowControl w:val="0"/>
        <w:shd w:val="clear" w:color="auto" w:fill="auto"/>
        <w:bidi w:val="0"/>
        <w:spacing w:before="0" w:after="160" w:line="240" w:lineRule="auto"/>
        <w:ind w:left="0" w:right="740" w:firstLine="0"/>
        <w:jc w:val="right"/>
      </w:pPr>
      <w:r>
        <w:rPr>
          <w:color w:val="000000"/>
          <w:spacing w:val="0"/>
          <w:w w:val="100"/>
          <w:position w:val="0"/>
        </w:rPr>
        <w:t>董事长：郭为</w:t>
      </w:r>
    </w:p>
    <w:p>
      <w:pPr>
        <w:pStyle w:val="Style94"/>
        <w:keepNext w:val="0"/>
        <w:keepLines w:val="0"/>
        <w:widowControl w:val="0"/>
        <w:shd w:val="clear" w:color="auto" w:fill="auto"/>
        <w:bidi w:val="0"/>
        <w:spacing w:before="0" w:after="160" w:line="240" w:lineRule="auto"/>
        <w:ind w:left="0" w:right="740" w:firstLine="0"/>
        <w:jc w:val="right"/>
      </w:pPr>
      <w:r>
        <w:rPr>
          <w:color w:val="000000"/>
          <w:spacing w:val="0"/>
          <w:w w:val="100"/>
          <w:position w:val="0"/>
        </w:rPr>
        <w:t>二零一七年三月二十八日</w:t>
      </w:r>
    </w:p>
    <w:sectPr>
      <w:footnotePr>
        <w:pos w:val="pageBottom"/>
        <w:numFmt w:val="decimal"/>
        <w:numRestart w:val="continuous"/>
      </w:footnotePr>
      <w:pgSz w:w="11900" w:h="16840"/>
      <w:pgMar w:top="1474" w:right="386" w:bottom="1474" w:left="8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6693535</wp:posOffset>
              </wp:positionH>
              <wp:positionV relativeFrom="page">
                <wp:posOffset>9958070</wp:posOffset>
              </wp:positionV>
              <wp:extent cx="149225" cy="79375"/>
              <wp:wrapNone/>
              <wp:docPr id="97" name="Shape 9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3" type="#_x0000_t202" style="position:absolute;margin-left:527.04999999999995pt;margin-top:784.10000000000002pt;width:11.75pt;height:6.25pt;z-index:-18874402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9620250</wp:posOffset>
              </wp:positionH>
              <wp:positionV relativeFrom="page">
                <wp:posOffset>6821805</wp:posOffset>
              </wp:positionV>
              <wp:extent cx="146050" cy="79375"/>
              <wp:wrapNone/>
              <wp:docPr id="99" name="Shape 9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5" type="#_x0000_t202" style="position:absolute;margin-left:757.5pt;margin-top:537.14999999999998pt;width:11.5pt;height:6.25pt;z-index:-1887440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6693535</wp:posOffset>
              </wp:positionH>
              <wp:positionV relativeFrom="page">
                <wp:posOffset>9958070</wp:posOffset>
              </wp:positionV>
              <wp:extent cx="149225" cy="79375"/>
              <wp:wrapNone/>
              <wp:docPr id="104" name="Shape 10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0" type="#_x0000_t202" style="position:absolute;margin-left:527.04999999999995pt;margin-top:784.10000000000002pt;width:11.75pt;height:6.25pt;z-index:-18874401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9610725</wp:posOffset>
              </wp:positionH>
              <wp:positionV relativeFrom="page">
                <wp:posOffset>6827520</wp:posOffset>
              </wp:positionV>
              <wp:extent cx="155575" cy="79375"/>
              <wp:wrapNone/>
              <wp:docPr id="109" name="Shape 1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5" type="#_x0000_t202" style="position:absolute;margin-left:756.75pt;margin-top:537.60000000000002pt;width:12.25pt;height:6.25pt;z-index:-1887440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6693535</wp:posOffset>
              </wp:positionH>
              <wp:positionV relativeFrom="page">
                <wp:posOffset>9958070</wp:posOffset>
              </wp:positionV>
              <wp:extent cx="149225" cy="79375"/>
              <wp:wrapNone/>
              <wp:docPr id="114" name="Shape 11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0" type="#_x0000_t202" style="position:absolute;margin-left:527.04999999999995pt;margin-top:784.10000000000002pt;width:11.75pt;height:6.25pt;z-index:-1887440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6693535</wp:posOffset>
              </wp:positionH>
              <wp:positionV relativeFrom="page">
                <wp:posOffset>9958070</wp:posOffset>
              </wp:positionV>
              <wp:extent cx="149225" cy="79375"/>
              <wp:wrapNone/>
              <wp:docPr id="119" name="Shape 11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5" type="#_x0000_t202" style="position:absolute;margin-left:527.04999999999995pt;margin-top:784.10000000000002pt;width:11.75pt;height:6.25pt;z-index:-18874400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6330315</wp:posOffset>
              </wp:positionH>
              <wp:positionV relativeFrom="page">
                <wp:posOffset>9664700</wp:posOffset>
              </wp:positionV>
              <wp:extent cx="502920" cy="106680"/>
              <wp:wrapNone/>
              <wp:docPr id="124" name="Shape 124"/>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0" type="#_x0000_t202" style="position:absolute;margin-left:498.44999999999999pt;margin-top:761.pt;width:39.600000000000001pt;height:8.4000000000000004pt;z-index:-1887440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6677660</wp:posOffset>
              </wp:positionH>
              <wp:positionV relativeFrom="page">
                <wp:posOffset>10173970</wp:posOffset>
              </wp:positionV>
              <wp:extent cx="158750" cy="79375"/>
              <wp:wrapNone/>
              <wp:docPr id="126" name="Shape 12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2" type="#_x0000_t202" style="position:absolute;margin-left:525.79999999999995pt;margin-top:801.10000000000002pt;width:12.5pt;height:6.25pt;z-index:-1887440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6330315</wp:posOffset>
              </wp:positionH>
              <wp:positionV relativeFrom="page">
                <wp:posOffset>9664700</wp:posOffset>
              </wp:positionV>
              <wp:extent cx="502920" cy="106680"/>
              <wp:wrapNone/>
              <wp:docPr id="131" name="Shape 131"/>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7" type="#_x0000_t202" style="position:absolute;margin-left:498.44999999999999pt;margin-top:761.pt;width:39.600000000000001pt;height:8.4000000000000004pt;z-index:-18874399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6677660</wp:posOffset>
              </wp:positionH>
              <wp:positionV relativeFrom="page">
                <wp:posOffset>10173970</wp:posOffset>
              </wp:positionV>
              <wp:extent cx="158750" cy="79375"/>
              <wp:wrapNone/>
              <wp:docPr id="133" name="Shape 13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9" type="#_x0000_t202" style="position:absolute;margin-left:525.79999999999995pt;margin-top:801.10000000000002pt;width:12.5pt;height:6.25pt;z-index:-18874399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6693535</wp:posOffset>
              </wp:positionH>
              <wp:positionV relativeFrom="page">
                <wp:posOffset>9958070</wp:posOffset>
              </wp:positionV>
              <wp:extent cx="149225" cy="79375"/>
              <wp:wrapNone/>
              <wp:docPr id="138" name="Shape 13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4" type="#_x0000_t202" style="position:absolute;margin-left:527.04999999999995pt;margin-top:784.10000000000002pt;width:11.75pt;height:6.25pt;z-index:-18874399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6729095</wp:posOffset>
              </wp:positionH>
              <wp:positionV relativeFrom="page">
                <wp:posOffset>9984740</wp:posOffset>
              </wp:positionV>
              <wp:extent cx="106680" cy="79375"/>
              <wp:wrapNone/>
              <wp:docPr id="11" name="Shape 1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29.85000000000002pt;margin-top:786.20000000000005pt;width:8.4000000000000004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9624695</wp:posOffset>
              </wp:positionH>
              <wp:positionV relativeFrom="page">
                <wp:posOffset>6822440</wp:posOffset>
              </wp:positionV>
              <wp:extent cx="109855" cy="79375"/>
              <wp:wrapNone/>
              <wp:docPr id="16" name="Shape 1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757.85000000000002pt;margin-top:537.20000000000005pt;width:8.6500000000000004pt;height:6.25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6729730</wp:posOffset>
              </wp:positionH>
              <wp:positionV relativeFrom="page">
                <wp:posOffset>9958070</wp:posOffset>
              </wp:positionV>
              <wp:extent cx="100330" cy="79375"/>
              <wp:wrapNone/>
              <wp:docPr id="21" name="Shape 2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7" type="#_x0000_t202" style="position:absolute;margin-left:529.89999999999998pt;margin-top:784.10000000000002pt;width:7.9000000000000004pt;height:6.25pt;z-index:-18874404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9700895</wp:posOffset>
              </wp:positionH>
              <wp:positionV relativeFrom="page">
                <wp:posOffset>6823075</wp:posOffset>
              </wp:positionV>
              <wp:extent cx="113030" cy="79375"/>
              <wp:wrapNone/>
              <wp:docPr id="26" name="Shape 2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2" type="#_x0000_t202" style="position:absolute;margin-left:763.85000000000002pt;margin-top:537.25pt;width:8.9000000000000004pt;height:6.25pt;z-index:-1887440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6729730</wp:posOffset>
              </wp:positionH>
              <wp:positionV relativeFrom="page">
                <wp:posOffset>9958070</wp:posOffset>
              </wp:positionV>
              <wp:extent cx="100330" cy="79375"/>
              <wp:wrapNone/>
              <wp:docPr id="31" name="Shape 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7" type="#_x0000_t202" style="position:absolute;margin-left:529.89999999999998pt;margin-top:784.10000000000002pt;width:7.9000000000000004pt;height:6.25pt;z-index:-1887440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9645015</wp:posOffset>
              </wp:positionH>
              <wp:positionV relativeFrom="page">
                <wp:posOffset>6830060</wp:posOffset>
              </wp:positionV>
              <wp:extent cx="152400" cy="79375"/>
              <wp:wrapNone/>
              <wp:docPr id="82" name="Shape 8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759.45000000000005pt;margin-top:537.79999999999995pt;width:12.pt;height:6.25pt;z-index:-1887440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6693535</wp:posOffset>
              </wp:positionH>
              <wp:positionV relativeFrom="page">
                <wp:posOffset>9958070</wp:posOffset>
              </wp:positionV>
              <wp:extent cx="149225" cy="79375"/>
              <wp:wrapNone/>
              <wp:docPr id="87" name="Shape 8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3" type="#_x0000_t202" style="position:absolute;margin-left:527.04999999999995pt;margin-top:784.10000000000002pt;width:11.75pt;height:6.25pt;z-index:-18874403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9620250</wp:posOffset>
              </wp:positionH>
              <wp:positionV relativeFrom="page">
                <wp:posOffset>6821805</wp:posOffset>
              </wp:positionV>
              <wp:extent cx="158750" cy="79375"/>
              <wp:wrapNone/>
              <wp:docPr id="92" name="Shape 9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8" type="#_x0000_t202" style="position:absolute;margin-left:757.5pt;margin-top:537.14999999999998pt;width:12.5pt;height:6.25pt;z-index:-1887440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4384675</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25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4395470</wp:posOffset>
              </wp:positionH>
              <wp:positionV relativeFrom="page">
                <wp:posOffset>534670</wp:posOffset>
              </wp:positionV>
              <wp:extent cx="2447290" cy="106680"/>
              <wp:wrapNone/>
              <wp:docPr id="94" name="Shape 9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346.10000000000002pt;margin-top:42.100000000000001pt;width:192.70000000000002pt;height:8.4000000000000004pt;z-index:-1887440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0135" cy="0"/>
              <wp:wrapNone/>
              <wp:docPr id="96" name="Shape 9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4395470</wp:posOffset>
              </wp:positionH>
              <wp:positionV relativeFrom="page">
                <wp:posOffset>534670</wp:posOffset>
              </wp:positionV>
              <wp:extent cx="2447290" cy="106680"/>
              <wp:wrapNone/>
              <wp:docPr id="101" name="Shape 10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7" type="#_x0000_t202" style="position:absolute;margin-left:346.10000000000002pt;margin-top:42.100000000000001pt;width:192.70000000000002pt;height:8.4000000000000004pt;z-index:-18874402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0135" cy="0"/>
              <wp:wrapNone/>
              <wp:docPr id="103" name="Shape 10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7319010</wp:posOffset>
              </wp:positionH>
              <wp:positionV relativeFrom="page">
                <wp:posOffset>552450</wp:posOffset>
              </wp:positionV>
              <wp:extent cx="2447290" cy="106680"/>
              <wp:wrapNone/>
              <wp:docPr id="106" name="Shape 10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2" type="#_x0000_t202" style="position:absolute;margin-left:576.30000000000007pt;margin-top:43.5pt;width:192.70000000000002pt;height:8.4000000000000004pt;z-index:-18874401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698500</wp:posOffset>
              </wp:positionV>
              <wp:extent cx="8906510" cy="0"/>
              <wp:wrapNone/>
              <wp:docPr id="108" name="Shape 10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650000000000006pt;margin-top:55.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4395470</wp:posOffset>
              </wp:positionH>
              <wp:positionV relativeFrom="page">
                <wp:posOffset>534670</wp:posOffset>
              </wp:positionV>
              <wp:extent cx="2447290" cy="106680"/>
              <wp:wrapNone/>
              <wp:docPr id="111" name="Shape 1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7" type="#_x0000_t202" style="position:absolute;margin-left:346.10000000000002pt;margin-top:42.100000000000001pt;width:192.70000000000002pt;height:8.4000000000000004pt;z-index:-1887440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0135" cy="0"/>
              <wp:wrapNone/>
              <wp:docPr id="113" name="Shape 1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4395470</wp:posOffset>
              </wp:positionH>
              <wp:positionV relativeFrom="page">
                <wp:posOffset>534670</wp:posOffset>
              </wp:positionV>
              <wp:extent cx="2447290" cy="106680"/>
              <wp:wrapNone/>
              <wp:docPr id="116" name="Shape 1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2" type="#_x0000_t202" style="position:absolute;margin-left:346.10000000000002pt;margin-top:42.100000000000001pt;width:192.70000000000002pt;height:8.4000000000000004pt;z-index:-1887440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0135" cy="0"/>
              <wp:wrapNone/>
              <wp:docPr id="118" name="Shape 1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4385945</wp:posOffset>
              </wp:positionH>
              <wp:positionV relativeFrom="page">
                <wp:posOffset>561340</wp:posOffset>
              </wp:positionV>
              <wp:extent cx="2447290" cy="106680"/>
              <wp:wrapNone/>
              <wp:docPr id="121" name="Shape 1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7" type="#_x0000_t202" style="position:absolute;margin-left:345.35000000000002pt;margin-top:44.200000000000003pt;width:192.70000000000002pt;height:8.4000000000000004pt;z-index:-18874400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0135" cy="0"/>
              <wp:wrapNone/>
              <wp:docPr id="123" name="Shape 1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4385945</wp:posOffset>
              </wp:positionH>
              <wp:positionV relativeFrom="page">
                <wp:posOffset>561340</wp:posOffset>
              </wp:positionV>
              <wp:extent cx="2447290" cy="106680"/>
              <wp:wrapNone/>
              <wp:docPr id="128" name="Shape 12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4" type="#_x0000_t202" style="position:absolute;margin-left:345.35000000000002pt;margin-top:44.200000000000003pt;width:192.70000000000002pt;height:8.4000000000000004pt;z-index:-18874399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0135" cy="0"/>
              <wp:wrapNone/>
              <wp:docPr id="130" name="Shape 1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4395470</wp:posOffset>
              </wp:positionH>
              <wp:positionV relativeFrom="page">
                <wp:posOffset>534670</wp:posOffset>
              </wp:positionV>
              <wp:extent cx="2447290" cy="106680"/>
              <wp:wrapNone/>
              <wp:docPr id="135" name="Shape 13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1" type="#_x0000_t202" style="position:absolute;margin-left:346.10000000000002pt;margin-top:42.100000000000001pt;width:192.70000000000002pt;height:8.4000000000000004pt;z-index:-18874399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0135" cy="0"/>
              <wp:wrapNone/>
              <wp:docPr id="137" name="Shape 13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4391025</wp:posOffset>
              </wp:positionH>
              <wp:positionV relativeFrom="page">
                <wp:posOffset>557530</wp:posOffset>
              </wp:positionV>
              <wp:extent cx="2447290" cy="106680"/>
              <wp:wrapNone/>
              <wp:docPr id="8" name="Shape 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4" type="#_x0000_t202" style="position:absolute;margin-left:345.75pt;margin-top:43.899999999999999pt;width:192.70000000000002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0135" cy="0"/>
              <wp:wrapNone/>
              <wp:docPr id="10" name="Shape 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7287260</wp:posOffset>
              </wp:positionH>
              <wp:positionV relativeFrom="page">
                <wp:posOffset>555625</wp:posOffset>
              </wp:positionV>
              <wp:extent cx="2447290" cy="106680"/>
              <wp:wrapNone/>
              <wp:docPr id="13" name="Shape 1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9" type="#_x0000_t202" style="position:absolute;margin-left:573.80000000000007pt;margin-top:43.75pt;width:192.70000000000002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852805</wp:posOffset>
              </wp:positionH>
              <wp:positionV relativeFrom="page">
                <wp:posOffset>704850</wp:posOffset>
              </wp:positionV>
              <wp:extent cx="8906510" cy="0"/>
              <wp:wrapNone/>
              <wp:docPr id="15" name="Shape 1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7.150000000000006pt;margin-top:55.5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4385945</wp:posOffset>
              </wp:positionH>
              <wp:positionV relativeFrom="page">
                <wp:posOffset>561340</wp:posOffset>
              </wp:positionV>
              <wp:extent cx="2447290" cy="106680"/>
              <wp:wrapNone/>
              <wp:docPr id="18" name="Shape 1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4" type="#_x0000_t202" style="position:absolute;margin-left:345.35000000000002pt;margin-top:44.200000000000003pt;width:192.70000000000002pt;height:8.4000000000000004pt;z-index:-18874405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7362825</wp:posOffset>
              </wp:positionH>
              <wp:positionV relativeFrom="page">
                <wp:posOffset>557530</wp:posOffset>
              </wp:positionV>
              <wp:extent cx="2447290" cy="106680"/>
              <wp:wrapNone/>
              <wp:docPr id="23" name="Shape 2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9" type="#_x0000_t202" style="position:absolute;margin-left:579.75pt;margin-top:43.899999999999999pt;width:192.70000000000002pt;height:8.4000000000000004pt;z-index:-1887440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703580</wp:posOffset>
              </wp:positionV>
              <wp:extent cx="8906510" cy="0"/>
              <wp:wrapNone/>
              <wp:docPr id="25" name="Shape 2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3.100000000000009pt;margin-top:55.399999999999999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4385945</wp:posOffset>
              </wp:positionH>
              <wp:positionV relativeFrom="page">
                <wp:posOffset>561340</wp:posOffset>
              </wp:positionV>
              <wp:extent cx="2447290" cy="106680"/>
              <wp:wrapNone/>
              <wp:docPr id="28" name="Shape 2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45.35000000000002pt;margin-top:44.200000000000003pt;width:192.70000000000002pt;height:8.4000000000000004pt;z-index:-1887440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7353300</wp:posOffset>
              </wp:positionH>
              <wp:positionV relativeFrom="page">
                <wp:posOffset>556895</wp:posOffset>
              </wp:positionV>
              <wp:extent cx="2447290" cy="106680"/>
              <wp:wrapNone/>
              <wp:docPr id="79" name="Shape 7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5" type="#_x0000_t202" style="position:absolute;margin-left:579.pt;margin-top:43.850000000000001pt;width:192.70000000000002pt;height:8.4000000000000004pt;z-index:-18874403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918845</wp:posOffset>
              </wp:positionH>
              <wp:positionV relativeFrom="page">
                <wp:posOffset>702945</wp:posOffset>
              </wp:positionV>
              <wp:extent cx="8906510" cy="0"/>
              <wp:wrapNone/>
              <wp:docPr id="81" name="Shape 8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2.350000000000009pt;margin-top:55.350000000000001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4395470</wp:posOffset>
              </wp:positionH>
              <wp:positionV relativeFrom="page">
                <wp:posOffset>534670</wp:posOffset>
              </wp:positionV>
              <wp:extent cx="2447290" cy="106680"/>
              <wp:wrapNone/>
              <wp:docPr id="84" name="Shape 8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0" type="#_x0000_t202" style="position:absolute;margin-left:346.10000000000002pt;margin-top:42.100000000000001pt;width:192.70000000000002pt;height:8.4000000000000004pt;z-index:-18874403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0135" cy="0"/>
              <wp:wrapNone/>
              <wp:docPr id="86" name="Shape 8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7327900</wp:posOffset>
              </wp:positionH>
              <wp:positionV relativeFrom="page">
                <wp:posOffset>558165</wp:posOffset>
              </wp:positionV>
              <wp:extent cx="2447290" cy="106680"/>
              <wp:wrapNone/>
              <wp:docPr id="89" name="Shape 8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577.pt;margin-top:43.950000000000003pt;width:192.70000000000002pt;height:8.4000000000000004pt;z-index:-1887440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91" name="Shape 9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图片标题_"/>
    <w:basedOn w:val="DefaultParagraphFont"/>
    <w:link w:val="Style6"/>
    <w:rPr>
      <w:rFonts w:ascii="SimSun" w:eastAsia="SimSun" w:hAnsi="SimSun" w:cs="SimSun"/>
      <w:b/>
      <w:bCs/>
      <w:i w:val="0"/>
      <w:iCs w:val="0"/>
      <w:smallCaps w:val="0"/>
      <w:strike w:val="0"/>
      <w:color w:val="282828"/>
      <w:sz w:val="18"/>
      <w:szCs w:val="18"/>
      <w:u w:val="none"/>
      <w:shd w:val="clear" w:color="auto" w:fill="auto"/>
    </w:rPr>
  </w:style>
  <w:style w:type="character" w:customStyle="1" w:styleId="CharStyle11">
    <w:name w:val="正文文本 (3)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4)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8"/>
      <w:szCs w:val="18"/>
      <w:u w:val="none"/>
      <w:shd w:val="clear" w:color="auto" w:fill="auto"/>
    </w:rPr>
  </w:style>
  <w:style w:type="character" w:customStyle="1" w:styleId="CharStyle53">
    <w:name w:val="正文文本 (7)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8)_"/>
    <w:basedOn w:val="DefaultParagraphFont"/>
    <w:link w:val="Style58"/>
    <w:rPr>
      <w:rFonts w:ascii="SimHei" w:eastAsia="SimHei" w:hAnsi="SimHei" w:cs="SimHei"/>
      <w:b w:val="0"/>
      <w:bCs w:val="0"/>
      <w:i w:val="0"/>
      <w:iCs w:val="0"/>
      <w:smallCaps w:val="0"/>
      <w:strike w:val="0"/>
      <w:color w:val="CFE3F2"/>
      <w:sz w:val="18"/>
      <w:szCs w:val="18"/>
      <w:u w:val="none"/>
      <w:shd w:val="clear" w:color="auto" w:fill="auto"/>
    </w:rPr>
  </w:style>
  <w:style w:type="character" w:customStyle="1" w:styleId="CharStyle95">
    <w:name w:val="正文文本 (9)_"/>
    <w:basedOn w:val="DefaultParagraphFont"/>
    <w:link w:val="Style94"/>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图片标题"/>
    <w:basedOn w:val="Normal"/>
    <w:link w:val="CharStyle7"/>
    <w:pPr>
      <w:widowControl w:val="0"/>
      <w:shd w:val="clear" w:color="auto" w:fill="auto"/>
    </w:pPr>
    <w:rPr>
      <w:rFonts w:ascii="SimSun" w:eastAsia="SimSun" w:hAnsi="SimSun" w:cs="SimSun"/>
      <w:b/>
      <w:bCs/>
      <w:i w:val="0"/>
      <w:iCs w:val="0"/>
      <w:smallCaps w:val="0"/>
      <w:strike w:val="0"/>
      <w:color w:val="282828"/>
      <w:sz w:val="18"/>
      <w:szCs w:val="18"/>
      <w:u w:val="none"/>
      <w:shd w:val="clear" w:color="auto" w:fill="auto"/>
    </w:rPr>
  </w:style>
  <w:style w:type="paragraph" w:customStyle="1" w:styleId="Style10">
    <w:name w:val="正文文本 (3)"/>
    <w:basedOn w:val="Normal"/>
    <w:link w:val="CharStyle11"/>
    <w:pPr>
      <w:widowControl w:val="0"/>
      <w:shd w:val="clear" w:color="auto" w:fill="auto"/>
      <w:spacing w:before="850" w:after="760"/>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1"/>
    <w:basedOn w:val="Normal"/>
    <w:link w:val="CharStyle13"/>
    <w:pPr>
      <w:widowControl w:val="0"/>
      <w:shd w:val="clear" w:color="auto" w:fill="auto"/>
      <w:spacing w:after="57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4)"/>
    <w:basedOn w:val="Normal"/>
    <w:link w:val="CharStyle16"/>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标题 #2"/>
    <w:basedOn w:val="Normal"/>
    <w:link w:val="CharStyle29"/>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正文文本"/>
    <w:basedOn w:val="Normal"/>
    <w:link w:val="CharStyle33"/>
    <w:pPr>
      <w:widowControl w:val="0"/>
      <w:shd w:val="clear" w:color="auto" w:fill="auto"/>
      <w:spacing w:after="120" w:line="36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2">
    <w:name w:val="正文文本 (7)"/>
    <w:basedOn w:val="Normal"/>
    <w:link w:val="CharStyle53"/>
    <w:pPr>
      <w:widowControl w:val="0"/>
      <w:shd w:val="clear" w:color="auto" w:fill="auto"/>
      <w:spacing w:after="280" w:line="226"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8)"/>
    <w:basedOn w:val="Normal"/>
    <w:link w:val="CharStyle59"/>
    <w:pPr>
      <w:widowControl w:val="0"/>
      <w:shd w:val="clear" w:color="auto" w:fill="auto"/>
    </w:pPr>
    <w:rPr>
      <w:rFonts w:ascii="SimHei" w:eastAsia="SimHei" w:hAnsi="SimHei" w:cs="SimHei"/>
      <w:b w:val="0"/>
      <w:bCs w:val="0"/>
      <w:i w:val="0"/>
      <w:iCs w:val="0"/>
      <w:smallCaps w:val="0"/>
      <w:strike w:val="0"/>
      <w:color w:val="CFE3F2"/>
      <w:sz w:val="18"/>
      <w:szCs w:val="18"/>
      <w:u w:val="none"/>
      <w:shd w:val="clear" w:color="auto" w:fill="auto"/>
    </w:rPr>
  </w:style>
  <w:style w:type="paragraph" w:customStyle="1" w:styleId="Style94">
    <w:name w:val="正文文本 (9)"/>
    <w:basedOn w:val="Normal"/>
    <w:link w:val="CharStyle95"/>
    <w:pPr>
      <w:widowControl w:val="0"/>
      <w:shd w:val="clear" w:color="auto" w:fill="auto"/>
      <w:spacing w:after="280" w:line="262" w:lineRule="auto"/>
      <w:ind w:left="120" w:firstLine="20"/>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s>
</file>

<file path=docProps/core.xml><?xml version="1.0" encoding="utf-8"?>
<cp:coreProperties xmlns:cp="http://schemas.openxmlformats.org/package/2006/metadata/core-properties" xmlns:dc="http://purl.org/dc/elements/1.1/">
  <dc:title>神州数码集团股份有限公司2016年年度报告全文</dc:title>
  <dc:subject/>
  <dc:creator>神州数码集团股份有限公司</dc:creator>
  <cp:keywords/>
</cp:coreProperties>
</file>